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Security Risk Management Policy</w:t>
      </w:r>
    </w:p>
    <w:p>
      <w:pPr>
        <w:pStyle w:val="Subtitle"/>
      </w:pPr>
      <w:r>
        <w:t>A lightweight process for identifying, treating, and reviewing security risk</w:t>
      </w:r>
    </w:p>
    <w:p>
      <w:pPr>
        <w:spacing w:after="40"/>
      </w:pPr>
      <w:r>
        <w:rPr>
          <w:rFonts w:ascii="Calibri" w:hAnsi="Calibri"/>
          <w:b/>
          <w:color w:val="202124"/>
          <w:sz w:val="22"/>
        </w:rPr>
        <w:t xml:space="preserve">Organization: </w:t>
      </w:r>
      <w:r>
        <w:rPr>
          <w:rFonts w:ascii="Calibri" w:hAnsi="Calibri"/>
          <w:color w:val="202124"/>
          <w:sz w:val="22"/>
        </w:rPr>
        <w:t>CertScore (replace with the legal entity name if different)</w:t>
      </w:r>
    </w:p>
    <w:p>
      <w:pPr>
        <w:spacing w:after="40"/>
      </w:pPr>
      <w:r>
        <w:rPr>
          <w:rFonts w:ascii="Calibri" w:hAnsi="Calibri"/>
          <w:b/>
          <w:color w:val="202124"/>
          <w:sz w:val="22"/>
        </w:rPr>
        <w:t xml:space="preserve">Version: </w:t>
      </w:r>
      <w:r>
        <w:rPr>
          <w:rFonts w:ascii="Calibri" w:hAnsi="Calibri"/>
          <w:color w:val="202124"/>
          <w:sz w:val="22"/>
        </w:rPr>
        <w:t>1.0</w:t>
      </w:r>
    </w:p>
    <w:p>
      <w:pPr>
        <w:spacing w:after="40"/>
      </w:pPr>
      <w:r>
        <w:rPr>
          <w:rFonts w:ascii="Calibri" w:hAnsi="Calibri"/>
          <w:b/>
          <w:color w:val="202124"/>
          <w:sz w:val="22"/>
        </w:rPr>
        <w:t xml:space="preserve">Status: </w:t>
      </w:r>
      <w:r>
        <w:rPr>
          <w:rFonts w:ascii="Calibri" w:hAnsi="Calibri"/>
          <w:color w:val="202124"/>
          <w:sz w:val="22"/>
        </w:rPr>
        <w:t>Ready for approval - not effective until signed</w:t>
      </w:r>
    </w:p>
    <w:p>
      <w:pPr>
        <w:spacing w:after="40"/>
      </w:pPr>
      <w:r>
        <w:rPr>
          <w:rFonts w:ascii="Calibri" w:hAnsi="Calibri"/>
          <w:b/>
          <w:color w:val="202124"/>
          <w:sz w:val="22"/>
        </w:rPr>
        <w:t xml:space="preserve">Owner: </w:t>
      </w:r>
      <w:r>
        <w:rPr>
          <w:rFonts w:ascii="Calibri" w:hAnsi="Calibri"/>
          <w:color w:val="202124"/>
          <w:sz w:val="22"/>
        </w:rPr>
        <w:t>Product Owner</w:t>
      </w:r>
    </w:p>
    <w:p>
      <w:pPr>
        <w:spacing w:after="40"/>
      </w:pPr>
      <w:r>
        <w:rPr>
          <w:rFonts w:ascii="Calibri" w:hAnsi="Calibri"/>
          <w:b/>
          <w:color w:val="202124"/>
          <w:sz w:val="22"/>
        </w:rPr>
        <w:t xml:space="preserve">Effective date: </w:t>
      </w:r>
      <w:r>
        <w:rPr>
          <w:rFonts w:ascii="Calibri" w:hAnsi="Calibri"/>
          <w:color w:val="202124"/>
          <w:sz w:val="22"/>
        </w:rPr>
        <w:t>[enter adoption date]</w:t>
      </w:r>
    </w:p>
    <w:p>
      <w:pPr>
        <w:spacing w:after="40"/>
      </w:pPr>
      <w:r>
        <w:rPr>
          <w:rFonts w:ascii="Calibri" w:hAnsi="Calibri"/>
          <w:b/>
          <w:color w:val="202124"/>
          <w:sz w:val="22"/>
        </w:rPr>
        <w:t xml:space="preserve">Next review: </w:t>
      </w:r>
      <w:r>
        <w:rPr>
          <w:rFonts w:ascii="Calibri" w:hAnsi="Calibri"/>
          <w:color w:val="202124"/>
          <w:sz w:val="22"/>
        </w:rPr>
        <w:t>12 months after adoption, or sooner after a material change</w:t>
      </w:r>
    </w:p>
    <w:p>
      <w:pPr>
        <w:spacing w:before="160" w:after="280"/>
        <w:pBdr>
          <w:bottom w:val="single" w:sz="12" w:space="1" w:color="24527A"/>
        </w:pBdr>
      </w:pPr>
    </w:p>
    <w:tbl>
      <w:tblPr>
        <w:tblW w:type="dxa" w:w="9360"/>
        <w:jc w:val="left"/>
        <w:tblLayout w:type="fixed"/>
        <w:tblLook w:firstColumn="1" w:firstRow="1" w:lastColumn="0" w:lastRow="0" w:noHBand="0" w:noVBand="1" w:val="04A0"/>
        <w:tblInd w:type="dxa" w:w="120"/>
      </w:tblPr>
      <w:tblGrid>
        <w:gridCol w:w="9360"/>
      </w:tblGrid>
      <w:tr>
        <w:tc>
          <w:tcPr>
            <w:tcW w:type="dxa" w:w="9360"/>
            <w:vAlign w:val="center"/>
            <w:tcMar>
              <w:top w:w="80" w:type="dxa"/>
              <w:start w:w="120" w:type="dxa"/>
              <w:bottom w:w="80" w:type="dxa"/>
              <w:end w:w="120" w:type="dxa"/>
            </w:tcMar>
            <w:shd w:fill="E8EEF5"/>
          </w:tcPr>
          <w:p>
            <w:pPr>
              <w:spacing w:after="0"/>
            </w:pPr>
            <w:r>
              <w:rPr>
                <w:rFonts w:ascii="Calibri" w:hAnsi="Calibri"/>
                <w:b/>
                <w:color w:val="17324D"/>
                <w:sz w:val="22"/>
              </w:rPr>
              <w:t xml:space="preserve">Purpose: </w:t>
            </w:r>
            <w:r>
              <w:rPr>
                <w:rFonts w:ascii="Calibri" w:hAnsi="Calibri"/>
                <w:color w:val="202124"/>
                <w:sz w:val="22"/>
              </w:rPr>
              <w:t>Establish a proportionate, documented risk-management process suitable for CertScore's current size and AWS-based product environment.</w:t>
            </w:r>
          </w:p>
        </w:tc>
      </w:tr>
    </w:tbl>
    <w:p>
      <w:pPr>
        <w:spacing w:after="20"/>
      </w:pPr>
    </w:p>
    <w:p>
      <w:pPr>
        <w:pStyle w:val="Heading1"/>
      </w:pPr>
      <w:r>
        <w:t>1. Scope</w:t>
      </w:r>
    </w:p>
    <w:p>
      <w:r>
        <w:t>This policy applies to CertScore systems, personnel, source code, AWS infrastructure, customer and account information, public-site scan evidence, service providers, endpoints, and business operations. It covers WC01 and WS01 while preserving their separate product and scanner responsibilities.</w:t>
      </w:r>
    </w:p>
    <w:p>
      <w:pPr>
        <w:pStyle w:val="Heading1"/>
      </w:pPr>
      <w:r>
        <w:t>2. Policy statements</w:t>
      </w:r>
    </w:p>
    <w:p>
      <w:pPr>
        <w:numPr>
          <w:ilvl w:val="0"/>
          <w:numId w:val="10"/>
        </w:numPr>
        <w:spacing w:after="160" w:line="280" w:lineRule="auto"/>
      </w:pPr>
      <w:r>
        <w:rPr>
          <w:rFonts w:ascii="Calibri" w:hAnsi="Calibri"/>
          <w:color w:val="202124"/>
          <w:sz w:val="22"/>
        </w:rPr>
        <w:t>The Product Owner is accountable for the security risk-management process and may assign individual risk owners.</w:t>
      </w:r>
    </w:p>
    <w:p>
      <w:pPr>
        <w:numPr>
          <w:ilvl w:val="0"/>
          <w:numId w:val="10"/>
        </w:numPr>
        <w:spacing w:after="160" w:line="280" w:lineRule="auto"/>
      </w:pPr>
      <w:r>
        <w:rPr>
          <w:rFonts w:ascii="Calibri" w:hAnsi="Calibri"/>
          <w:color w:val="202124"/>
          <w:sz w:val="22"/>
        </w:rPr>
        <w:t>Material risks must be recorded in the Security &amp; Privacy Operational Registers workbook, assessed consistently, and assigned an owner and treatment decision.</w:t>
      </w:r>
    </w:p>
    <w:p>
      <w:pPr>
        <w:numPr>
          <w:ilvl w:val="0"/>
          <w:numId w:val="10"/>
        </w:numPr>
        <w:spacing w:after="160" w:line="280" w:lineRule="auto"/>
      </w:pPr>
      <w:r>
        <w:rPr>
          <w:rFonts w:ascii="Calibri" w:hAnsi="Calibri"/>
          <w:color w:val="202124"/>
          <w:sz w:val="22"/>
        </w:rPr>
        <w:t>The risk register is reviewed quarterly and after material architecture, supplier, incident, legal, or threat changes.</w:t>
      </w:r>
    </w:p>
    <w:p>
      <w:pPr>
        <w:numPr>
          <w:ilvl w:val="0"/>
          <w:numId w:val="10"/>
        </w:numPr>
        <w:spacing w:after="160" w:line="280" w:lineRule="auto"/>
      </w:pPr>
      <w:r>
        <w:rPr>
          <w:rFonts w:ascii="Calibri" w:hAnsi="Calibri"/>
          <w:color w:val="202124"/>
          <w:sz w:val="22"/>
        </w:rPr>
        <w:t>Controls and treatments must be proportionate to risk, cost, contractual duties, and legal obligations. Any treatment that may increase recurring or per-request cost follows the repository's cost-change approval rule.</w:t>
      </w:r>
    </w:p>
    <w:p>
      <w:pPr>
        <w:numPr>
          <w:ilvl w:val="0"/>
          <w:numId w:val="10"/>
        </w:numPr>
        <w:spacing w:after="160" w:line="280" w:lineRule="auto"/>
      </w:pPr>
      <w:r>
        <w:rPr>
          <w:rFonts w:ascii="Calibri" w:hAnsi="Calibri"/>
          <w:color w:val="202124"/>
          <w:sz w:val="22"/>
        </w:rPr>
        <w:t>Accepted risks require a written rationale, review date, and approval by the Product Owner. Critical risks cannot be accepted without documented approval.</w:t>
      </w:r>
    </w:p>
    <w:p>
      <w:pPr>
        <w:numPr>
          <w:ilvl w:val="0"/>
          <w:numId w:val="10"/>
        </w:numPr>
        <w:spacing w:after="160" w:line="280" w:lineRule="auto"/>
      </w:pPr>
      <w:r>
        <w:rPr>
          <w:rFonts w:ascii="Calibri" w:hAnsi="Calibri"/>
          <w:color w:val="202124"/>
          <w:sz w:val="22"/>
        </w:rPr>
        <w:t>Evidence supporting completed treatments is linked or described in the register. Sensitive evidence must not be copied into the register when a restricted reference is sufficient.</w:t>
      </w:r>
    </w:p>
    <w:p>
      <w:pPr>
        <w:pStyle w:val="Heading1"/>
      </w:pPr>
      <w:r>
        <w:t>3. Roles</w:t>
      </w:r>
    </w:p>
    <w:tbl>
      <w:tblPr>
        <w:tblStyle w:val="TableGrid"/>
        <w:tblW w:type="dxa" w:w="9360"/>
        <w:jc w:val="left"/>
        <w:tblLayout w:type="fixed"/>
        <w:tblLook w:firstColumn="1" w:firstRow="1" w:lastColumn="0" w:lastRow="0" w:noHBand="0" w:noVBand="1" w:val="04A0"/>
        <w:tblInd w:type="dxa" w:w="120"/>
      </w:tblPr>
      <w:tblGrid>
        <w:gridCol w:w="2100"/>
        <w:gridCol w:w="7260"/>
      </w:tblGrid>
      <w:tr>
        <w:trPr>
          <w:tblHeader w:val="true"/>
          <w:cantSplit/>
        </w:trPr>
        <w:tc>
          <w:tcPr>
            <w:tcW w:type="dxa" w:w="2100"/>
            <w:shd w:fill="E8EEF5"/>
            <w:vAlign w:val="center"/>
            <w:tcMar>
              <w:top w:w="80" w:type="dxa"/>
              <w:start w:w="120" w:type="dxa"/>
              <w:bottom w:w="80" w:type="dxa"/>
              <w:end w:w="120" w:type="dxa"/>
            </w:tcMar>
          </w:tcPr>
          <w:p>
            <w:pPr>
              <w:spacing w:after="0"/>
            </w:pPr>
            <w:r>
              <w:rPr>
                <w:rFonts w:ascii="Calibri" w:hAnsi="Calibri"/>
                <w:b/>
                <w:color w:val="17324D"/>
                <w:sz w:val="19"/>
              </w:rPr>
              <w:t>Role</w:t>
            </w:r>
          </w:p>
        </w:tc>
        <w:tc>
          <w:tcPr>
            <w:tcW w:type="dxa" w:w="7260"/>
            <w:shd w:fill="E8EEF5"/>
            <w:vAlign w:val="center"/>
            <w:tcMar>
              <w:top w:w="80" w:type="dxa"/>
              <w:start w:w="120" w:type="dxa"/>
              <w:bottom w:w="80" w:type="dxa"/>
              <w:end w:w="120" w:type="dxa"/>
            </w:tcMar>
          </w:tcPr>
          <w:p>
            <w:pPr>
              <w:spacing w:after="0"/>
            </w:pPr>
            <w:r>
              <w:rPr>
                <w:rFonts w:ascii="Calibri" w:hAnsi="Calibri"/>
                <w:b/>
                <w:color w:val="17324D"/>
                <w:sz w:val="19"/>
              </w:rPr>
              <w:t>Minimum responsibility</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02124"/>
                <w:sz w:val="18"/>
              </w:rPr>
              <w:t>Product Owner</w:t>
            </w:r>
          </w:p>
        </w:tc>
        <w:tc>
          <w:tcPr>
            <w:tcW w:type="dxa" w:w="7260"/>
            <w:vAlign w:val="center"/>
            <w:tcMar>
              <w:top w:w="80" w:type="dxa"/>
              <w:start w:w="120" w:type="dxa"/>
              <w:bottom w:w="80" w:type="dxa"/>
              <w:end w:w="120" w:type="dxa"/>
            </w:tcMar>
          </w:tcPr>
          <w:p>
            <w:pPr>
              <w:spacing w:after="0"/>
            </w:pPr>
            <w:r>
              <w:rPr>
                <w:rFonts w:ascii="Calibri" w:hAnsi="Calibri"/>
                <w:color w:val="202124"/>
                <w:sz w:val="18"/>
              </w:rPr>
              <w:t>Own policy; approve risk acceptance; chair quarterly review; ensure resources and follow-up.</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02124"/>
                <w:sz w:val="18"/>
              </w:rPr>
              <w:t>Risk owner</w:t>
            </w:r>
          </w:p>
        </w:tc>
        <w:tc>
          <w:tcPr>
            <w:tcW w:type="dxa" w:w="7260"/>
            <w:vAlign w:val="center"/>
            <w:tcMar>
              <w:top w:w="80" w:type="dxa"/>
              <w:start w:w="120" w:type="dxa"/>
              <w:bottom w:w="80" w:type="dxa"/>
              <w:end w:w="120" w:type="dxa"/>
            </w:tcMar>
          </w:tcPr>
          <w:p>
            <w:pPr>
              <w:spacing w:after="0"/>
            </w:pPr>
            <w:r>
              <w:rPr>
                <w:rFonts w:ascii="Calibri" w:hAnsi="Calibri"/>
                <w:color w:val="202124"/>
                <w:sz w:val="18"/>
              </w:rPr>
              <w:t>Maintain the risk record, implement treatment, retain evidence, and escalate delays or changed exposure.</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02124"/>
                <w:sz w:val="18"/>
              </w:rPr>
              <w:t>Engineering / operations</w:t>
            </w:r>
          </w:p>
        </w:tc>
        <w:tc>
          <w:tcPr>
            <w:tcW w:type="dxa" w:w="7260"/>
            <w:vAlign w:val="center"/>
            <w:tcMar>
              <w:top w:w="80" w:type="dxa"/>
              <w:start w:w="120" w:type="dxa"/>
              <w:bottom w:w="80" w:type="dxa"/>
              <w:end w:w="120" w:type="dxa"/>
            </w:tcMar>
          </w:tcPr>
          <w:p>
            <w:pPr>
              <w:spacing w:after="0"/>
            </w:pPr>
            <w:r>
              <w:rPr>
                <w:rFonts w:ascii="Calibri" w:hAnsi="Calibri"/>
                <w:color w:val="202124"/>
                <w:sz w:val="18"/>
              </w:rPr>
              <w:t>Identify technical risks, operate controls, report exceptions and incidents, and support testing.</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02124"/>
                <w:sz w:val="18"/>
              </w:rPr>
              <w:t>All personnel and contractors</w:t>
            </w:r>
          </w:p>
        </w:tc>
        <w:tc>
          <w:tcPr>
            <w:tcW w:type="dxa" w:w="7260"/>
            <w:vAlign w:val="center"/>
            <w:tcMar>
              <w:top w:w="80" w:type="dxa"/>
              <w:start w:w="120" w:type="dxa"/>
              <w:bottom w:w="80" w:type="dxa"/>
              <w:end w:w="120" w:type="dxa"/>
            </w:tcMar>
          </w:tcPr>
          <w:p>
            <w:pPr>
              <w:spacing w:after="0"/>
            </w:pPr>
            <w:r>
              <w:rPr>
                <w:rFonts w:ascii="Calibri" w:hAnsi="Calibri"/>
                <w:color w:val="202124"/>
                <w:sz w:val="18"/>
              </w:rPr>
              <w:t>Protect credentials and information; promptly report suspected weaknesses, incidents, or policy exceptions.</w:t>
            </w:r>
          </w:p>
        </w:tc>
      </w:tr>
    </w:tbl>
    <w:p>
      <w:pPr>
        <w:spacing w:after="20"/>
      </w:pPr>
    </w:p>
    <w:p>
      <w:pPr>
        <w:pStyle w:val="Heading1"/>
      </w:pPr>
      <w:r>
        <w:t>4. Risk assessment method</w:t>
      </w:r>
    </w:p>
    <w:p>
      <w:r>
        <w:t>Each risk is written as a plausible event affecting an asset or process. Score inherent risk before considering controls, then score residual risk after considering controls.</w:t>
      </w:r>
    </w:p>
    <w:tbl>
      <w:tblPr>
        <w:tblStyle w:val="TableGrid"/>
        <w:tblW w:type="dxa" w:w="9360"/>
        <w:jc w:val="left"/>
        <w:tblLayout w:type="fixed"/>
        <w:tblLook w:firstColumn="1" w:firstRow="1" w:lastColumn="0" w:lastRow="0" w:noHBand="0" w:noVBand="1" w:val="04A0"/>
        <w:tblInd w:type="dxa" w:w="120"/>
      </w:tblPr>
      <w:tblGrid>
        <w:gridCol w:w="900"/>
        <w:gridCol w:w="3000"/>
        <w:gridCol w:w="5460"/>
      </w:tblGrid>
      <w:tr>
        <w:trPr>
          <w:tblHeader w:val="true"/>
          <w:cantSplit/>
        </w:trPr>
        <w:tc>
          <w:tcPr>
            <w:tcW w:type="dxa" w:w="900"/>
            <w:shd w:fill="E8EEF5"/>
            <w:vAlign w:val="center"/>
            <w:tcMar>
              <w:top w:w="80" w:type="dxa"/>
              <w:start w:w="120" w:type="dxa"/>
              <w:bottom w:w="80" w:type="dxa"/>
              <w:end w:w="120" w:type="dxa"/>
            </w:tcMar>
          </w:tcPr>
          <w:p>
            <w:pPr>
              <w:spacing w:after="0"/>
            </w:pPr>
            <w:r>
              <w:rPr>
                <w:rFonts w:ascii="Calibri" w:hAnsi="Calibri"/>
                <w:b/>
                <w:color w:val="17324D"/>
                <w:sz w:val="19"/>
              </w:rPr>
              <w:t>Score</w:t>
            </w:r>
          </w:p>
        </w:tc>
        <w:tc>
          <w:tcPr>
            <w:tcW w:type="dxa" w:w="3000"/>
            <w:shd w:fill="E8EEF5"/>
            <w:vAlign w:val="center"/>
            <w:tcMar>
              <w:top w:w="80" w:type="dxa"/>
              <w:start w:w="120" w:type="dxa"/>
              <w:bottom w:w="80" w:type="dxa"/>
              <w:end w:w="120" w:type="dxa"/>
            </w:tcMar>
          </w:tcPr>
          <w:p>
            <w:pPr>
              <w:spacing w:after="0"/>
            </w:pPr>
            <w:r>
              <w:rPr>
                <w:rFonts w:ascii="Calibri" w:hAnsi="Calibri"/>
                <w:b/>
                <w:color w:val="17324D"/>
                <w:sz w:val="19"/>
              </w:rPr>
              <w:t>Likelihood</w:t>
            </w:r>
          </w:p>
        </w:tc>
        <w:tc>
          <w:tcPr>
            <w:tcW w:type="dxa" w:w="5460"/>
            <w:shd w:fill="E8EEF5"/>
            <w:vAlign w:val="center"/>
            <w:tcMar>
              <w:top w:w="80" w:type="dxa"/>
              <w:start w:w="120" w:type="dxa"/>
              <w:bottom w:w="80" w:type="dxa"/>
              <w:end w:w="120" w:type="dxa"/>
            </w:tcMar>
          </w:tcPr>
          <w:p>
            <w:pPr>
              <w:spacing w:after="0"/>
            </w:pPr>
            <w:r>
              <w:rPr>
                <w:rFonts w:ascii="Calibri" w:hAnsi="Calibri"/>
                <w:b/>
                <w:color w:val="17324D"/>
                <w:sz w:val="19"/>
              </w:rPr>
              <w:t>Impact</w:t>
            </w:r>
          </w:p>
        </w:tc>
      </w:tr>
      <w:tr>
        <w:trPr>
          <w:cantSplit/>
        </w:trPr>
        <w:tc>
          <w:tcPr>
            <w:tcW w:type="dxa" w:w="900"/>
            <w:vAlign w:val="center"/>
            <w:tcMar>
              <w:top w:w="80" w:type="dxa"/>
              <w:start w:w="120" w:type="dxa"/>
              <w:bottom w:w="80" w:type="dxa"/>
              <w:end w:w="120" w:type="dxa"/>
            </w:tcMar>
          </w:tcPr>
          <w:p>
            <w:pPr>
              <w:spacing w:after="0"/>
            </w:pPr>
            <w:r>
              <w:rPr>
                <w:rFonts w:ascii="Calibri" w:hAnsi="Calibri"/>
                <w:color w:val="202124"/>
                <w:sz w:val="18"/>
              </w:rPr>
              <w:t>1</w:t>
            </w:r>
          </w:p>
        </w:tc>
        <w:tc>
          <w:tcPr>
            <w:tcW w:type="dxa" w:w="3000"/>
            <w:vAlign w:val="center"/>
            <w:tcMar>
              <w:top w:w="80" w:type="dxa"/>
              <w:start w:w="120" w:type="dxa"/>
              <w:bottom w:w="80" w:type="dxa"/>
              <w:end w:w="120" w:type="dxa"/>
            </w:tcMar>
          </w:tcPr>
          <w:p>
            <w:pPr>
              <w:spacing w:after="0"/>
            </w:pPr>
            <w:r>
              <w:rPr>
                <w:rFonts w:ascii="Calibri" w:hAnsi="Calibri"/>
                <w:color w:val="202124"/>
                <w:sz w:val="18"/>
              </w:rPr>
              <w:t>Rare; exceptional circumstances</w:t>
            </w:r>
          </w:p>
        </w:tc>
        <w:tc>
          <w:tcPr>
            <w:tcW w:type="dxa" w:w="5460"/>
            <w:vAlign w:val="center"/>
            <w:tcMar>
              <w:top w:w="80" w:type="dxa"/>
              <w:start w:w="120" w:type="dxa"/>
              <w:bottom w:w="80" w:type="dxa"/>
              <w:end w:w="120" w:type="dxa"/>
            </w:tcMar>
          </w:tcPr>
          <w:p>
            <w:pPr>
              <w:spacing w:after="0"/>
            </w:pPr>
            <w:r>
              <w:rPr>
                <w:rFonts w:ascii="Calibri" w:hAnsi="Calibri"/>
                <w:color w:val="202124"/>
                <w:sz w:val="18"/>
              </w:rPr>
              <w:t>Negligible operational, confidentiality, legal, or customer effect</w:t>
            </w:r>
          </w:p>
        </w:tc>
      </w:tr>
      <w:tr>
        <w:trPr>
          <w:cantSplit/>
        </w:trPr>
        <w:tc>
          <w:tcPr>
            <w:tcW w:type="dxa" w:w="900"/>
            <w:vAlign w:val="center"/>
            <w:tcMar>
              <w:top w:w="80" w:type="dxa"/>
              <w:start w:w="120" w:type="dxa"/>
              <w:bottom w:w="80" w:type="dxa"/>
              <w:end w:w="120" w:type="dxa"/>
            </w:tcMar>
          </w:tcPr>
          <w:p>
            <w:pPr>
              <w:spacing w:after="0"/>
            </w:pPr>
            <w:r>
              <w:rPr>
                <w:rFonts w:ascii="Calibri" w:hAnsi="Calibri"/>
                <w:color w:val="202124"/>
                <w:sz w:val="18"/>
              </w:rPr>
              <w:t>2</w:t>
            </w:r>
          </w:p>
        </w:tc>
        <w:tc>
          <w:tcPr>
            <w:tcW w:type="dxa" w:w="3000"/>
            <w:vAlign w:val="center"/>
            <w:tcMar>
              <w:top w:w="80" w:type="dxa"/>
              <w:start w:w="120" w:type="dxa"/>
              <w:bottom w:w="80" w:type="dxa"/>
              <w:end w:w="120" w:type="dxa"/>
            </w:tcMar>
          </w:tcPr>
          <w:p>
            <w:pPr>
              <w:spacing w:after="0"/>
            </w:pPr>
            <w:r>
              <w:rPr>
                <w:rFonts w:ascii="Calibri" w:hAnsi="Calibri"/>
                <w:color w:val="202124"/>
                <w:sz w:val="18"/>
              </w:rPr>
              <w:t>Unlikely; could occur</w:t>
            </w:r>
          </w:p>
        </w:tc>
        <w:tc>
          <w:tcPr>
            <w:tcW w:type="dxa" w:w="5460"/>
            <w:vAlign w:val="center"/>
            <w:tcMar>
              <w:top w:w="80" w:type="dxa"/>
              <w:start w:w="120" w:type="dxa"/>
              <w:bottom w:w="80" w:type="dxa"/>
              <w:end w:w="120" w:type="dxa"/>
            </w:tcMar>
          </w:tcPr>
          <w:p>
            <w:pPr>
              <w:spacing w:after="0"/>
            </w:pPr>
            <w:r>
              <w:rPr>
                <w:rFonts w:ascii="Calibri" w:hAnsi="Calibri"/>
                <w:color w:val="202124"/>
                <w:sz w:val="18"/>
              </w:rPr>
              <w:t>Limited, quickly recoverable effect</w:t>
            </w:r>
          </w:p>
        </w:tc>
      </w:tr>
      <w:tr>
        <w:trPr>
          <w:cantSplit/>
        </w:trPr>
        <w:tc>
          <w:tcPr>
            <w:tcW w:type="dxa" w:w="900"/>
            <w:vAlign w:val="center"/>
            <w:tcMar>
              <w:top w:w="80" w:type="dxa"/>
              <w:start w:w="120" w:type="dxa"/>
              <w:bottom w:w="80" w:type="dxa"/>
              <w:end w:w="120" w:type="dxa"/>
            </w:tcMar>
          </w:tcPr>
          <w:p>
            <w:pPr>
              <w:spacing w:after="0"/>
            </w:pPr>
            <w:r>
              <w:rPr>
                <w:rFonts w:ascii="Calibri" w:hAnsi="Calibri"/>
                <w:color w:val="202124"/>
                <w:sz w:val="18"/>
              </w:rPr>
              <w:t>3</w:t>
            </w:r>
          </w:p>
        </w:tc>
        <w:tc>
          <w:tcPr>
            <w:tcW w:type="dxa" w:w="3000"/>
            <w:vAlign w:val="center"/>
            <w:tcMar>
              <w:top w:w="80" w:type="dxa"/>
              <w:start w:w="120" w:type="dxa"/>
              <w:bottom w:w="80" w:type="dxa"/>
              <w:end w:w="120" w:type="dxa"/>
            </w:tcMar>
          </w:tcPr>
          <w:p>
            <w:pPr>
              <w:spacing w:after="0"/>
            </w:pPr>
            <w:r>
              <w:rPr>
                <w:rFonts w:ascii="Calibri" w:hAnsi="Calibri"/>
                <w:color w:val="202124"/>
                <w:sz w:val="18"/>
              </w:rPr>
              <w:t>Possible; credible occurrence</w:t>
            </w:r>
          </w:p>
        </w:tc>
        <w:tc>
          <w:tcPr>
            <w:tcW w:type="dxa" w:w="5460"/>
            <w:vAlign w:val="center"/>
            <w:tcMar>
              <w:top w:w="80" w:type="dxa"/>
              <w:start w:w="120" w:type="dxa"/>
              <w:bottom w:w="80" w:type="dxa"/>
              <w:end w:w="120" w:type="dxa"/>
            </w:tcMar>
          </w:tcPr>
          <w:p>
            <w:pPr>
              <w:spacing w:after="0"/>
            </w:pPr>
            <w:r>
              <w:rPr>
                <w:rFonts w:ascii="Calibri" w:hAnsi="Calibri"/>
                <w:color w:val="202124"/>
                <w:sz w:val="18"/>
              </w:rPr>
              <w:t>Material disruption, disclosure, contractual, or customer effect</w:t>
            </w:r>
          </w:p>
        </w:tc>
      </w:tr>
      <w:tr>
        <w:trPr>
          <w:cantSplit/>
        </w:trPr>
        <w:tc>
          <w:tcPr>
            <w:tcW w:type="dxa" w:w="900"/>
            <w:vAlign w:val="center"/>
            <w:tcMar>
              <w:top w:w="80" w:type="dxa"/>
              <w:start w:w="120" w:type="dxa"/>
              <w:bottom w:w="80" w:type="dxa"/>
              <w:end w:w="120" w:type="dxa"/>
            </w:tcMar>
          </w:tcPr>
          <w:p>
            <w:pPr>
              <w:spacing w:after="0"/>
            </w:pPr>
            <w:r>
              <w:rPr>
                <w:rFonts w:ascii="Calibri" w:hAnsi="Calibri"/>
                <w:color w:val="202124"/>
                <w:sz w:val="18"/>
              </w:rPr>
              <w:t>4</w:t>
            </w:r>
          </w:p>
        </w:tc>
        <w:tc>
          <w:tcPr>
            <w:tcW w:type="dxa" w:w="3000"/>
            <w:vAlign w:val="center"/>
            <w:tcMar>
              <w:top w:w="80" w:type="dxa"/>
              <w:start w:w="120" w:type="dxa"/>
              <w:bottom w:w="80" w:type="dxa"/>
              <w:end w:w="120" w:type="dxa"/>
            </w:tcMar>
          </w:tcPr>
          <w:p>
            <w:pPr>
              <w:spacing w:after="0"/>
            </w:pPr>
            <w:r>
              <w:rPr>
                <w:rFonts w:ascii="Calibri" w:hAnsi="Calibri"/>
                <w:color w:val="202124"/>
                <w:sz w:val="18"/>
              </w:rPr>
              <w:t>Likely; expected periodically</w:t>
            </w:r>
          </w:p>
        </w:tc>
        <w:tc>
          <w:tcPr>
            <w:tcW w:type="dxa" w:w="5460"/>
            <w:vAlign w:val="center"/>
            <w:tcMar>
              <w:top w:w="80" w:type="dxa"/>
              <w:start w:w="120" w:type="dxa"/>
              <w:bottom w:w="80" w:type="dxa"/>
              <w:end w:w="120" w:type="dxa"/>
            </w:tcMar>
          </w:tcPr>
          <w:p>
            <w:pPr>
              <w:spacing w:after="0"/>
            </w:pPr>
            <w:r>
              <w:rPr>
                <w:rFonts w:ascii="Calibri" w:hAnsi="Calibri"/>
                <w:color w:val="202124"/>
                <w:sz w:val="18"/>
              </w:rPr>
              <w:t>Serious outage, disclosure, regulatory, or reputational effect</w:t>
            </w:r>
          </w:p>
        </w:tc>
      </w:tr>
      <w:tr>
        <w:trPr>
          <w:cantSplit/>
        </w:trPr>
        <w:tc>
          <w:tcPr>
            <w:tcW w:type="dxa" w:w="900"/>
            <w:vAlign w:val="center"/>
            <w:tcMar>
              <w:top w:w="80" w:type="dxa"/>
              <w:start w:w="120" w:type="dxa"/>
              <w:bottom w:w="80" w:type="dxa"/>
              <w:end w:w="120" w:type="dxa"/>
            </w:tcMar>
          </w:tcPr>
          <w:p>
            <w:pPr>
              <w:spacing w:after="0"/>
            </w:pPr>
            <w:r>
              <w:rPr>
                <w:rFonts w:ascii="Calibri" w:hAnsi="Calibri"/>
                <w:color w:val="202124"/>
                <w:sz w:val="18"/>
              </w:rPr>
              <w:t>5</w:t>
            </w:r>
          </w:p>
        </w:tc>
        <w:tc>
          <w:tcPr>
            <w:tcW w:type="dxa" w:w="3000"/>
            <w:vAlign w:val="center"/>
            <w:tcMar>
              <w:top w:w="80" w:type="dxa"/>
              <w:start w:w="120" w:type="dxa"/>
              <w:bottom w:w="80" w:type="dxa"/>
              <w:end w:w="120" w:type="dxa"/>
            </w:tcMar>
          </w:tcPr>
          <w:p>
            <w:pPr>
              <w:spacing w:after="0"/>
            </w:pPr>
            <w:r>
              <w:rPr>
                <w:rFonts w:ascii="Calibri" w:hAnsi="Calibri"/>
                <w:color w:val="202124"/>
                <w:sz w:val="18"/>
              </w:rPr>
              <w:t>Almost certain or active</w:t>
            </w:r>
          </w:p>
        </w:tc>
        <w:tc>
          <w:tcPr>
            <w:tcW w:type="dxa" w:w="5460"/>
            <w:vAlign w:val="center"/>
            <w:tcMar>
              <w:top w:w="80" w:type="dxa"/>
              <w:start w:w="120" w:type="dxa"/>
              <w:bottom w:w="80" w:type="dxa"/>
              <w:end w:w="120" w:type="dxa"/>
            </w:tcMar>
          </w:tcPr>
          <w:p>
            <w:pPr>
              <w:spacing w:after="0"/>
            </w:pPr>
            <w:r>
              <w:rPr>
                <w:rFonts w:ascii="Calibri" w:hAnsi="Calibri"/>
                <w:color w:val="202124"/>
                <w:sz w:val="18"/>
              </w:rPr>
              <w:t>Severe or sustained harm, major breach, or business-threatening effect</w:t>
            </w:r>
          </w:p>
        </w:tc>
      </w:tr>
    </w:tbl>
    <w:p>
      <w:pPr>
        <w:spacing w:after="20"/>
      </w:pPr>
    </w:p>
    <w:p>
      <w:r>
        <w:t>Risk score = likelihood x impact.</w:t>
      </w:r>
    </w:p>
    <w:tbl>
      <w:tblPr>
        <w:tblStyle w:val="TableGrid"/>
        <w:tblW w:type="dxa" w:w="9360"/>
        <w:jc w:val="left"/>
        <w:tblLayout w:type="fixed"/>
        <w:tblLook w:firstColumn="1" w:firstRow="1" w:lastColumn="0" w:lastRow="0" w:noHBand="0" w:noVBand="1" w:val="04A0"/>
        <w:tblInd w:type="dxa" w:w="120"/>
      </w:tblPr>
      <w:tblGrid>
        <w:gridCol w:w="1200"/>
        <w:gridCol w:w="1500"/>
        <w:gridCol w:w="6660"/>
      </w:tblGrid>
      <w:tr>
        <w:trPr>
          <w:tblHeader w:val="true"/>
          <w:cantSplit/>
        </w:trPr>
        <w:tc>
          <w:tcPr>
            <w:tcW w:type="dxa" w:w="1200"/>
            <w:shd w:fill="E8EEF5"/>
            <w:vAlign w:val="center"/>
            <w:tcMar>
              <w:top w:w="80" w:type="dxa"/>
              <w:start w:w="120" w:type="dxa"/>
              <w:bottom w:w="80" w:type="dxa"/>
              <w:end w:w="120" w:type="dxa"/>
            </w:tcMar>
          </w:tcPr>
          <w:p>
            <w:pPr>
              <w:spacing w:after="0"/>
            </w:pPr>
            <w:r>
              <w:rPr>
                <w:rFonts w:ascii="Calibri" w:hAnsi="Calibri"/>
                <w:b/>
                <w:color w:val="17324D"/>
                <w:sz w:val="19"/>
              </w:rPr>
              <w:t>Score</w:t>
            </w:r>
          </w:p>
        </w:tc>
        <w:tc>
          <w:tcPr>
            <w:tcW w:type="dxa" w:w="1500"/>
            <w:shd w:fill="E8EEF5"/>
            <w:vAlign w:val="center"/>
            <w:tcMar>
              <w:top w:w="80" w:type="dxa"/>
              <w:start w:w="120" w:type="dxa"/>
              <w:bottom w:w="80" w:type="dxa"/>
              <w:end w:w="120" w:type="dxa"/>
            </w:tcMar>
          </w:tcPr>
          <w:p>
            <w:pPr>
              <w:spacing w:after="0"/>
            </w:pPr>
            <w:r>
              <w:rPr>
                <w:rFonts w:ascii="Calibri" w:hAnsi="Calibri"/>
                <w:b/>
                <w:color w:val="17324D"/>
                <w:sz w:val="19"/>
              </w:rPr>
              <w:t>Rating</w:t>
            </w:r>
          </w:p>
        </w:tc>
        <w:tc>
          <w:tcPr>
            <w:tcW w:type="dxa" w:w="6660"/>
            <w:shd w:fill="E8EEF5"/>
            <w:vAlign w:val="center"/>
            <w:tcMar>
              <w:top w:w="80" w:type="dxa"/>
              <w:start w:w="120" w:type="dxa"/>
              <w:bottom w:w="80" w:type="dxa"/>
              <w:end w:w="120" w:type="dxa"/>
            </w:tcMar>
          </w:tcPr>
          <w:p>
            <w:pPr>
              <w:spacing w:after="0"/>
            </w:pPr>
            <w:r>
              <w:rPr>
                <w:rFonts w:ascii="Calibri" w:hAnsi="Calibri"/>
                <w:b/>
                <w:color w:val="17324D"/>
                <w:sz w:val="19"/>
              </w:rPr>
              <w:t>Required response</w:t>
            </w:r>
          </w:p>
        </w:tc>
      </w:tr>
      <w:tr>
        <w:trPr>
          <w:cantSplit/>
        </w:trPr>
        <w:tc>
          <w:tcPr>
            <w:tcW w:type="dxa" w:w="1200"/>
            <w:vAlign w:val="center"/>
            <w:tcMar>
              <w:top w:w="80" w:type="dxa"/>
              <w:start w:w="120" w:type="dxa"/>
              <w:bottom w:w="80" w:type="dxa"/>
              <w:end w:w="120" w:type="dxa"/>
            </w:tcMar>
          </w:tcPr>
          <w:p>
            <w:pPr>
              <w:spacing w:after="0"/>
            </w:pPr>
            <w:r>
              <w:rPr>
                <w:rFonts w:ascii="Calibri" w:hAnsi="Calibri"/>
                <w:color w:val="202124"/>
                <w:sz w:val="18"/>
              </w:rPr>
              <w:t>1-4</w:t>
            </w:r>
          </w:p>
        </w:tc>
        <w:tc>
          <w:tcPr>
            <w:tcW w:type="dxa" w:w="1500"/>
            <w:vAlign w:val="center"/>
            <w:tcMar>
              <w:top w:w="80" w:type="dxa"/>
              <w:start w:w="120" w:type="dxa"/>
              <w:bottom w:w="80" w:type="dxa"/>
              <w:end w:w="120" w:type="dxa"/>
            </w:tcMar>
          </w:tcPr>
          <w:p>
            <w:pPr>
              <w:spacing w:after="0"/>
            </w:pPr>
            <w:r>
              <w:rPr>
                <w:rFonts w:ascii="Calibri" w:hAnsi="Calibri"/>
                <w:color w:val="202124"/>
                <w:sz w:val="18"/>
              </w:rPr>
              <w:t>Low</w:t>
            </w:r>
          </w:p>
        </w:tc>
        <w:tc>
          <w:tcPr>
            <w:tcW w:type="dxa" w:w="6660"/>
            <w:vAlign w:val="center"/>
            <w:tcMar>
              <w:top w:w="80" w:type="dxa"/>
              <w:start w:w="120" w:type="dxa"/>
              <w:bottom w:w="80" w:type="dxa"/>
              <w:end w:w="120" w:type="dxa"/>
            </w:tcMar>
          </w:tcPr>
          <w:p>
            <w:pPr>
              <w:spacing w:after="0"/>
            </w:pPr>
            <w:r>
              <w:rPr>
                <w:rFonts w:ascii="Calibri" w:hAnsi="Calibri"/>
                <w:color w:val="202124"/>
                <w:sz w:val="18"/>
              </w:rPr>
              <w:t>Manage through normal operations; review on schedule.</w:t>
            </w:r>
          </w:p>
        </w:tc>
      </w:tr>
      <w:tr>
        <w:trPr>
          <w:cantSplit/>
        </w:trPr>
        <w:tc>
          <w:tcPr>
            <w:tcW w:type="dxa" w:w="1200"/>
            <w:vAlign w:val="center"/>
            <w:tcMar>
              <w:top w:w="80" w:type="dxa"/>
              <w:start w:w="120" w:type="dxa"/>
              <w:bottom w:w="80" w:type="dxa"/>
              <w:end w:w="120" w:type="dxa"/>
            </w:tcMar>
          </w:tcPr>
          <w:p>
            <w:pPr>
              <w:spacing w:after="0"/>
            </w:pPr>
            <w:r>
              <w:rPr>
                <w:rFonts w:ascii="Calibri" w:hAnsi="Calibri"/>
                <w:color w:val="202124"/>
                <w:sz w:val="18"/>
              </w:rPr>
              <w:t>5-9</w:t>
            </w:r>
          </w:p>
        </w:tc>
        <w:tc>
          <w:tcPr>
            <w:tcW w:type="dxa" w:w="1500"/>
            <w:vAlign w:val="center"/>
            <w:tcMar>
              <w:top w:w="80" w:type="dxa"/>
              <w:start w:w="120" w:type="dxa"/>
              <w:bottom w:w="80" w:type="dxa"/>
              <w:end w:w="120" w:type="dxa"/>
            </w:tcMar>
          </w:tcPr>
          <w:p>
            <w:pPr>
              <w:spacing w:after="0"/>
            </w:pPr>
            <w:r>
              <w:rPr>
                <w:rFonts w:ascii="Calibri" w:hAnsi="Calibri"/>
                <w:color w:val="202124"/>
                <w:sz w:val="18"/>
              </w:rPr>
              <w:t>Moderate</w:t>
            </w:r>
          </w:p>
        </w:tc>
        <w:tc>
          <w:tcPr>
            <w:tcW w:type="dxa" w:w="6660"/>
            <w:vAlign w:val="center"/>
            <w:tcMar>
              <w:top w:w="80" w:type="dxa"/>
              <w:start w:w="120" w:type="dxa"/>
              <w:bottom w:w="80" w:type="dxa"/>
              <w:end w:w="120" w:type="dxa"/>
            </w:tcMar>
          </w:tcPr>
          <w:p>
            <w:pPr>
              <w:spacing w:after="0"/>
            </w:pPr>
            <w:r>
              <w:rPr>
                <w:rFonts w:ascii="Calibri" w:hAnsi="Calibri"/>
                <w:color w:val="202124"/>
                <w:sz w:val="18"/>
              </w:rPr>
              <w:t>Assign treatment or acceptance rationale; track to completion.</w:t>
            </w:r>
          </w:p>
        </w:tc>
      </w:tr>
      <w:tr>
        <w:trPr>
          <w:cantSplit/>
        </w:trPr>
        <w:tc>
          <w:tcPr>
            <w:tcW w:type="dxa" w:w="1200"/>
            <w:vAlign w:val="center"/>
            <w:tcMar>
              <w:top w:w="80" w:type="dxa"/>
              <w:start w:w="120" w:type="dxa"/>
              <w:bottom w:w="80" w:type="dxa"/>
              <w:end w:w="120" w:type="dxa"/>
            </w:tcMar>
          </w:tcPr>
          <w:p>
            <w:pPr>
              <w:spacing w:after="0"/>
            </w:pPr>
            <w:r>
              <w:rPr>
                <w:rFonts w:ascii="Calibri" w:hAnsi="Calibri"/>
                <w:color w:val="202124"/>
                <w:sz w:val="18"/>
              </w:rPr>
              <w:t>10-14</w:t>
            </w:r>
          </w:p>
        </w:tc>
        <w:tc>
          <w:tcPr>
            <w:tcW w:type="dxa" w:w="1500"/>
            <w:vAlign w:val="center"/>
            <w:tcMar>
              <w:top w:w="80" w:type="dxa"/>
              <w:start w:w="120" w:type="dxa"/>
              <w:bottom w:w="80" w:type="dxa"/>
              <w:end w:w="120" w:type="dxa"/>
            </w:tcMar>
          </w:tcPr>
          <w:p>
            <w:pPr>
              <w:spacing w:after="0"/>
            </w:pPr>
            <w:r>
              <w:rPr>
                <w:rFonts w:ascii="Calibri" w:hAnsi="Calibri"/>
                <w:color w:val="202124"/>
                <w:sz w:val="18"/>
              </w:rPr>
              <w:t>High</w:t>
            </w:r>
          </w:p>
        </w:tc>
        <w:tc>
          <w:tcPr>
            <w:tcW w:type="dxa" w:w="6660"/>
            <w:vAlign w:val="center"/>
            <w:tcMar>
              <w:top w:w="80" w:type="dxa"/>
              <w:start w:w="120" w:type="dxa"/>
              <w:bottom w:w="80" w:type="dxa"/>
              <w:end w:w="120" w:type="dxa"/>
            </w:tcMar>
          </w:tcPr>
          <w:p>
            <w:pPr>
              <w:spacing w:after="0"/>
            </w:pPr>
            <w:r>
              <w:rPr>
                <w:rFonts w:ascii="Calibri" w:hAnsi="Calibri"/>
                <w:color w:val="202124"/>
                <w:sz w:val="18"/>
              </w:rPr>
              <w:t>Product Owner review; treatment plan and target date required.</w:t>
            </w:r>
          </w:p>
        </w:tc>
      </w:tr>
      <w:tr>
        <w:trPr>
          <w:cantSplit/>
        </w:trPr>
        <w:tc>
          <w:tcPr>
            <w:tcW w:type="dxa" w:w="1200"/>
            <w:vAlign w:val="center"/>
            <w:tcMar>
              <w:top w:w="80" w:type="dxa"/>
              <w:start w:w="120" w:type="dxa"/>
              <w:bottom w:w="80" w:type="dxa"/>
              <w:end w:w="120" w:type="dxa"/>
            </w:tcMar>
          </w:tcPr>
          <w:p>
            <w:pPr>
              <w:spacing w:after="0"/>
            </w:pPr>
            <w:r>
              <w:rPr>
                <w:rFonts w:ascii="Calibri" w:hAnsi="Calibri"/>
                <w:color w:val="202124"/>
                <w:sz w:val="18"/>
              </w:rPr>
              <w:t>15-25</w:t>
            </w:r>
          </w:p>
        </w:tc>
        <w:tc>
          <w:tcPr>
            <w:tcW w:type="dxa" w:w="1500"/>
            <w:vAlign w:val="center"/>
            <w:tcMar>
              <w:top w:w="80" w:type="dxa"/>
              <w:start w:w="120" w:type="dxa"/>
              <w:bottom w:w="80" w:type="dxa"/>
              <w:end w:w="120" w:type="dxa"/>
            </w:tcMar>
          </w:tcPr>
          <w:p>
            <w:pPr>
              <w:spacing w:after="0"/>
            </w:pPr>
            <w:r>
              <w:rPr>
                <w:rFonts w:ascii="Calibri" w:hAnsi="Calibri"/>
                <w:color w:val="202124"/>
                <w:sz w:val="18"/>
              </w:rPr>
              <w:t>Critical</w:t>
            </w:r>
          </w:p>
        </w:tc>
        <w:tc>
          <w:tcPr>
            <w:tcW w:type="dxa" w:w="6660"/>
            <w:vAlign w:val="center"/>
            <w:tcMar>
              <w:top w:w="80" w:type="dxa"/>
              <w:start w:w="120" w:type="dxa"/>
              <w:bottom w:w="80" w:type="dxa"/>
              <w:end w:w="120" w:type="dxa"/>
            </w:tcMar>
          </w:tcPr>
          <w:p>
            <w:pPr>
              <w:spacing w:after="0"/>
            </w:pPr>
            <w:r>
              <w:rPr>
                <w:rFonts w:ascii="Calibri" w:hAnsi="Calibri"/>
                <w:color w:val="202124"/>
                <w:sz w:val="18"/>
              </w:rPr>
              <w:t>Immediate escalation; begin mitigation or formally pause the affected activity.</w:t>
            </w:r>
          </w:p>
        </w:tc>
      </w:tr>
    </w:tbl>
    <w:p>
      <w:pPr>
        <w:spacing w:after="20"/>
      </w:pPr>
    </w:p>
    <w:p>
      <w:pPr>
        <w:pStyle w:val="Heading1"/>
      </w:pPr>
      <w:r>
        <w:t>5. Operating procedure</w:t>
      </w:r>
    </w:p>
    <w:p>
      <w:pPr>
        <w:numPr>
          <w:ilvl w:val="0"/>
          <w:numId w:val="11"/>
        </w:numPr>
        <w:spacing w:after="160" w:line="280" w:lineRule="auto"/>
      </w:pPr>
      <w:r>
        <w:rPr>
          <w:rFonts w:ascii="Calibri" w:hAnsi="Calibri"/>
          <w:color w:val="202124"/>
          <w:sz w:val="22"/>
        </w:rPr>
        <w:t>Identify: capture the asset/process, threat or failure event, plausible consequence, source, and affected parties.</w:t>
      </w:r>
    </w:p>
    <w:p>
      <w:pPr>
        <w:numPr>
          <w:ilvl w:val="0"/>
          <w:numId w:val="11"/>
        </w:numPr>
        <w:spacing w:after="160" w:line="280" w:lineRule="auto"/>
      </w:pPr>
      <w:r>
        <w:rPr>
          <w:rFonts w:ascii="Calibri" w:hAnsi="Calibri"/>
          <w:color w:val="202124"/>
          <w:sz w:val="22"/>
        </w:rPr>
        <w:t>Assess: assign inherent likelihood and impact, identify existing controls, then assign residual likelihood and impact.</w:t>
      </w:r>
    </w:p>
    <w:p>
      <w:pPr>
        <w:numPr>
          <w:ilvl w:val="0"/>
          <w:numId w:val="11"/>
        </w:numPr>
        <w:spacing w:after="160" w:line="280" w:lineRule="auto"/>
      </w:pPr>
      <w:r>
        <w:rPr>
          <w:rFonts w:ascii="Calibri" w:hAnsi="Calibri"/>
          <w:color w:val="202124"/>
          <w:sz w:val="22"/>
        </w:rPr>
        <w:t>Treat: choose mitigate, avoid, transfer/share, or accept. Record specific actions, owner, target date, and evidence.</w:t>
      </w:r>
    </w:p>
    <w:p>
      <w:pPr>
        <w:numPr>
          <w:ilvl w:val="0"/>
          <w:numId w:val="11"/>
        </w:numPr>
        <w:spacing w:after="160" w:line="280" w:lineRule="auto"/>
      </w:pPr>
      <w:r>
        <w:rPr>
          <w:rFonts w:ascii="Calibri" w:hAnsi="Calibri"/>
          <w:color w:val="202124"/>
          <w:sz w:val="22"/>
        </w:rPr>
        <w:t>Monitor: risk owners update changes and overdue actions. Critical changes are escalated immediately.</w:t>
      </w:r>
    </w:p>
    <w:p>
      <w:pPr>
        <w:numPr>
          <w:ilvl w:val="0"/>
          <w:numId w:val="11"/>
        </w:numPr>
        <w:spacing w:after="160" w:line="280" w:lineRule="auto"/>
      </w:pPr>
      <w:r>
        <w:rPr>
          <w:rFonts w:ascii="Calibri" w:hAnsi="Calibri"/>
          <w:color w:val="202124"/>
          <w:sz w:val="22"/>
        </w:rPr>
        <w:t>Review: the Product Owner conducts and records a quarterly review; closed risks remain retained for at least two years unless a longer contractual or legal period applies.</w:t>
      </w:r>
    </w:p>
    <w:p>
      <w:pPr>
        <w:pStyle w:val="Heading1"/>
      </w:pPr>
      <w:r>
        <w:t>6. Mandatory review triggers</w:t>
      </w:r>
    </w:p>
    <w:p>
      <w:pPr>
        <w:numPr>
          <w:ilvl w:val="0"/>
          <w:numId w:val="10"/>
        </w:numPr>
        <w:spacing w:after="160" w:line="280" w:lineRule="auto"/>
      </w:pPr>
      <w:r>
        <w:rPr>
          <w:rFonts w:ascii="Calibri" w:hAnsi="Calibri"/>
          <w:color w:val="202124"/>
          <w:sz w:val="22"/>
        </w:rPr>
        <w:t>A confirmed or suspected security/privacy incident, material control failure, or significant vulnerability.</w:t>
      </w:r>
    </w:p>
    <w:p>
      <w:pPr>
        <w:numPr>
          <w:ilvl w:val="0"/>
          <w:numId w:val="10"/>
        </w:numPr>
        <w:spacing w:after="160" w:line="280" w:lineRule="auto"/>
      </w:pPr>
      <w:r>
        <w:rPr>
          <w:rFonts w:ascii="Calibri" w:hAnsi="Calibri"/>
          <w:color w:val="202124"/>
          <w:sz w:val="22"/>
        </w:rPr>
        <w:t>A new production service, high-impact feature, data type, privileged integration, infrastructure pattern, or critical supplier.</w:t>
      </w:r>
    </w:p>
    <w:p>
      <w:pPr>
        <w:numPr>
          <w:ilvl w:val="0"/>
          <w:numId w:val="10"/>
        </w:numPr>
        <w:spacing w:after="160" w:line="280" w:lineRule="auto"/>
      </w:pPr>
      <w:r>
        <w:rPr>
          <w:rFonts w:ascii="Calibri" w:hAnsi="Calibri"/>
          <w:color w:val="202124"/>
          <w:sz w:val="22"/>
        </w:rPr>
        <w:t>A material change to AWS architecture, authentication, encryption, logging, backups, retention, or scanner behavior.</w:t>
      </w:r>
    </w:p>
    <w:p>
      <w:pPr>
        <w:numPr>
          <w:ilvl w:val="0"/>
          <w:numId w:val="10"/>
        </w:numPr>
        <w:spacing w:after="160" w:line="280" w:lineRule="auto"/>
      </w:pPr>
      <w:r>
        <w:rPr>
          <w:rFonts w:ascii="Calibri" w:hAnsi="Calibri"/>
          <w:color w:val="202124"/>
          <w:sz w:val="22"/>
        </w:rPr>
        <w:t>A new or changed legal, regulatory, customer, insurance, or contractual obligation.</w:t>
      </w:r>
    </w:p>
    <w:p>
      <w:pPr>
        <w:pStyle w:val="Heading1"/>
      </w:pPr>
      <w:r>
        <w:t>7. Evidence and exceptions</w:t>
      </w:r>
    </w:p>
    <w:p>
      <w:r>
        <w:t>Minimum evidence is the current register, dated review record, treatment artifacts, and approval records. Exceptions must state scope, reason, compensating controls, owner, expiry date, and approval. Expired exceptions are treated as open risks.</w:t>
      </w:r>
    </w:p>
    <w:p>
      <w:pPr>
        <w:pStyle w:val="Heading1"/>
      </w:pPr>
      <w:r>
        <w:t>8. Review cadence</w:t>
      </w:r>
    </w:p>
    <w:tbl>
      <w:tblPr>
        <w:tblStyle w:val="TableGrid"/>
        <w:tblW w:type="dxa" w:w="9360"/>
        <w:jc w:val="left"/>
        <w:tblLayout w:type="fixed"/>
        <w:tblLook w:firstColumn="1" w:firstRow="1" w:lastColumn="0" w:lastRow="0" w:noHBand="0" w:noVBand="1" w:val="04A0"/>
        <w:tblInd w:type="dxa" w:w="120"/>
      </w:tblPr>
      <w:tblGrid>
        <w:gridCol w:w="3000"/>
        <w:gridCol w:w="2400"/>
        <w:gridCol w:w="3960"/>
      </w:tblGrid>
      <w:tr>
        <w:trPr>
          <w:tblHeader w:val="true"/>
          <w:cantSplit/>
        </w:trPr>
        <w:tc>
          <w:tcPr>
            <w:tcW w:type="dxa" w:w="3000"/>
            <w:shd w:fill="E8EEF5"/>
            <w:vAlign w:val="center"/>
            <w:tcMar>
              <w:top w:w="80" w:type="dxa"/>
              <w:start w:w="120" w:type="dxa"/>
              <w:bottom w:w="80" w:type="dxa"/>
              <w:end w:w="120" w:type="dxa"/>
            </w:tcMar>
          </w:tcPr>
          <w:p>
            <w:pPr>
              <w:spacing w:after="0"/>
            </w:pPr>
            <w:r>
              <w:rPr>
                <w:rFonts w:ascii="Calibri" w:hAnsi="Calibri"/>
                <w:b/>
                <w:color w:val="17324D"/>
                <w:sz w:val="19"/>
              </w:rPr>
              <w:t>Activity</w:t>
            </w:r>
          </w:p>
        </w:tc>
        <w:tc>
          <w:tcPr>
            <w:tcW w:type="dxa" w:w="2400"/>
            <w:shd w:fill="E8EEF5"/>
            <w:vAlign w:val="center"/>
            <w:tcMar>
              <w:top w:w="80" w:type="dxa"/>
              <w:start w:w="120" w:type="dxa"/>
              <w:bottom w:w="80" w:type="dxa"/>
              <w:end w:w="120" w:type="dxa"/>
            </w:tcMar>
          </w:tcPr>
          <w:p>
            <w:pPr>
              <w:spacing w:after="0"/>
            </w:pPr>
            <w:r>
              <w:rPr>
                <w:rFonts w:ascii="Calibri" w:hAnsi="Calibri"/>
                <w:b/>
                <w:color w:val="17324D"/>
                <w:sz w:val="19"/>
              </w:rPr>
              <w:t>Cadence</w:t>
            </w:r>
          </w:p>
        </w:tc>
        <w:tc>
          <w:tcPr>
            <w:tcW w:type="dxa" w:w="3960"/>
            <w:shd w:fill="E8EEF5"/>
            <w:vAlign w:val="center"/>
            <w:tcMar>
              <w:top w:w="80" w:type="dxa"/>
              <w:start w:w="120" w:type="dxa"/>
              <w:bottom w:w="80" w:type="dxa"/>
              <w:end w:w="120" w:type="dxa"/>
            </w:tcMar>
          </w:tcPr>
          <w:p>
            <w:pPr>
              <w:spacing w:after="0"/>
            </w:pPr>
            <w:r>
              <w:rPr>
                <w:rFonts w:ascii="Calibri" w:hAnsi="Calibri"/>
                <w:b/>
                <w:color w:val="17324D"/>
                <w:sz w:val="19"/>
              </w:rPr>
              <w:t>Record</w:t>
            </w:r>
          </w:p>
        </w:tc>
      </w:tr>
      <w:tr>
        <w:trPr>
          <w:cantSplit/>
        </w:trPr>
        <w:tc>
          <w:tcPr>
            <w:tcW w:type="dxa" w:w="3000"/>
            <w:vAlign w:val="center"/>
            <w:tcMar>
              <w:top w:w="80" w:type="dxa"/>
              <w:start w:w="120" w:type="dxa"/>
              <w:bottom w:w="80" w:type="dxa"/>
              <w:end w:w="120" w:type="dxa"/>
            </w:tcMar>
          </w:tcPr>
          <w:p>
            <w:pPr>
              <w:spacing w:after="0"/>
            </w:pPr>
            <w:r>
              <w:rPr>
                <w:rFonts w:ascii="Calibri" w:hAnsi="Calibri"/>
                <w:color w:val="202124"/>
                <w:sz w:val="18"/>
              </w:rPr>
              <w:t>Risk-owner update</w:t>
            </w:r>
          </w:p>
        </w:tc>
        <w:tc>
          <w:tcPr>
            <w:tcW w:type="dxa" w:w="2400"/>
            <w:vAlign w:val="center"/>
            <w:tcMar>
              <w:top w:w="80" w:type="dxa"/>
              <w:start w:w="120" w:type="dxa"/>
              <w:bottom w:w="80" w:type="dxa"/>
              <w:end w:w="120" w:type="dxa"/>
            </w:tcMar>
          </w:tcPr>
          <w:p>
            <w:pPr>
              <w:spacing w:after="0"/>
            </w:pPr>
            <w:r>
              <w:rPr>
                <w:rFonts w:ascii="Calibri" w:hAnsi="Calibri"/>
                <w:color w:val="202124"/>
                <w:sz w:val="18"/>
              </w:rPr>
              <w:t>As conditions change; at least quarterly</w:t>
            </w:r>
          </w:p>
        </w:tc>
        <w:tc>
          <w:tcPr>
            <w:tcW w:type="dxa" w:w="3960"/>
            <w:vAlign w:val="center"/>
            <w:tcMar>
              <w:top w:w="80" w:type="dxa"/>
              <w:start w:w="120" w:type="dxa"/>
              <w:bottom w:w="80" w:type="dxa"/>
              <w:end w:w="120" w:type="dxa"/>
            </w:tcMar>
          </w:tcPr>
          <w:p>
            <w:pPr>
              <w:spacing w:after="0"/>
            </w:pPr>
            <w:r>
              <w:rPr>
                <w:rFonts w:ascii="Calibri" w:hAnsi="Calibri"/>
                <w:color w:val="202124"/>
                <w:sz w:val="18"/>
              </w:rPr>
              <w:t>Risk Register</w:t>
            </w:r>
          </w:p>
        </w:tc>
      </w:tr>
      <w:tr>
        <w:trPr>
          <w:cantSplit/>
        </w:trPr>
        <w:tc>
          <w:tcPr>
            <w:tcW w:type="dxa" w:w="3000"/>
            <w:vAlign w:val="center"/>
            <w:tcMar>
              <w:top w:w="80" w:type="dxa"/>
              <w:start w:w="120" w:type="dxa"/>
              <w:bottom w:w="80" w:type="dxa"/>
              <w:end w:w="120" w:type="dxa"/>
            </w:tcMar>
          </w:tcPr>
          <w:p>
            <w:pPr>
              <w:spacing w:after="0"/>
            </w:pPr>
            <w:r>
              <w:rPr>
                <w:rFonts w:ascii="Calibri" w:hAnsi="Calibri"/>
                <w:color w:val="202124"/>
                <w:sz w:val="18"/>
              </w:rPr>
              <w:t>Formal risk review</w:t>
            </w:r>
          </w:p>
        </w:tc>
        <w:tc>
          <w:tcPr>
            <w:tcW w:type="dxa" w:w="2400"/>
            <w:vAlign w:val="center"/>
            <w:tcMar>
              <w:top w:w="80" w:type="dxa"/>
              <w:start w:w="120" w:type="dxa"/>
              <w:bottom w:w="80" w:type="dxa"/>
              <w:end w:w="120" w:type="dxa"/>
            </w:tcMar>
          </w:tcPr>
          <w:p>
            <w:pPr>
              <w:spacing w:after="0"/>
            </w:pPr>
            <w:r>
              <w:rPr>
                <w:rFonts w:ascii="Calibri" w:hAnsi="Calibri"/>
                <w:color w:val="202124"/>
                <w:sz w:val="18"/>
              </w:rPr>
              <w:t>Quarterly</w:t>
            </w:r>
          </w:p>
        </w:tc>
        <w:tc>
          <w:tcPr>
            <w:tcW w:type="dxa" w:w="3960"/>
            <w:vAlign w:val="center"/>
            <w:tcMar>
              <w:top w:w="80" w:type="dxa"/>
              <w:start w:w="120" w:type="dxa"/>
              <w:bottom w:w="80" w:type="dxa"/>
              <w:end w:w="120" w:type="dxa"/>
            </w:tcMar>
          </w:tcPr>
          <w:p>
            <w:pPr>
              <w:spacing w:after="0"/>
            </w:pPr>
            <w:r>
              <w:rPr>
                <w:rFonts w:ascii="Calibri" w:hAnsi="Calibri"/>
                <w:color w:val="202124"/>
                <w:sz w:val="18"/>
              </w:rPr>
              <w:t>Review Schedule / meeting record</w:t>
            </w:r>
          </w:p>
        </w:tc>
      </w:tr>
      <w:tr>
        <w:trPr>
          <w:cantSplit/>
        </w:trPr>
        <w:tc>
          <w:tcPr>
            <w:tcW w:type="dxa" w:w="3000"/>
            <w:vAlign w:val="center"/>
            <w:tcMar>
              <w:top w:w="80" w:type="dxa"/>
              <w:start w:w="120" w:type="dxa"/>
              <w:bottom w:w="80" w:type="dxa"/>
              <w:end w:w="120" w:type="dxa"/>
            </w:tcMar>
          </w:tcPr>
          <w:p>
            <w:pPr>
              <w:spacing w:after="0"/>
            </w:pPr>
            <w:r>
              <w:rPr>
                <w:rFonts w:ascii="Calibri" w:hAnsi="Calibri"/>
                <w:color w:val="202124"/>
                <w:sz w:val="18"/>
              </w:rPr>
              <w:t>Policy review</w:t>
            </w:r>
          </w:p>
        </w:tc>
        <w:tc>
          <w:tcPr>
            <w:tcW w:type="dxa" w:w="2400"/>
            <w:vAlign w:val="center"/>
            <w:tcMar>
              <w:top w:w="80" w:type="dxa"/>
              <w:start w:w="120" w:type="dxa"/>
              <w:bottom w:w="80" w:type="dxa"/>
              <w:end w:w="120" w:type="dxa"/>
            </w:tcMar>
          </w:tcPr>
          <w:p>
            <w:pPr>
              <w:spacing w:after="0"/>
            </w:pPr>
            <w:r>
              <w:rPr>
                <w:rFonts w:ascii="Calibri" w:hAnsi="Calibri"/>
                <w:color w:val="202124"/>
                <w:sz w:val="18"/>
              </w:rPr>
              <w:t>Annually and after material change</w:t>
            </w:r>
          </w:p>
        </w:tc>
        <w:tc>
          <w:tcPr>
            <w:tcW w:type="dxa" w:w="3960"/>
            <w:vAlign w:val="center"/>
            <w:tcMar>
              <w:top w:w="80" w:type="dxa"/>
              <w:start w:w="120" w:type="dxa"/>
              <w:bottom w:w="80" w:type="dxa"/>
              <w:end w:w="120" w:type="dxa"/>
            </w:tcMar>
          </w:tcPr>
          <w:p>
            <w:pPr>
              <w:spacing w:after="0"/>
            </w:pPr>
            <w:r>
              <w:rPr>
                <w:rFonts w:ascii="Calibri" w:hAnsi="Calibri"/>
                <w:color w:val="202124"/>
                <w:sz w:val="18"/>
              </w:rPr>
              <w:t>Document history and approval</w:t>
            </w:r>
          </w:p>
        </w:tc>
      </w:tr>
      <w:tr>
        <w:trPr>
          <w:cantSplit/>
        </w:trPr>
        <w:tc>
          <w:tcPr>
            <w:tcW w:type="dxa" w:w="3000"/>
            <w:vAlign w:val="center"/>
            <w:tcMar>
              <w:top w:w="80" w:type="dxa"/>
              <w:start w:w="120" w:type="dxa"/>
              <w:bottom w:w="80" w:type="dxa"/>
              <w:end w:w="120" w:type="dxa"/>
            </w:tcMar>
          </w:tcPr>
          <w:p>
            <w:pPr>
              <w:spacing w:after="0"/>
            </w:pPr>
            <w:r>
              <w:rPr>
                <w:rFonts w:ascii="Calibri" w:hAnsi="Calibri"/>
                <w:color w:val="202124"/>
                <w:sz w:val="18"/>
              </w:rPr>
              <w:t>Incident-driven review</w:t>
            </w:r>
          </w:p>
        </w:tc>
        <w:tc>
          <w:tcPr>
            <w:tcW w:type="dxa" w:w="2400"/>
            <w:vAlign w:val="center"/>
            <w:tcMar>
              <w:top w:w="80" w:type="dxa"/>
              <w:start w:w="120" w:type="dxa"/>
              <w:bottom w:w="80" w:type="dxa"/>
              <w:end w:w="120" w:type="dxa"/>
            </w:tcMar>
          </w:tcPr>
          <w:p>
            <w:pPr>
              <w:spacing w:after="0"/>
            </w:pPr>
            <w:r>
              <w:rPr>
                <w:rFonts w:ascii="Calibri" w:hAnsi="Calibri"/>
                <w:color w:val="202124"/>
                <w:sz w:val="18"/>
              </w:rPr>
              <w:t>After each material incident</w:t>
            </w:r>
          </w:p>
        </w:tc>
        <w:tc>
          <w:tcPr>
            <w:tcW w:type="dxa" w:w="3960"/>
            <w:vAlign w:val="center"/>
            <w:tcMar>
              <w:top w:w="80" w:type="dxa"/>
              <w:start w:w="120" w:type="dxa"/>
              <w:bottom w:w="80" w:type="dxa"/>
              <w:end w:w="120" w:type="dxa"/>
            </w:tcMar>
          </w:tcPr>
          <w:p>
            <w:pPr>
              <w:spacing w:after="0"/>
            </w:pPr>
            <w:r>
              <w:rPr>
                <w:rFonts w:ascii="Calibri" w:hAnsi="Calibri"/>
                <w:color w:val="202124"/>
                <w:sz w:val="18"/>
              </w:rPr>
              <w:t>Incident record and updated risks</w:t>
            </w:r>
          </w:p>
        </w:tc>
      </w:tr>
    </w:tbl>
    <w:p>
      <w:pPr>
        <w:spacing w:after="20"/>
      </w:pPr>
    </w:p>
    <w:p>
      <w:pPr>
        <w:pStyle w:val="Heading1"/>
      </w:pPr>
      <w:r>
        <w:t>9. References</w:t>
      </w:r>
    </w:p>
    <w:p>
      <w:pPr>
        <w:spacing w:after="80"/>
      </w:pPr>
      <w:hyperlink r:id="rId11">
        <w:r>
          <w:rPr>
            <w:color w:val="24527A"/>
            <w:u w:val="single"/>
          </w:rPr>
          <w:t>NIST Cybersecurity Framework 2.0 Small Business Quick-Start Guide</w:t>
        </w:r>
      </w:hyperlink>
    </w:p>
    <w:p>
      <w:pPr>
        <w:spacing w:after="80"/>
      </w:pPr>
      <w:hyperlink r:id="rId12">
        <w:r>
          <w:rPr>
            <w:color w:val="24527A"/>
            <w:u w:val="single"/>
          </w:rPr>
          <w:t>NIST Cybersecurity Framework 2.0</w:t>
        </w:r>
      </w:hyperlink>
    </w:p>
    <w:p>
      <w:pPr>
        <w:pStyle w:val="Heading1"/>
      </w:pPr>
      <w:r>
        <w:t>Approval</w:t>
      </w:r>
    </w:p>
    <w:p>
      <w:r>
        <w:t>This document becomes effective only when the authorized approver completes the fields below. Electronic approval recorded in the evidence repository is acceptable.</w:t>
      </w:r>
    </w:p>
    <w:tbl>
      <w:tblPr>
        <w:tblStyle w:val="TableGrid"/>
        <w:tblW w:type="dxa" w:w="9360"/>
        <w:jc w:val="left"/>
        <w:tblLayout w:type="fixed"/>
        <w:tblLook w:firstColumn="1" w:firstRow="1" w:lastColumn="0" w:lastRow="0" w:noHBand="0" w:noVBand="1" w:val="04A0"/>
        <w:tblInd w:type="dxa" w:w="120"/>
      </w:tblPr>
      <w:tblGrid>
        <w:gridCol w:w="2100"/>
        <w:gridCol w:w="1800"/>
        <w:gridCol w:w="3660"/>
        <w:gridCol w:w="1800"/>
      </w:tblGrid>
      <w:tr>
        <w:trPr>
          <w:tblHeader w:val="true"/>
          <w:cantSplit/>
        </w:trPr>
        <w:tc>
          <w:tcPr>
            <w:tcW w:type="dxa" w:w="2100"/>
            <w:shd w:fill="F2F4F7"/>
            <w:vAlign w:val="center"/>
            <w:tcMar>
              <w:top w:w="80" w:type="dxa"/>
              <w:start w:w="120" w:type="dxa"/>
              <w:bottom w:w="80" w:type="dxa"/>
              <w:end w:w="120" w:type="dxa"/>
            </w:tcMar>
          </w:tcPr>
          <w:p>
            <w:pPr>
              <w:spacing w:after="0"/>
            </w:pPr>
            <w:r>
              <w:rPr>
                <w:rFonts w:ascii="Calibri" w:hAnsi="Calibri"/>
                <w:b/>
                <w:color w:val="17324D"/>
                <w:sz w:val="19"/>
              </w:rPr>
              <w:t>Approver</w:t>
            </w:r>
          </w:p>
        </w:tc>
        <w:tc>
          <w:tcPr>
            <w:tcW w:type="dxa" w:w="1800"/>
            <w:shd w:fill="F2F4F7"/>
            <w:vAlign w:val="center"/>
            <w:tcMar>
              <w:top w:w="80" w:type="dxa"/>
              <w:start w:w="120" w:type="dxa"/>
              <w:bottom w:w="80" w:type="dxa"/>
              <w:end w:w="120" w:type="dxa"/>
            </w:tcMar>
          </w:tcPr>
          <w:p>
            <w:pPr>
              <w:spacing w:after="0"/>
            </w:pPr>
            <w:r>
              <w:rPr>
                <w:rFonts w:ascii="Calibri" w:hAnsi="Calibri"/>
                <w:b/>
                <w:color w:val="17324D"/>
                <w:sz w:val="19"/>
              </w:rPr>
              <w:t>Role</w:t>
            </w:r>
          </w:p>
        </w:tc>
        <w:tc>
          <w:tcPr>
            <w:tcW w:type="dxa" w:w="3660"/>
            <w:shd w:fill="F2F4F7"/>
            <w:vAlign w:val="center"/>
            <w:tcMar>
              <w:top w:w="80" w:type="dxa"/>
              <w:start w:w="120" w:type="dxa"/>
              <w:bottom w:w="80" w:type="dxa"/>
              <w:end w:w="120" w:type="dxa"/>
            </w:tcMar>
          </w:tcPr>
          <w:p>
            <w:pPr>
              <w:spacing w:after="0"/>
            </w:pPr>
            <w:r>
              <w:rPr>
                <w:rFonts w:ascii="Calibri" w:hAnsi="Calibri"/>
                <w:b/>
                <w:color w:val="17324D"/>
                <w:sz w:val="19"/>
              </w:rPr>
              <w:t>Approval / signature</w:t>
            </w:r>
          </w:p>
        </w:tc>
        <w:tc>
          <w:tcPr>
            <w:tcW w:type="dxa" w:w="1800"/>
            <w:shd w:fill="F2F4F7"/>
            <w:vAlign w:val="center"/>
            <w:tcMar>
              <w:top w:w="80" w:type="dxa"/>
              <w:start w:w="120" w:type="dxa"/>
              <w:bottom w:w="80" w:type="dxa"/>
              <w:end w:w="120" w:type="dxa"/>
            </w:tcMar>
          </w:tcPr>
          <w:p>
            <w:pPr>
              <w:spacing w:after="0"/>
            </w:pPr>
            <w:r>
              <w:rPr>
                <w:rFonts w:ascii="Calibri" w:hAnsi="Calibri"/>
                <w:b/>
                <w:color w:val="17324D"/>
                <w:sz w:val="19"/>
              </w:rPr>
              <w:t>Date</w:t>
            </w:r>
          </w:p>
        </w:tc>
      </w:tr>
      <w:tr>
        <w:trPr>
          <w:cantSplit/>
        </w:trPr>
        <w:tc>
          <w:tcPr>
            <w:tcW w:type="dxa" w:w="2100"/>
            <w:vAlign w:val="center"/>
            <w:tcMar>
              <w:top w:w="80" w:type="dxa"/>
              <w:start w:w="120" w:type="dxa"/>
              <w:bottom w:w="80" w:type="dxa"/>
              <w:end w:w="120" w:type="dxa"/>
            </w:tcMar>
          </w:tcPr>
          <w:p>
            <w:pPr>
              <w:spacing w:after="0"/>
            </w:pPr>
            <w:r>
              <w:rPr>
                <w:rFonts w:ascii="Calibri" w:hAnsi="Calibri"/>
                <w:color w:val="202124"/>
                <w:sz w:val="18"/>
              </w:rPr>
              <w:t>[name]</w:t>
            </w:r>
          </w:p>
        </w:tc>
        <w:tc>
          <w:tcPr>
            <w:tcW w:type="dxa" w:w="1800"/>
            <w:vAlign w:val="center"/>
            <w:tcMar>
              <w:top w:w="80" w:type="dxa"/>
              <w:start w:w="120" w:type="dxa"/>
              <w:bottom w:w="80" w:type="dxa"/>
              <w:end w:w="120" w:type="dxa"/>
            </w:tcMar>
          </w:tcPr>
          <w:p>
            <w:pPr>
              <w:spacing w:after="0"/>
            </w:pPr>
            <w:r>
              <w:rPr>
                <w:rFonts w:ascii="Calibri" w:hAnsi="Calibri"/>
                <w:color w:val="202124"/>
                <w:sz w:val="18"/>
              </w:rPr>
              <w:t>Product Owner</w:t>
            </w:r>
          </w:p>
        </w:tc>
        <w:tc>
          <w:tcPr>
            <w:tcW w:type="dxa" w:w="3660"/>
            <w:vAlign w:val="center"/>
            <w:tcMar>
              <w:top w:w="80" w:type="dxa"/>
              <w:start w:w="120" w:type="dxa"/>
              <w:bottom w:w="80" w:type="dxa"/>
              <w:end w:w="120" w:type="dxa"/>
            </w:tcMar>
          </w:tcPr>
          <w:p>
            <w:pPr>
              <w:spacing w:after="0"/>
            </w:pPr>
            <w:r>
              <w:rPr>
                <w:rFonts w:ascii="Calibri" w:hAnsi="Calibri"/>
                <w:color w:val="202124"/>
                <w:sz w:val="18"/>
              </w:rPr>
              <w:t>[sign or link to approval record]</w:t>
            </w:r>
          </w:p>
        </w:tc>
        <w:tc>
          <w:tcPr>
            <w:tcW w:type="dxa" w:w="1800"/>
            <w:vAlign w:val="center"/>
            <w:tcMar>
              <w:top w:w="80" w:type="dxa"/>
              <w:start w:w="120" w:type="dxa"/>
              <w:bottom w:w="80" w:type="dxa"/>
              <w:end w:w="120" w:type="dxa"/>
            </w:tcMar>
          </w:tcPr>
          <w:p>
            <w:pPr>
              <w:spacing w:after="0"/>
            </w:pPr>
            <w:r>
              <w:rPr>
                <w:rFonts w:ascii="Calibri" w:hAnsi="Calibri"/>
                <w:color w:val="202124"/>
                <w:sz w:val="18"/>
              </w:rPr>
              <w:t>[yyyy-mm-dd]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7085"/>
        <w:sz w:val="17"/>
      </w:rPr>
      <w:t xml:space="preserve">Internal governance record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7"/>
      </w:rPr>
      <w:t>CERTSCORE  |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Symbol" w:hAnsi="Symbol"/>
      </w:r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4527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452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src.nist.gov/pubs/sp/1300/final" TargetMode="External"/><Relationship Id="rId12" Type="http://schemas.openxmlformats.org/officeDocument/2006/relationships/hyperlink" Target="https://www.nist.gov/cyber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Information Security Risk Management Policy</dc:title>
  <dc:subject>CertScore security and privacy governance</dc:subject>
  <dc:creator>CertScore</dc:creator>
  <cp:keywords>security, privacy, risk, incident response, DPIA</cp:keywords>
  <dc:description>generated by python-docx</dc:description>
  <cp:lastModifiedBy/>
  <cp:revision>1</cp:revision>
  <dcterms:created xsi:type="dcterms:W3CDTF">2013-12-23T23:15:00Z</dcterms:created>
  <dcterms:modified xsi:type="dcterms:W3CDTF">2013-12-23T23:15:00Z</dcterms:modified>
  <cp:category/>
</cp:coreProperties>
</file>