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Incident Response and Personal Data Breach Procedure</w:t>
      </w:r>
    </w:p>
    <w:p>
      <w:pPr>
        <w:pStyle w:val="Subtitle"/>
      </w:pPr>
      <w:r>
        <w:t>A single, bounded playbook for technical response, breach assessment, and time-sensitive notification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Organization: </w:t>
      </w:r>
      <w:r>
        <w:rPr>
          <w:rFonts w:ascii="Calibri" w:hAnsi="Calibri"/>
          <w:color w:val="202124"/>
          <w:sz w:val="22"/>
        </w:rPr>
        <w:t>CertScore (replace with the legal entity name if different)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Version: </w:t>
      </w:r>
      <w:r>
        <w:rPr>
          <w:rFonts w:ascii="Calibri" w:hAnsi="Calibri"/>
          <w:color w:val="202124"/>
          <w:sz w:val="22"/>
        </w:rPr>
        <w:t>1.0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Status: </w:t>
      </w:r>
      <w:r>
        <w:rPr>
          <w:rFonts w:ascii="Calibri" w:hAnsi="Calibri"/>
          <w:color w:val="202124"/>
          <w:sz w:val="22"/>
        </w:rPr>
        <w:t>Ready for approval - not effective until signed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Owner: </w:t>
      </w:r>
      <w:r>
        <w:rPr>
          <w:rFonts w:ascii="Calibri" w:hAnsi="Calibri"/>
          <w:color w:val="202124"/>
          <w:sz w:val="22"/>
        </w:rPr>
        <w:t>Product Owner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Effective date: </w:t>
      </w:r>
      <w:r>
        <w:rPr>
          <w:rFonts w:ascii="Calibri" w:hAnsi="Calibri"/>
          <w:color w:val="202124"/>
          <w:sz w:val="22"/>
        </w:rPr>
        <w:t>[enter adoption date]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Next review: </w:t>
      </w:r>
      <w:r>
        <w:rPr>
          <w:rFonts w:ascii="Calibri" w:hAnsi="Calibri"/>
          <w:color w:val="202124"/>
          <w:sz w:val="22"/>
        </w:rPr>
        <w:t>12 months after adoption, or sooner after a material change</w:t>
      </w:r>
    </w:p>
    <w:p>
      <w:pPr>
        <w:spacing w:before="160" w:after="280"/>
        <w:pBdr>
          <w:bottom w:val="single" w:sz="12" w:space="1" w:color="24527A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2"/>
              </w:rPr>
              <w:t xml:space="preserve">Emergency rule: </w:t>
            </w:r>
            <w:r>
              <w:rPr>
                <w:rFonts w:ascii="Calibri" w:hAnsi="Calibri"/>
                <w:color w:val="202124"/>
                <w:sz w:val="22"/>
              </w:rPr>
              <w:t>If an event may be actively harming systems or people, contain it safely and notify the Incident Lead immediately. Do not wait for complete information.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 and scope</w:t>
      </w:r>
    </w:p>
    <w:p>
      <w:r>
        <w:t>This procedure applies to suspected or confirmed events affecting CertScore systems, credentials, source code, AWS resources, endpoints, suppliers, customer/account data, scan evidence, or service availability. It covers security incidents and personal data breaches, including events reported by processors or suppliers.</w:t>
      </w:r>
    </w:p>
    <w:p>
      <w:pPr>
        <w:pStyle w:val="Heading1"/>
      </w:pPr>
      <w:r>
        <w:t>2. Roles and contact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5000"/>
        <w:gridCol w:w="2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Role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Authority / duty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Named contact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Incident Lead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Classifies severity; coordinates containment, investigation, recovery, communications, and closure.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 / phone / email]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Technical Lead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Preserves evidence; contains and remediates; maintains technical timeline.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 / phone / email]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Privacy Lead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Determines whether personal data is involved; coordinates risk assessment and notification advice.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 / phone / email]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Communications owner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Approves accurate customer, partner, insurer, or public communications.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 / phone / email]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External counsel / adviser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Provides jurisdiction-specific legal advice where needed.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[firm / emergency contact]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2"/>
              </w:rPr>
              <w:t xml:space="preserve">Activation: </w:t>
            </w:r>
            <w:r>
              <w:rPr>
                <w:rFonts w:ascii="Calibri" w:hAnsi="Calibri"/>
                <w:color w:val="202124"/>
                <w:sz w:val="22"/>
              </w:rPr>
              <w:t>Any person may activate this procedure by contacting the Incident Lead. If the Incident Lead is unavailable, contact the Product Owner, then the Technical Lead.</w:t>
            </w:r>
          </w:p>
        </w:tc>
      </w:tr>
    </w:tbl>
    <w:p>
      <w:pPr>
        <w:spacing w:after="20"/>
      </w:pPr>
    </w:p>
    <w:p>
      <w:pPr>
        <w:pStyle w:val="Heading1"/>
      </w:pPr>
      <w:r>
        <w:t>3. What to report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Suspected unauthorized access, credential exposure, malicious code, data disclosure, alteration, loss, or unavailable data.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Unexpected privileged activity, production compromise, vulnerable dependency exploitation, lost device, phishing, or supplier notification.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Material outage, denial of service, corrupted backups, or control failure with security implications.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Any accidental email, upload, log, support exchange, repository change, or scan artifact exposure involving personal or confidential information.</w:t>
      </w:r>
    </w:p>
    <w:p>
      <w:pPr>
        <w:pStyle w:val="Heading1"/>
      </w:pPr>
      <w:r>
        <w:t>4. Severity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5160"/>
        <w:gridCol w:w="270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Level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Examples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Initial response target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SEV-1 Critical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Active compromise; material sensitive-data exposure; widespread outage; likely serious harm.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Immediate; page Incident Lead and Product Owner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SEV-2 High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Confirmed contained compromise; limited data exposure; significant service or supplier event.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Within 1 hour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SEV-3 Moderate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Suspicious activity or control failure with limited impact and no confirmed compromise.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Same business day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SEV-4 Low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Minor event, unsuccessful attempt, or policy issue without material impact.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Within 2 business days</w:t>
            </w:r>
          </w:p>
        </w:tc>
      </w:tr>
    </w:tbl>
    <w:p>
      <w:pPr>
        <w:spacing w:after="20"/>
      </w:pPr>
    </w:p>
    <w:p>
      <w:pPr>
        <w:pStyle w:val="Heading1"/>
      </w:pPr>
      <w:r>
        <w:t>5. Response workflow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Detect and open a record. Record discovery time, reporter, systems, initial facts, and evidence location. Use UTC for the technical timeline.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Triage and classify. Decide severity, whether personal data may be involved, who must be engaged, and whether the event is continuing.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Contain safely. Revoke exposed credentials, isolate affected resources, block malicious paths, or disable a feature as appropriate. Preserve logs and snapshots before destructive remediation when safe.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Investigate. Establish what happened, attack/failure path, affected systems and data, actors, time period, and confidence. Record facts separately from hypotheses.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Eradicate and recover. Remove the cause, patch or rebuild, validate configuration and credentials, restore service, and monitor for recurrence.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Communicate and notify. Use the breach workflow below and any contractual, insurer, customer, law-enforcement, or sector-specific requirements.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Close and learn. Confirm recovery, document decisions, assign improvements, update the risk register, and hold a lessons-learned review within 10 business days for SEV-1/2.</w:t>
      </w:r>
    </w:p>
    <w:p>
      <w:pPr>
        <w:pStyle w:val="Heading1"/>
      </w:pPr>
      <w:r>
        <w:t>6. Personal data breach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2"/>
              </w:rPr>
              <w:t xml:space="preserve">Start the clock: </w:t>
            </w:r>
            <w:r>
              <w:rPr>
                <w:rFonts w:ascii="Calibri" w:hAnsi="Calibri"/>
                <w:color w:val="202124"/>
                <w:sz w:val="22"/>
              </w:rPr>
              <w:t>Record the date and time when CertScore has a reasonable degree of certainty that a security incident compromised personal data. Do not defer this timestamp while waiting for a complete investigation.</w:t>
            </w:r>
          </w:p>
        </w:tc>
      </w:tr>
    </w:tbl>
    <w:p>
      <w:pPr>
        <w:spacing w:after="20"/>
      </w:pP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Determine role and jurisdiction: controller, processor, or both; affected individuals' locations; lead/relevant supervisory authority; and applicable contracts.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If acting as a processor, notify the relevant controller without undue delay and follow the contract. Do not wait for a controller-level risk determination.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If acting as controller, assess likely risk to individuals using data sensitivity, volume, identifiability, security protections, ease of misuse, affected individuals, and plausible consequences.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Notify the relevant EU/UK authority without undue delay and, where feasible, within 72 hours after awareness when the applicable legal threshold is met. If reporting late, document reasons. Submit information in phases if necessary.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Inform affected individuals without undue delay when the applicable high-risk threshold is met, using clear language and practical protective steps, unless a lawful exception applies.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Record every personal data breach and the notification decision, including non-notification rationale, evidence considered, actions, and approvals.</w:t>
      </w:r>
    </w:p>
    <w:p>
      <w:pPr>
        <w:pStyle w:val="Heading1"/>
      </w:pPr>
      <w:r>
        <w:t>7. 72-hour decision schedule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Elapsed time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Minimum action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0-4 hours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Open record; preserve evidence; contain; identify Incident and Privacy Leads; establish awareness time and known jurisdictions.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By 12 hours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Initial data/individual impact assessment; controller/processor analysis; contact counsel/adviser for uncertainty or material risk.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By 24 hours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Draft notification or documented non-notification rationale; identify authority and required contractual notices.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By 48 hours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Decision review and approval; fill known notification fields; plan phased follow-up for missing facts.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Before 72 hours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Submit required regulator notification; retain confirmation. If late, document reasons and notify without further delay.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After submission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Update authority and affected parties without undue delay; continue containment, investigation, and logging.</w:t>
            </w:r>
          </w:p>
        </w:tc>
      </w:tr>
    </w:tbl>
    <w:p>
      <w:pPr>
        <w:spacing w:after="20"/>
      </w:pPr>
    </w:p>
    <w:p>
      <w:pPr>
        <w:pStyle w:val="Heading1"/>
      </w:pPr>
      <w:r>
        <w:t>8. Notification information checklist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Nature of the breach, including confidentiality, integrity, and/or availability impact.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Categories and approximate numbers of affected individuals and personal-data records, where possible.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Privacy/DPO or other contact point.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Likely consequences for individuals.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Measures taken or proposed to address and mitigate adverse effects.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Awareness time, notification time, missing information, planned updates, and any reason for delay.</w:t>
      </w:r>
    </w:p>
    <w:p>
      <w:pPr>
        <w:pStyle w:val="Heading1"/>
      </w:pPr>
      <w:r>
        <w:t>9. Communications and evidence rules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Only authorized owners communicate externally. Communications must distinguish confirmed facts from estimates and avoid unsupported legal conclusions.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Preserve relevant logs, alerts, tickets, IAM records, configuration, screenshots, vendor communications, and decision records in a restricted evidence location.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Do not place secrets, bearer tokens, raw sensitive URLs, or unnecessary personal data into broad chat, tickets, or the operational register.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Maintain chain-of-custody notes when evidence may support litigation, insurance, law enforcement, or regulatory review.</w:t>
      </w:r>
    </w:p>
    <w:p>
      <w:pPr>
        <w:pStyle w:val="Heading1"/>
      </w:pPr>
      <w:r>
        <w:t>10. Testing and maintenance</w:t>
      </w:r>
    </w:p>
    <w:p>
      <w:r>
        <w:t>Run a tabletop exercise at least annually and after material changes to personnel or architecture. Test contacts, escalation, access to evidence, containment authority, breach-clock decisions, notification drafting, and restoration. Record gaps, owners, and due dates.</w:t>
      </w:r>
    </w:p>
    <w:p>
      <w:pPr>
        <w:pStyle w:val="Heading1"/>
      </w:pPr>
      <w:r>
        <w:t>11. References</w:t>
      </w:r>
    </w:p>
    <w:p>
      <w:pPr>
        <w:spacing w:after="80"/>
      </w:pPr>
      <w:hyperlink r:id="rId11">
        <w:r>
          <w:rPr>
            <w:color w:val="24527A"/>
            <w:u w:val="single"/>
          </w:rPr>
          <w:t>ICO personal data breach guidance</w:t>
        </w:r>
      </w:hyperlink>
    </w:p>
    <w:p>
      <w:pPr>
        <w:spacing w:after="80"/>
      </w:pPr>
      <w:hyperlink r:id="rId12">
        <w:r>
          <w:rPr>
            <w:color w:val="24527A"/>
            <w:u w:val="single"/>
          </w:rPr>
          <w:t>EDPB Guidelines 9/2022 on personal data breach notification</w:t>
        </w:r>
      </w:hyperlink>
    </w:p>
    <w:p>
      <w:pPr>
        <w:spacing w:after="80"/>
      </w:pPr>
      <w:hyperlink r:id="rId13">
        <w:r>
          <w:rPr>
            <w:color w:val="24527A"/>
            <w:u w:val="single"/>
          </w:rPr>
          <w:t>NIST SP 800-61 Rev. 3</w:t>
        </w:r>
      </w:hyperlink>
    </w:p>
    <w:p>
      <w:pPr>
        <w:pStyle w:val="Heading1"/>
      </w:pPr>
      <w:r>
        <w:t>Approval</w:t>
      </w:r>
    </w:p>
    <w:p>
      <w:r>
        <w:t>This document becomes effective only when the authorized approver completes the fields below. Electronic approval recorded in the evidence repository is acceptable.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800"/>
        <w:gridCol w:w="3660"/>
        <w:gridCol w:w="180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Approver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Role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Approval / signature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Product Owner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[sign or link to approval record]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[yyyy-mm-dd]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Internal governance record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CERTSCORE  | 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co.org.uk/for-organisations/report-a-breach/personal-data-breach/personal-data-breaches-a-guide/" TargetMode="External"/><Relationship Id="rId12" Type="http://schemas.openxmlformats.org/officeDocument/2006/relationships/hyperlink" Target="https://www.edpb.europa.eu/our-work-tools/our-documents/guidelines/guidelines-92022-personal-data-breach-notification-under_en" TargetMode="External"/><Relationship Id="rId13" Type="http://schemas.openxmlformats.org/officeDocument/2006/relationships/hyperlink" Target="https://csrc.nist.gov/pubs/sp/800/61/r3/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Incident Response and Breach Notification Procedure</dc:title>
  <dc:subject>CertScore security and privacy governance</dc:subject>
  <dc:creator>CertScore</dc:creator>
  <cp:keywords>security, privacy, risk, incident response, DPIA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