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Risk Assessment and DPIA Procedure</w:t>
      </w:r>
    </w:p>
    <w:p>
      <w:pPr>
        <w:pStyle w:val="Subtitle"/>
      </w:pPr>
      <w:r>
        <w:t>Routine privacy screening, triggered DPIAs, and periodic review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Organization: </w:t>
      </w:r>
      <w:r>
        <w:rPr>
          <w:rFonts w:ascii="Calibri" w:hAnsi="Calibri"/>
          <w:color w:val="202124"/>
          <w:sz w:val="22"/>
        </w:rPr>
        <w:t>CertScore (replace with the legal entity name if different)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Version: </w:t>
      </w:r>
      <w:r>
        <w:rPr>
          <w:rFonts w:ascii="Calibri" w:hAnsi="Calibri"/>
          <w:color w:val="202124"/>
          <w:sz w:val="22"/>
        </w:rPr>
        <w:t>1.0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Status: </w:t>
      </w:r>
      <w:r>
        <w:rPr>
          <w:rFonts w:ascii="Calibri" w:hAnsi="Calibri"/>
          <w:color w:val="202124"/>
          <w:sz w:val="22"/>
        </w:rPr>
        <w:t>Ready for approval - not effective until signed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Owner: </w:t>
      </w:r>
      <w:r>
        <w:rPr>
          <w:rFonts w:ascii="Calibri" w:hAnsi="Calibri"/>
          <w:color w:val="202124"/>
          <w:sz w:val="22"/>
        </w:rPr>
        <w:t>Product Owner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Effective date: </w:t>
      </w:r>
      <w:r>
        <w:rPr>
          <w:rFonts w:ascii="Calibri" w:hAnsi="Calibri"/>
          <w:color w:val="202124"/>
          <w:sz w:val="22"/>
        </w:rPr>
        <w:t>[enter adoption date]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Next review: </w:t>
      </w:r>
      <w:r>
        <w:rPr>
          <w:rFonts w:ascii="Calibri" w:hAnsi="Calibri"/>
          <w:color w:val="202124"/>
          <w:sz w:val="22"/>
        </w:rPr>
        <w:t>12 months after adoption, or sooner after a material change</w:t>
      </w:r>
    </w:p>
    <w:p>
      <w:pPr>
        <w:spacing w:before="160" w:after="280"/>
        <w:pBdr>
          <w:bottom w:val="single" w:sz="12" w:space="1" w:color="24527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Core rule: </w:t>
            </w:r>
            <w:r>
              <w:rPr>
                <w:rFonts w:ascii="Calibri" w:hAnsi="Calibri"/>
                <w:color w:val="202124"/>
                <w:sz w:val="22"/>
              </w:rPr>
              <w:t>Every material change involving personal data receives a documented privacy screening before production. A full DPIA is required when the proposed processing is likely to result in high risk to individuals.</w:t>
            </w:r>
          </w:p>
        </w:tc>
      </w:tr>
    </w:tbl>
    <w:p>
      <w:pPr>
        <w:spacing w:after="20"/>
      </w:pPr>
    </w:p>
    <w:p>
      <w:pPr>
        <w:pStyle w:val="Heading1"/>
      </w:pPr>
      <w:r>
        <w:t>1. Scope</w:t>
      </w:r>
    </w:p>
    <w:p>
      <w:r>
        <w:t>This procedure applies to new or materially changed products, scan and report data flows, analytics, account or support functions, AI/model use, vendors, integrations, cookies, retention, sharing, transfers, security controls, and uses of personal data.</w:t>
      </w:r>
    </w:p>
    <w:p>
      <w:pPr>
        <w:pStyle w:val="Heading1"/>
      </w:pPr>
      <w:r>
        <w:t>2.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Role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Product Owner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Ensures screening occurs; approves risk acceptance and launch decisions; commissions advice where necessary.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Feature/process owner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Provides accurate purpose, data-flow, vendor, retention, security, and user-impact details; implements mitigations.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Privacy reviewer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Performs or reviews screening/DPIA; tests necessity and proportionality; records conclusion and residual risk.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Engineering / operations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Confirms actual architecture, access, logging, retention, deletion, transfer, and security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3. When screening is required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Before launching a new product, feature, processing purpose, personal-data category, tracking technology, or AI/model workflow.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Before onboarding a processor or integration that receives personal data, or materially changing a vendor's purpose, location, subprocessors, or retention.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When processing scale, matching, monitoring, automation, profiling, identifiability, retention, access, disclosure, or geography materially changes.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After a material incident, complaint trend, regulatory change, or evidence that an existing assessment is no longer accurate.</w:t>
      </w:r>
    </w:p>
    <w:p>
      <w:pPr>
        <w:pStyle w:val="Heading1"/>
      </w:pPr>
      <w:r>
        <w:t>4. Screening procedure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Describe the processing: purpose, data subjects, data fields/categories, sources, recipients, systems, countries, retention, deletion, and role (controller/processor).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Confirm necessity and proportionality: why each data element and recipient is needed; whether a less intrusive design could meet the purpose; how notices, choice, and rights are supported.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Assess security and privacy risks: unauthorized access, misuse, inaccuracy, excessive collection/retention, unexpected use, re-identification, discrimination, exclusion, surveillance, or inability to exercise rights.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Apply the DPIA trigger test. Record each trigger as Yes, No, or Unknown with rationale and evidence.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Decide: no DPIA presently required; full DPIA required before launch; or review required because evidence is incomplete. Unknown does not become No solely because evidence is absent.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Approve, retain, implement mitigations, and set a review date. Re-screen if the implementation changes materially.</w:t>
      </w:r>
    </w:p>
    <w:p>
      <w:pPr>
        <w:pStyle w:val="Heading1"/>
      </w:pPr>
      <w:r>
        <w:t>5. DPIA trigger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Trigger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Examples / interpretation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Systematic and extensive evaluation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Profiling or automated assessment that produces legal or similarly significant effects.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Large-scale sensitive or criminal-offence data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Special-category, highly sensitive, or offence data processed at material scale.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Systematic monitoring of public areas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Persistent or large-scale observation, location, or behavioral tracking.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Innovative technology plus risk factors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Novel technology combined with scale, monitoring, vulnerability, matching, or meaningful consequences.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Data matching or combining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Datasets combined in ways individuals would not reasonably expect, especially across contexts.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Vulnerable individuals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Children, employees, patients, financially vulnerable people, or material power imbalance.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Denial of service, benefit, or right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Processing determines access to a service, opportunity, benefit, or exercise of rights.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Other likely high risk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Nature, scope, context, and purpose create a credible likelihood of significant harm.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Conservative outcome: </w:t>
            </w:r>
            <w:r>
              <w:rPr>
                <w:rFonts w:ascii="Calibri" w:hAnsi="Calibri"/>
                <w:color w:val="202124"/>
                <w:sz w:val="22"/>
              </w:rPr>
              <w:t>If a trigger is plausibly present and cannot be resolved through screening, perform the DPIA or obtain qualified advice before production.</w:t>
            </w:r>
          </w:p>
        </w:tc>
      </w:tr>
    </w:tbl>
    <w:p>
      <w:pPr>
        <w:spacing w:after="20"/>
      </w:pPr>
    </w:p>
    <w:p>
      <w:pPr>
        <w:pStyle w:val="Heading1"/>
      </w:pPr>
      <w:r>
        <w:t>6. Minimum DPIA contents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 systematic description of processing operations, purposes, roles, data flows, systems, recipients, locations, and retention.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An assessment of necessity and proportionality, including data minimization and less intrusive alternatives.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An assessment of risks to individuals' rights and freedoms, including likelihood, severity, affected groups, and evidence.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Measures addressing each risk, expected residual risk, owner, due date, and evidence of implementation.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Stakeholder, data-subject, DPO, counsel, security, or technical consultation where appropriate.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 signed decision to proceed, modify, defer, or stop. Where high residual risk cannot be mitigated, obtain required supervisory consultation before processing.</w:t>
      </w:r>
    </w:p>
    <w:p>
      <w:pPr>
        <w:pStyle w:val="Heading1"/>
      </w:pPr>
      <w:r>
        <w:t>7. Privacy/DPIA assessment 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Field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Project / processing activity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and owner]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Purpose and expected benefit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[specific purpose; avoid broad future-use language]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Individuals and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[categories, sources, approximate volume, sensitivity]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Data flow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[collection -&gt; use -&gt; storage -&gt; recipients -&gt; deletion]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Roles and jurisdictions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[controller/processor; locations and transfers]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Necessity / alternatives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[why needed; lower-impact options considered]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Transparency and rights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[notice, choice, access, deletion, objection, human review]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Security and retention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[access, encryption, logging, backups, deletion schedule]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DPIA triggers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[Yes / No / Unknown for every Section 5 trigger, with rationale]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Risks and mitigations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[scenario, likelihood, impact, action, owner, due date]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[No DPIA / DPIA required / Review required; approver and date]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Review trigger/date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[material-change triggers and scheduled date]</w:t>
            </w:r>
          </w:p>
        </w:tc>
      </w:tr>
    </w:tbl>
    <w:p>
      <w:pPr>
        <w:spacing w:after="20"/>
      </w:pPr>
    </w:p>
    <w:p>
      <w:pPr>
        <w:pStyle w:val="Heading1"/>
      </w:pPr>
      <w:r>
        <w:t>8. Recurring review</w:t>
      </w:r>
    </w:p>
    <w:p>
      <w:r>
        <w:t>The Product Owner conducts a quarterly review covering new or changed processing, open actions, incidents/complaints, vendor changes, retention/deletion, and overdue assessments. Review completed screenings and DPIAs at least annually and after material changes to the processing or its risks and controls.</w:t>
      </w:r>
    </w:p>
    <w:p>
      <w:pPr>
        <w:pStyle w:val="Heading1"/>
      </w:pPr>
      <w:r>
        <w:t>9. Records and retention</w:t>
      </w:r>
    </w:p>
    <w:p>
      <w:r>
        <w:t>Retain screenings, decisions, approvals, mitigations, evidence references, and review history while processing continues and for at least two years afterward unless a longer period applies. Restrict access and avoid unnecessary personal data.</w:t>
      </w:r>
    </w:p>
    <w:p>
      <w:pPr>
        <w:pStyle w:val="Heading1"/>
      </w:pPr>
      <w:r>
        <w:t>10. References</w:t>
      </w:r>
    </w:p>
    <w:p>
      <w:pPr>
        <w:spacing w:after="80"/>
      </w:pPr>
      <w:hyperlink r:id="rId11">
        <w:r>
          <w:rPr>
            <w:color w:val="24527A"/>
            <w:u w:val="single"/>
          </w:rPr>
          <w:t>ICO Data Protection Impact Assessment guidance</w:t>
        </w:r>
      </w:hyperlink>
    </w:p>
    <w:p>
      <w:pPr>
        <w:spacing w:after="80"/>
      </w:pPr>
      <w:hyperlink r:id="rId12">
        <w:r>
          <w:rPr>
            <w:color w:val="24527A"/>
            <w:u w:val="single"/>
          </w:rPr>
          <w:t>European Commission: When is a DPIA required?</w:t>
        </w:r>
      </w:hyperlink>
    </w:p>
    <w:p>
      <w:pPr>
        <w:pStyle w:val="Heading1"/>
      </w:pPr>
      <w:r>
        <w:t>Approval</w:t>
      </w:r>
    </w:p>
    <w:p>
      <w:r>
        <w:t>This document becomes effective only when the authorized approver completes the fields below. Electronic approval recorded in the evidence repository is acceptable.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800"/>
        <w:gridCol w:w="3660"/>
        <w:gridCol w:w="18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Approver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Role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Approval / signature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Product Owner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[sign or link to approval record]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Internal governance record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CERTSCORE  | 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co.org.uk/for-organisations/uk-gdpr-guidance-and-resources/accountability-and-governance/data-protection-impact-assessments-dpias/" TargetMode="External"/><Relationship Id="rId12" Type="http://schemas.openxmlformats.org/officeDocument/2006/relationships/hyperlink" Target="https://commission.europa.eu/law/law-topic/data-protection/information-business-and-organisations/obligations/when-data-protection-impact-assessment-dpia-required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Privacy Risk and DPIA Procedure</dc:title>
  <dc:subject>CertScore security and privacy governance</dc:subject>
  <dc:creator>CertScore</dc:creator>
  <cp:keywords>security, privacy, risk, incident response, DPIA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