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Governance Adoption and Assurance Record</w:t>
      </w:r>
    </w:p>
    <w:p>
      <w:pPr>
        <w:pStyle w:val="Subtitle"/>
      </w:pPr>
      <w:r>
        <w:t>The sign-off and evidence record that turns policy templates into operating processes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Organization: </w:t>
      </w:r>
      <w:r>
        <w:rPr>
          <w:rFonts w:ascii="Calibri" w:hAnsi="Calibri"/>
          <w:color w:val="202124"/>
          <w:sz w:val="22"/>
        </w:rPr>
        <w:t>CertScore (replace with the legal entity name if different)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Version: </w:t>
      </w:r>
      <w:r>
        <w:rPr>
          <w:rFonts w:ascii="Calibri" w:hAnsi="Calibri"/>
          <w:color w:val="202124"/>
          <w:sz w:val="22"/>
        </w:rPr>
        <w:t>1.0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Status: </w:t>
      </w:r>
      <w:r>
        <w:rPr>
          <w:rFonts w:ascii="Calibri" w:hAnsi="Calibri"/>
          <w:color w:val="202124"/>
          <w:sz w:val="22"/>
        </w:rPr>
        <w:t>Ready for approval - not effective until signed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Owner: </w:t>
      </w:r>
      <w:r>
        <w:rPr>
          <w:rFonts w:ascii="Calibri" w:hAnsi="Calibri"/>
          <w:color w:val="202124"/>
          <w:sz w:val="22"/>
        </w:rPr>
        <w:t>Product Owner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Effective date: </w:t>
      </w:r>
      <w:r>
        <w:rPr>
          <w:rFonts w:ascii="Calibri" w:hAnsi="Calibri"/>
          <w:color w:val="202124"/>
          <w:sz w:val="22"/>
        </w:rPr>
        <w:t>[enter adoption date]</w:t>
      </w:r>
    </w:p>
    <w:p>
      <w:pPr>
        <w:spacing w:after="40"/>
      </w:pPr>
      <w:r>
        <w:rPr>
          <w:rFonts w:ascii="Calibri" w:hAnsi="Calibri"/>
          <w:b/>
          <w:color w:val="202124"/>
          <w:sz w:val="22"/>
        </w:rPr>
        <w:t xml:space="preserve">Next review: </w:t>
      </w:r>
      <w:r>
        <w:rPr>
          <w:rFonts w:ascii="Calibri" w:hAnsi="Calibri"/>
          <w:color w:val="202124"/>
          <w:sz w:val="22"/>
        </w:rPr>
        <w:t>12 months after adoption, or sooner after a material change</w:t>
      </w:r>
    </w:p>
    <w:p>
      <w:pPr>
        <w:spacing w:before="160" w:after="280"/>
        <w:pBdr>
          <w:bottom w:val="single" w:sz="12" w:space="1" w:color="24527A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2"/>
              </w:rPr>
              <w:t xml:space="preserve">Current state: </w:t>
            </w:r>
            <w:r>
              <w:rPr>
                <w:rFonts w:ascii="Calibri" w:hAnsi="Calibri"/>
                <w:color w:val="202124"/>
                <w:sz w:val="22"/>
              </w:rPr>
              <w:t>The companion policies and workbook are ready for adoption. Do not represent them as approved, tested, or operating until the corresponding evidence below is completed.</w:t>
            </w:r>
          </w:p>
        </w:tc>
      </w:tr>
    </w:tbl>
    <w:p>
      <w:pPr>
        <w:spacing w:after="20"/>
      </w:pPr>
    </w:p>
    <w:p>
      <w:pPr>
        <w:pStyle w:val="Heading1"/>
      </w:pPr>
      <w:r>
        <w:t>1. Pack contents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00"/>
        <w:gridCol w:w="3700"/>
        <w:gridCol w:w="2760"/>
      </w:tblGrid>
      <w:tr>
        <w:trPr>
          <w:tblHeader w:val="true"/>
          <w:cantSplit/>
        </w:trPr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Artifact</w:t>
            </w:r>
          </w:p>
        </w:tc>
        <w:tc>
          <w:tcPr>
            <w:tcW w:type="dxa" w:w="3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Purpose</w:t>
            </w:r>
          </w:p>
        </w:tc>
        <w:tc>
          <w:tcPr>
            <w:tcW w:type="dxa" w:w="2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Required adoption evidence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Information Security Risk Management Policy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Formal risk identification, scoring, treatment, acceptance, and quarterly review.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Signed approval plus completed initial register review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Incident Response and Breach Procedure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Security response and applicable 72-hour personal-data breach workflow.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Named contacts, signed approval, tabletop record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Privacy Risk and DPIA Procedure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Recurring privacy screening and triggered DPIAs.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Signed approval plus initial privacy screening review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Security &amp; Privacy Operational Registers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Live risk, incident, breach, screening, schedule, and evidence records.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Assigned owners, validated entries, dated review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2. Adoption checklist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[ ] Replace 'CertScore' with the correct legal entity name if required.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[ ] Name the Incident, Technical, Privacy, and Communications contacts, including out-of-hours contact methods.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[ ] Confirm regulator, insurer, legal adviser, hosting, identity, source-control, and critical supplier contacts.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[ ] Review and approve the three governance documents; enter effective dates and approval evidence links.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[ ] Validate every seeded risk against actual architecture and practices; assign owners and target dates; remove only risks confirmed inapplicable.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[ ] Review every seeded privacy activity; correct data fields, purposes, recipients, locations, retention, and role; record the DPIA decision.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[ ] Set quarterly review events and an annual tabletop event. Retain attendance and decisions.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[ ] Run the tabletop below; record results, corrective actions, owners, and due dates.</w:t>
      </w:r>
    </w:p>
    <w:p>
      <w:pPr>
        <w:pStyle w:val="Heading1"/>
      </w:pPr>
      <w:r>
        <w:t>3. Initial approval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1400"/>
        <w:gridCol w:w="2200"/>
        <w:gridCol w:w="1400"/>
        <w:gridCol w:w="1960"/>
      </w:tblGrid>
      <w:tr>
        <w:trPr>
          <w:tblHeader w:val="true"/>
          <w:cantSplit/>
        </w:trPr>
        <w:tc>
          <w:tcPr>
            <w:tcW w:type="dxa" w:w="2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Artifact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Approver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Decision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Date</w:t>
            </w:r>
          </w:p>
        </w:tc>
        <w:tc>
          <w:tcPr>
            <w:tcW w:type="dxa" w:w="19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Evidence link/reference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Risk Management Policy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[approve / changes required]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[yyyy-mm-dd]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[location]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Incident &amp; Breach Procedure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[approve / changes required]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[yyyy-mm-dd]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[location]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Privacy &amp; DPIA Procedure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[approve / changes required]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[yyyy-mm-dd]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[location]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Initial Operational Registers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[name]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[validated / changes required]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[yyyy-mm-dd]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[location]</w:t>
            </w:r>
          </w:p>
        </w:tc>
      </w:tr>
    </w:tbl>
    <w:p>
      <w:pPr>
        <w:spacing w:after="20"/>
      </w:pPr>
    </w:p>
    <w:p>
      <w:pPr>
        <w:pStyle w:val="Heading1"/>
      </w:pPr>
      <w:r>
        <w:t>4. Tabletop exercise</w:t>
      </w:r>
    </w:p>
    <w:p>
      <w:r>
        <w:t>Suggested scenario: A repository credential is exposed and used to access a production AWS workload. Logs suggest an unknown party accessed a limited set of customer-account records and retained scan artifacts. The exact number of individuals and whether data was downloaded are initially unknown. A critical supplier also reports suspicious activity.</w:t>
      </w:r>
    </w:p>
    <w:p>
      <w:pPr>
        <w:pStyle w:val="Heading2"/>
      </w:pPr>
      <w:r>
        <w:t>Exercise objectives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Activate the plan and confirm authority, contacts, and secure coordination channel.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Contain access without destroying evidence; establish an accurate timeline and awareness time.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Identify controller/processor roles, jurisdictions, likely risks to individuals, and contractual notices.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Make and record a 72-hour notification decision using incomplete information and phased reporting where appropriate.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/>
          <w:color w:val="202124"/>
          <w:sz w:val="22"/>
        </w:rPr>
        <w:t>Recover safely, communicate accurately, and assign lessons-learned actions.</w:t>
      </w:r>
    </w:p>
    <w:p>
      <w:pPr>
        <w:pStyle w:val="Heading2"/>
      </w:pPr>
      <w:r>
        <w:t>Exercise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Field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Record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Exercise date / duration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[yyyy-mm-dd / start-end]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Facilitator and participants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[names and roles]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Plan version tested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[version / effective date]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Time to activate / assign severity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[elapsed time and decision]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Containment decisions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[actions, authority, evidence preserved]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Awareness time selected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[timestamp and rationale]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Breach decision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[notify / do not notify / seek advice; rationale]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What worked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[facts]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Gaps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[facts]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Corrective actions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[action / owner / due date / evidence]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Exercise approved by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 / date]</w:t>
            </w:r>
          </w:p>
        </w:tc>
      </w:tr>
    </w:tbl>
    <w:p>
      <w:pPr>
        <w:spacing w:after="20"/>
      </w:pPr>
    </w:p>
    <w:p>
      <w:pPr>
        <w:pStyle w:val="Heading1"/>
      </w:pPr>
      <w:r>
        <w:t>5. Questionnaire response standard</w:t>
      </w:r>
    </w:p>
    <w:p>
      <w:r>
        <w:t>Use the following language only after the evidence condition is met. Keep the supporting artifacts available for customer diligence.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4300"/>
        <w:gridCol w:w="256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Question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Permitted response after adoption</w:t>
            </w:r>
          </w:p>
        </w:tc>
        <w:tc>
          <w:tcPr>
            <w:tcW w:type="dxa" w:w="2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Evidence condition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Formal information-security risk-management process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Yes - documented policy, maintained risk register, assigned owners, and quarterly review.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Signed policy and dated initial/quarterly review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Formal documented security incident-response process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Yes - documented response roles, severity, containment, investigation, recovery, communications, and testing.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Signed procedure, named contacts, completed tabletop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Formal 72-hour breach-reporting process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Yes - procedure assesses personal-data breaches and supports applicable regulator notification within 72 hours of awareness.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Signed procedure, contact/decision workflow, completed tabletop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Regular DPIA/privacy-risk assessments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Yes - material changes receive documented privacy screening; high-risk processing receives a DPIA; assessments are reviewed periodically.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Signed procedure, completed initial screening review, scheduled cadence</w:t>
            </w:r>
          </w:p>
        </w:tc>
      </w:tr>
    </w:tbl>
    <w:p>
      <w:pPr>
        <w:spacing w:after="20"/>
      </w:pPr>
    </w:p>
    <w:p>
      <w:pPr>
        <w:pStyle w:val="Heading1"/>
      </w:pPr>
      <w:r>
        <w:t>6. Important qualification</w:t>
      </w:r>
    </w:p>
    <w:p>
      <w:r>
        <w:t>A 'Yes' means the process operates as described; it does not mean CertScore is certified, that no risks exist, that every incident is reportable, or that a DPIA is required for every activity. Questionnaire responses must be adjusted if the request uses a different definition, framework, jurisdiction, or audit standard.</w:t>
      </w:r>
    </w:p>
    <w:p>
      <w:pPr>
        <w:pStyle w:val="Heading1"/>
      </w:pPr>
      <w:r>
        <w:t>7. Final adoption sign-off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1400"/>
        <w:gridCol w:w="3760"/>
        <w:gridCol w:w="1800"/>
        <w:gridCol w:w="1000"/>
      </w:tblGrid>
      <w:tr>
        <w:trPr>
          <w:tblHeader w:val="true"/>
          <w:cantSplit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Name</w:t>
            </w:r>
          </w:p>
        </w:tc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Role</w:t>
            </w:r>
          </w:p>
        </w:tc>
        <w:tc>
          <w:tcPr>
            <w:tcW w:type="dxa" w:w="3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Statement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Signature / approval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[name]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Product Owner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I approve this governance pack for operation and accept responsibility for the scheduled reviews.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[signature or approval reference]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02124"/>
                <w:sz w:val="18"/>
              </w:rPr>
              <w:t>[yyyy-mm-dd]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7"/>
      </w:rPr>
      <w:t xml:space="preserve">Internal governance record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7085"/>
        <w:sz w:val="17"/>
      </w:rPr>
      <w:t>CERTSCORE  |  ASSURANCE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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4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4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Governance Adoption and Assurance Record</dc:title>
  <dc:subject>CertScore security and privacy governance</dc:subject>
  <dc:creator>CertScore</dc:creator>
  <cp:keywords>security, privacy, risk, incident response, DPIA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