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59" w:lineRule="auto"/>
      </w:pPr>
      <w:r>
        <w:rPr>
          <w:rFonts w:ascii="Calibri" w:hAnsi="Calibri"/>
          <w:b/>
          <w:color w:val="0B2545"/>
          <w:sz w:val="44"/>
        </w:rPr>
        <w:t>MICROSOFT IDENTITY PLATFORM CHECKLIST</w:t>
      </w:r>
    </w:p>
    <w:p>
      <w:pPr>
        <w:spacing w:before="0" w:after="240" w:line="259" w:lineRule="auto"/>
      </w:pPr>
      <w:r>
        <w:rPr>
          <w:rFonts w:ascii="Calibri" w:hAnsi="Calibri"/>
          <w:b w:val="0"/>
          <w:color w:val="5B6573"/>
          <w:sz w:val="26"/>
        </w:rPr>
        <w:t>Evidence-backed integration review and owner attestation</w:t>
      </w:r>
    </w:p>
    <w:tbl>
      <w:tblPr>
        <w:tblW w:type="dxa" w:w="9360"/>
        <w:tblLayout w:type="fixed"/>
        <w:tblLook w:firstColumn="1" w:firstRow="1" w:lastColumn="0" w:lastRow="0" w:noHBand="0" w:noVBand="1" w:val="04A0"/>
        <w:jc w:val="left"/>
        <w:tblInd w:w="120" w:type="dxa"/>
      </w:tblPr>
      <w:tblGrid>
        <w:gridCol w:w="1800"/>
        <w:gridCol w:w="7560"/>
      </w:tblGrid>
      <w:tr>
        <w:trPr>
          <w:tblHeader w:val="true"/>
        </w:trPr>
        <w:tc>
          <w:tcPr>
            <w:tcW w:type="dxa" w:w="1800"/>
            <w:vAlign w:val="center"/>
            <w:shd w:fill="E8EEF5"/>
          </w:tcPr>
          <w:p>
            <w:pPr>
              <w:spacing w:before="0" w:after="0" w:line="240" w:lineRule="auto"/>
            </w:pPr>
            <w:r>
              <w:rPr>
                <w:rFonts w:ascii="Calibri" w:hAnsi="Calibri"/>
                <w:b/>
                <w:color w:val="0B2545"/>
                <w:sz w:val="18"/>
              </w:rPr>
              <w:t>Control</w:t>
            </w:r>
          </w:p>
        </w:tc>
        <w:tc>
          <w:tcPr>
            <w:tcW w:type="dxa" w:w="7560"/>
            <w:vAlign w:val="center"/>
            <w:shd w:fill="E8EEF5"/>
          </w:tcPr>
          <w:p>
            <w:pPr>
              <w:spacing w:before="0" w:after="0" w:line="240" w:lineRule="auto"/>
            </w:pPr>
            <w:r>
              <w:rPr>
                <w:rFonts w:ascii="Calibri" w:hAnsi="Calibri"/>
                <w:b/>
                <w:color w:val="0B2545"/>
                <w:sz w:val="18"/>
              </w:rPr>
              <w:t>Value</w:t>
            </w:r>
          </w:p>
        </w:tc>
      </w:tr>
      <w:tr>
        <w:tc>
          <w:tcPr>
            <w:tcW w:type="dxa" w:w="1800"/>
            <w:vAlign w:val="center"/>
          </w:tcPr>
          <w:p>
            <w:pPr>
              <w:spacing w:before="0" w:after="0" w:line="245" w:lineRule="auto"/>
            </w:pPr>
            <w:r>
              <w:rPr>
                <w:rFonts w:ascii="Calibri" w:hAnsi="Calibri"/>
                <w:b w:val="0"/>
                <w:color w:val="172033"/>
                <w:sz w:val="18"/>
              </w:rPr>
              <w:t>Application</w:t>
            </w:r>
          </w:p>
        </w:tc>
        <w:tc>
          <w:tcPr>
            <w:tcW w:type="dxa" w:w="7560"/>
            <w:vAlign w:val="center"/>
          </w:tcPr>
          <w:p>
            <w:pPr>
              <w:spacing w:before="0" w:after="0" w:line="245" w:lineRule="auto"/>
            </w:pPr>
            <w:r>
              <w:rPr>
                <w:rFonts w:ascii="Calibri" w:hAnsi="Calibri"/>
                <w:b w:val="0"/>
                <w:color w:val="172033"/>
                <w:sz w:val="18"/>
              </w:rPr>
              <w:t>CertScore.ai Microsoft MCP endpoint</w:t>
            </w:r>
          </w:p>
        </w:tc>
      </w:tr>
      <w:tr>
        <w:tc>
          <w:tcPr>
            <w:tcW w:type="dxa" w:w="1800"/>
            <w:vAlign w:val="center"/>
          </w:tcPr>
          <w:p>
            <w:pPr>
              <w:spacing w:before="0" w:after="0" w:line="245" w:lineRule="auto"/>
            </w:pPr>
            <w:r>
              <w:rPr>
                <w:rFonts w:ascii="Calibri" w:hAnsi="Calibri"/>
                <w:b w:val="0"/>
                <w:color w:val="172033"/>
                <w:sz w:val="18"/>
              </w:rPr>
              <w:t>Scope</w:t>
            </w:r>
          </w:p>
        </w:tc>
        <w:tc>
          <w:tcPr>
            <w:tcW w:type="dxa" w:w="7560"/>
            <w:vAlign w:val="center"/>
          </w:tcPr>
          <w:p>
            <w:pPr>
              <w:spacing w:before="0" w:after="0" w:line="245" w:lineRule="auto"/>
            </w:pPr>
            <w:r>
              <w:rPr>
                <w:rFonts w:ascii="Calibri" w:hAnsi="Calibri"/>
                <w:b w:val="0"/>
                <w:color w:val="172033"/>
                <w:sz w:val="18"/>
              </w:rPr>
              <w:t>Single-tenant Entra app-only client-credentials integration; AWS-hosted protected MCP API</w:t>
            </w:r>
          </w:p>
        </w:tc>
      </w:tr>
      <w:tr>
        <w:tc>
          <w:tcPr>
            <w:tcW w:type="dxa" w:w="1800"/>
            <w:vAlign w:val="center"/>
          </w:tcPr>
          <w:p>
            <w:pPr>
              <w:spacing w:before="0" w:after="0" w:line="245" w:lineRule="auto"/>
            </w:pPr>
            <w:r>
              <w:rPr>
                <w:rFonts w:ascii="Calibri" w:hAnsi="Calibri"/>
                <w:b w:val="0"/>
                <w:color w:val="172033"/>
                <w:sz w:val="18"/>
              </w:rPr>
              <w:t>Assessment date</w:t>
            </w:r>
          </w:p>
        </w:tc>
        <w:tc>
          <w:tcPr>
            <w:tcW w:type="dxa" w:w="7560"/>
            <w:vAlign w:val="center"/>
          </w:tcPr>
          <w:p>
            <w:pPr>
              <w:spacing w:before="0" w:after="0" w:line="245" w:lineRule="auto"/>
            </w:pPr>
            <w:r>
              <w:rPr>
                <w:rFonts w:ascii="Calibri" w:hAnsi="Calibri"/>
                <w:b w:val="0"/>
                <w:color w:val="172033"/>
                <w:sz w:val="18"/>
              </w:rPr>
              <w:t>2026-08-23</w:t>
            </w:r>
          </w:p>
        </w:tc>
      </w:tr>
      <w:tr>
        <w:tc>
          <w:tcPr>
            <w:tcW w:type="dxa" w:w="1800"/>
            <w:vAlign w:val="center"/>
          </w:tcPr>
          <w:p>
            <w:pPr>
              <w:spacing w:before="0" w:after="0" w:line="245" w:lineRule="auto"/>
            </w:pPr>
            <w:r>
              <w:rPr>
                <w:rFonts w:ascii="Calibri" w:hAnsi="Calibri"/>
                <w:b w:val="0"/>
                <w:color w:val="172033"/>
                <w:sz w:val="18"/>
              </w:rPr>
              <w:t>Source</w:t>
            </w:r>
          </w:p>
        </w:tc>
        <w:tc>
          <w:tcPr>
            <w:tcW w:type="dxa" w:w="7560"/>
            <w:vAlign w:val="center"/>
          </w:tcPr>
          <w:p>
            <w:pPr>
              <w:spacing w:before="0" w:after="0" w:line="245" w:lineRule="auto"/>
            </w:pPr>
            <w:r>
              <w:rPr>
                <w:rFonts w:ascii="Calibri" w:hAnsi="Calibri"/>
                <w:b w:val="0"/>
                <w:color w:val="172033"/>
                <w:sz w:val="18"/>
              </w:rPr>
              <w:t>Microsoft identity platform best practices and recommendations</w:t>
            </w:r>
          </w:p>
        </w:tc>
      </w:tr>
      <w:tr>
        <w:tc>
          <w:tcPr>
            <w:tcW w:type="dxa" w:w="1800"/>
            <w:vAlign w:val="center"/>
          </w:tcPr>
          <w:p>
            <w:pPr>
              <w:spacing w:before="0" w:after="0" w:line="245" w:lineRule="auto"/>
            </w:pPr>
            <w:r>
              <w:rPr>
                <w:rFonts w:ascii="Calibri" w:hAnsi="Calibri"/>
                <w:b w:val="0"/>
                <w:color w:val="172033"/>
                <w:sz w:val="18"/>
              </w:rPr>
              <w:t>Disposition</w:t>
            </w:r>
          </w:p>
        </w:tc>
        <w:tc>
          <w:tcPr>
            <w:tcW w:type="dxa" w:w="7560"/>
            <w:vAlign w:val="center"/>
          </w:tcPr>
          <w:p>
            <w:pPr>
              <w:spacing w:before="0" w:after="0" w:line="245" w:lineRule="auto"/>
            </w:pPr>
            <w:r>
              <w:rPr>
                <w:rFonts w:ascii="Calibri" w:hAnsi="Calibri"/>
                <w:b w:val="0"/>
                <w:color w:val="172033"/>
                <w:sz w:val="18"/>
              </w:rPr>
              <w:t>Technically reviewed; owner attestation required for live/account items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FFF8E8"/>
          </w:tcPr>
          <w:p>
            <w:pPr>
              <w:spacing w:before="0" w:after="0" w:line="259" w:lineRule="auto"/>
            </w:pPr>
            <w:r>
              <w:rPr>
                <w:rFonts w:ascii="Calibri" w:hAnsi="Calibri"/>
                <w:b/>
                <w:color w:val="0B2545"/>
                <w:sz w:val="21"/>
              </w:rPr>
              <w:t xml:space="preserve">Questionnaire answer: </w:t>
            </w:r>
            <w:r>
              <w:rPr>
                <w:rFonts w:ascii="Calibri" w:hAnsi="Calibri"/>
                <w:b w:val="0"/>
                <w:color w:val="172033"/>
                <w:sz w:val="21"/>
              </w:rPr>
              <w:t>Select “Yes” after the accountable owner signs this attestation and confirms the owner/action items below. Until then, keep “No.”</w:t>
            </w:r>
          </w:p>
        </w:tc>
      </w:tr>
    </w:tbl>
    <w:p>
      <w:pPr>
        <w:pStyle w:val="Heading1"/>
        <w:spacing w:before="280" w:after="120" w:line="259" w:lineRule="auto"/>
      </w:pPr>
      <w:r>
        <w:rPr>
          <w:rFonts w:ascii="Calibri" w:hAnsi="Calibri"/>
          <w:b/>
          <w:color w:val="2E74B5"/>
          <w:sz w:val="32"/>
        </w:rPr>
        <w:t>1. Review conclusion</w:t>
      </w:r>
    </w:p>
    <w:p>
      <w:pPr>
        <w:spacing w:before="0" w:after="120" w:line="259" w:lineRule="auto"/>
      </w:pPr>
      <w:r>
        <w:rPr>
          <w:rFonts w:ascii="Calibri" w:hAnsi="Calibri"/>
          <w:b w:val="0"/>
          <w:color w:val="172033"/>
          <w:sz w:val="20"/>
        </w:rPr>
        <w:t>The Microsoft checklist is integration guidance, not a full application audit. This review applies it only to the CertScore Microsoft MCP integration: a single-tenant, service-to-service client-credentials flow. Interactive user, mobile, delegated-consent, and Microsoft Graph-content recommendations are not applicable. The AWS API validates inbound tokens; it does not acquire tokens or call Microsoft Graph.</w:t>
      </w:r>
    </w:p>
    <w:p>
      <w:pPr>
        <w:spacing w:before="0" w:after="120" w:line="259" w:lineRule="auto"/>
      </w:pPr>
      <w:r>
        <w:rPr>
          <w:rFonts w:ascii="Calibri" w:hAnsi="Calibri"/>
          <w:b w:val="0"/>
          <w:color w:val="172033"/>
          <w:sz w:val="20"/>
        </w:rPr>
        <w:t>The technical evidence supports the scoped controls below. Repository artifacts cannot prove current account ownership, policy acceptance, or live Conditional Access testing, so those items are explicitly assigned to the accountable owner.</w:t>
      </w:r>
    </w:p>
    <w:p>
      <w:pPr>
        <w:pStyle w:val="Heading1"/>
        <w:spacing w:before="280" w:after="120" w:line="259" w:lineRule="auto"/>
      </w:pPr>
      <w:r>
        <w:rPr>
          <w:rFonts w:ascii="Calibri" w:hAnsi="Calibri"/>
          <w:b/>
          <w:color w:val="2E74B5"/>
          <w:sz w:val="32"/>
        </w:rPr>
        <w:t>2. Line-by-line checklist review</w:t>
      </w:r>
    </w:p>
    <w:tbl>
      <w:tblPr>
        <w:tblW w:type="dxa" w:w="9360"/>
        <w:tblLayout w:type="fixed"/>
        <w:tblLook w:firstColumn="1" w:firstRow="1" w:lastColumn="0" w:lastRow="0" w:noHBand="0" w:noVBand="1" w:val="04A0"/>
        <w:jc w:val="left"/>
        <w:tblInd w:w="120" w:type="dxa"/>
      </w:tblPr>
      <w:tblGrid>
        <w:gridCol w:w="1250"/>
        <w:gridCol w:w="3000"/>
        <w:gridCol w:w="1450"/>
        <w:gridCol w:w="3660"/>
      </w:tblGrid>
      <w:tr>
        <w:trPr>
          <w:tblHeader w:val="true"/>
        </w:trPr>
        <w:tc>
          <w:tcPr>
            <w:tcW w:type="dxa" w:w="1250"/>
            <w:vAlign w:val="center"/>
            <w:shd w:fill="E8EEF5"/>
          </w:tcPr>
          <w:p>
            <w:pPr>
              <w:spacing w:before="0" w:after="0" w:line="240" w:lineRule="auto"/>
            </w:pPr>
            <w:r>
              <w:rPr>
                <w:rFonts w:ascii="Calibri" w:hAnsi="Calibri"/>
                <w:b/>
                <w:color w:val="0B2545"/>
                <w:sz w:val="15"/>
              </w:rPr>
              <w:t>Area</w:t>
            </w:r>
          </w:p>
        </w:tc>
        <w:tc>
          <w:tcPr>
            <w:tcW w:type="dxa" w:w="3000"/>
            <w:vAlign w:val="center"/>
            <w:shd w:fill="E8EEF5"/>
          </w:tcPr>
          <w:p>
            <w:pPr>
              <w:spacing w:before="0" w:after="0" w:line="240" w:lineRule="auto"/>
            </w:pPr>
            <w:r>
              <w:rPr>
                <w:rFonts w:ascii="Calibri" w:hAnsi="Calibri"/>
                <w:b/>
                <w:color w:val="0B2545"/>
                <w:sz w:val="15"/>
              </w:rPr>
              <w:t>Checklist practice</w:t>
            </w:r>
          </w:p>
        </w:tc>
        <w:tc>
          <w:tcPr>
            <w:tcW w:type="dxa" w:w="1450"/>
            <w:vAlign w:val="center"/>
            <w:shd w:fill="E8EEF5"/>
          </w:tcPr>
          <w:p>
            <w:pPr>
              <w:spacing w:before="0" w:after="0" w:line="240" w:lineRule="auto"/>
            </w:pPr>
            <w:r>
              <w:rPr>
                <w:rFonts w:ascii="Calibri" w:hAnsi="Calibri"/>
                <w:b/>
                <w:color w:val="0B2545"/>
                <w:sz w:val="15"/>
              </w:rPr>
              <w:t>Status</w:t>
            </w:r>
          </w:p>
        </w:tc>
        <w:tc>
          <w:tcPr>
            <w:tcW w:type="dxa" w:w="3660"/>
            <w:vAlign w:val="center"/>
            <w:shd w:fill="E8EEF5"/>
          </w:tcPr>
          <w:p>
            <w:pPr>
              <w:spacing w:before="0" w:after="0" w:line="240" w:lineRule="auto"/>
            </w:pPr>
            <w:r>
              <w:rPr>
                <w:rFonts w:ascii="Calibri" w:hAnsi="Calibri"/>
                <w:b/>
                <w:color w:val="0B2545"/>
                <w:sz w:val="15"/>
              </w:rPr>
              <w:t>Evidence / action</w:t>
            </w:r>
          </w:p>
        </w:tc>
      </w:tr>
      <w:tr>
        <w:tc>
          <w:tcPr>
            <w:tcW w:type="dxa" w:w="1250"/>
            <w:vAlign w:val="center"/>
          </w:tcPr>
          <w:p>
            <w:pPr>
              <w:spacing w:before="0" w:after="0" w:line="245" w:lineRule="auto"/>
            </w:pPr>
            <w:r>
              <w:rPr>
                <w:rFonts w:ascii="Calibri" w:hAnsi="Calibri"/>
                <w:b w:val="0"/>
                <w:color w:val="172033"/>
                <w:sz w:val="15"/>
              </w:rPr>
              <w:t>Basics</w:t>
            </w:r>
          </w:p>
        </w:tc>
        <w:tc>
          <w:tcPr>
            <w:tcW w:type="dxa" w:w="3000"/>
            <w:vAlign w:val="center"/>
          </w:tcPr>
          <w:p>
            <w:pPr>
              <w:spacing w:before="0" w:after="0" w:line="245" w:lineRule="auto"/>
            </w:pPr>
            <w:r>
              <w:rPr>
                <w:rFonts w:ascii="Calibri" w:hAnsi="Calibri"/>
                <w:b w:val="0"/>
                <w:color w:val="172033"/>
                <w:sz w:val="15"/>
              </w:rPr>
              <w:t>Read and follow Microsoft platform policies.</w:t>
            </w:r>
          </w:p>
        </w:tc>
        <w:tc>
          <w:tcPr>
            <w:tcW w:type="dxa" w:w="1450"/>
            <w:vAlign w:val="center"/>
          </w:tcPr>
          <w:p>
            <w:pPr>
              <w:spacing w:before="0" w:after="0" w:line="245" w:lineRule="auto"/>
            </w:pPr>
            <w:r>
              <w:rPr>
                <w:rFonts w:ascii="Calibri" w:hAnsi="Calibri"/>
                <w:b w:val="0"/>
                <w:color w:val="172033"/>
                <w:sz w:val="15"/>
              </w:rPr>
              <w:t>Owner attestation</w:t>
            </w:r>
          </w:p>
        </w:tc>
        <w:tc>
          <w:tcPr>
            <w:tcW w:type="dxa" w:w="3660"/>
            <w:vAlign w:val="center"/>
          </w:tcPr>
          <w:p>
            <w:pPr>
              <w:spacing w:before="0" w:after="0" w:line="245" w:lineRule="auto"/>
            </w:pPr>
            <w:r>
              <w:rPr>
                <w:rFonts w:ascii="Calibri" w:hAnsi="Calibri"/>
                <w:b w:val="0"/>
                <w:color w:val="172033"/>
                <w:sz w:val="15"/>
              </w:rPr>
              <w:t>Confirm current platform-policy acceptance and retain the account record.</w:t>
            </w:r>
          </w:p>
        </w:tc>
      </w:tr>
      <w:tr>
        <w:tc>
          <w:tcPr>
            <w:tcW w:type="dxa" w:w="1250"/>
            <w:vAlign w:val="center"/>
          </w:tcPr>
          <w:p>
            <w:pPr>
              <w:spacing w:before="0" w:after="0" w:line="245" w:lineRule="auto"/>
            </w:pPr>
            <w:r>
              <w:rPr>
                <w:rFonts w:ascii="Calibri" w:hAnsi="Calibri"/>
                <w:b w:val="0"/>
                <w:color w:val="172033"/>
                <w:sz w:val="15"/>
              </w:rPr>
              <w:t>Ownership</w:t>
            </w:r>
          </w:p>
        </w:tc>
        <w:tc>
          <w:tcPr>
            <w:tcW w:type="dxa" w:w="3000"/>
            <w:vAlign w:val="center"/>
          </w:tcPr>
          <w:p>
            <w:pPr>
              <w:spacing w:before="0" w:after="0" w:line="245" w:lineRule="auto"/>
            </w:pPr>
            <w:r>
              <w:rPr>
                <w:rFonts w:ascii="Calibri" w:hAnsi="Calibri"/>
                <w:b w:val="0"/>
                <w:color w:val="172033"/>
                <w:sz w:val="15"/>
              </w:rPr>
              <w:t>Keep app-management account and registration ownership current.</w:t>
            </w:r>
          </w:p>
        </w:tc>
        <w:tc>
          <w:tcPr>
            <w:tcW w:type="dxa" w:w="1450"/>
            <w:vAlign w:val="center"/>
          </w:tcPr>
          <w:p>
            <w:pPr>
              <w:spacing w:before="0" w:after="0" w:line="245" w:lineRule="auto"/>
            </w:pPr>
            <w:r>
              <w:rPr>
                <w:rFonts w:ascii="Calibri" w:hAnsi="Calibri"/>
                <w:b w:val="0"/>
                <w:color w:val="172033"/>
                <w:sz w:val="15"/>
              </w:rPr>
              <w:t>Owner attestation</w:t>
            </w:r>
          </w:p>
        </w:tc>
        <w:tc>
          <w:tcPr>
            <w:tcW w:type="dxa" w:w="3660"/>
            <w:vAlign w:val="center"/>
          </w:tcPr>
          <w:p>
            <w:pPr>
              <w:spacing w:before="0" w:after="0" w:line="245" w:lineRule="auto"/>
            </w:pPr>
            <w:r>
              <w:rPr>
                <w:rFonts w:ascii="Calibri" w:hAnsi="Calibri"/>
                <w:b w:val="0"/>
                <w:color w:val="172033"/>
                <w:sz w:val="15"/>
              </w:rPr>
              <w:t>Verify live Entra/Partner Center owners; remove unnecessary owners.</w:t>
            </w:r>
          </w:p>
        </w:tc>
      </w:tr>
      <w:tr>
        <w:tc>
          <w:tcPr>
            <w:tcW w:type="dxa" w:w="1250"/>
            <w:vAlign w:val="center"/>
          </w:tcPr>
          <w:p>
            <w:pPr>
              <w:spacing w:before="0" w:after="0" w:line="245" w:lineRule="auto"/>
            </w:pPr>
            <w:r>
              <w:rPr>
                <w:rFonts w:ascii="Calibri" w:hAnsi="Calibri"/>
                <w:b w:val="0"/>
                <w:color w:val="172033"/>
                <w:sz w:val="15"/>
              </w:rPr>
              <w:t>Branding</w:t>
            </w:r>
          </w:p>
        </w:tc>
        <w:tc>
          <w:tcPr>
            <w:tcW w:type="dxa" w:w="3000"/>
            <w:vAlign w:val="center"/>
          </w:tcPr>
          <w:p>
            <w:pPr>
              <w:spacing w:before="0" w:after="0" w:line="245" w:lineRule="auto"/>
            </w:pPr>
            <w:r>
              <w:rPr>
                <w:rFonts w:ascii="Calibri" w:hAnsi="Calibri"/>
                <w:b w:val="0"/>
                <w:color w:val="172033"/>
                <w:sz w:val="15"/>
              </w:rPr>
              <w:t>Follow branding guidance; use meaningful name and logo.</w:t>
            </w:r>
          </w:p>
        </w:tc>
        <w:tc>
          <w:tcPr>
            <w:tcW w:type="dxa" w:w="1450"/>
            <w:vAlign w:val="center"/>
          </w:tcPr>
          <w:p>
            <w:pPr>
              <w:spacing w:before="0" w:after="0" w:line="245" w:lineRule="auto"/>
            </w:pPr>
            <w:r>
              <w:rPr>
                <w:rFonts w:ascii="Calibri" w:hAnsi="Calibri"/>
                <w:b w:val="0"/>
                <w:color w:val="172033"/>
                <w:sz w:val="15"/>
              </w:rPr>
              <w:t>Pass</w:t>
            </w:r>
          </w:p>
        </w:tc>
        <w:tc>
          <w:tcPr>
            <w:tcW w:type="dxa" w:w="3660"/>
            <w:vAlign w:val="center"/>
          </w:tcPr>
          <w:p>
            <w:pPr>
              <w:spacing w:before="0" w:after="0" w:line="245" w:lineRule="auto"/>
            </w:pPr>
            <w:r>
              <w:rPr>
                <w:rFonts w:ascii="Calibri" w:hAnsi="Calibri"/>
                <w:b w:val="0"/>
                <w:color w:val="172033"/>
                <w:sz w:val="15"/>
              </w:rPr>
              <w:t>Manifest contains representative CertScore.ai name, website, privacy/terms links, and icons.</w:t>
            </w:r>
          </w:p>
        </w:tc>
      </w:tr>
      <w:tr>
        <w:tc>
          <w:tcPr>
            <w:tcW w:type="dxa" w:w="1250"/>
            <w:vAlign w:val="center"/>
          </w:tcPr>
          <w:p>
            <w:pPr>
              <w:spacing w:before="0" w:after="0" w:line="245" w:lineRule="auto"/>
            </w:pPr>
            <w:r>
              <w:rPr>
                <w:rFonts w:ascii="Calibri" w:hAnsi="Calibri"/>
                <w:b w:val="0"/>
                <w:color w:val="172033"/>
                <w:sz w:val="15"/>
              </w:rPr>
              <w:t>Privacy</w:t>
            </w:r>
          </w:p>
        </w:tc>
        <w:tc>
          <w:tcPr>
            <w:tcW w:type="dxa" w:w="3000"/>
            <w:vAlign w:val="center"/>
          </w:tcPr>
          <w:p>
            <w:pPr>
              <w:spacing w:before="0" w:after="0" w:line="245" w:lineRule="auto"/>
            </w:pPr>
            <w:r>
              <w:rPr>
                <w:rFonts w:ascii="Calibri" w:hAnsi="Calibri"/>
                <w:b w:val="0"/>
                <w:color w:val="172033"/>
                <w:sz w:val="15"/>
              </w:rPr>
              <w:t>Provide terms and privacy statement links.</w:t>
            </w:r>
          </w:p>
        </w:tc>
        <w:tc>
          <w:tcPr>
            <w:tcW w:type="dxa" w:w="1450"/>
            <w:vAlign w:val="center"/>
          </w:tcPr>
          <w:p>
            <w:pPr>
              <w:spacing w:before="0" w:after="0" w:line="245" w:lineRule="auto"/>
            </w:pPr>
            <w:r>
              <w:rPr>
                <w:rFonts w:ascii="Calibri" w:hAnsi="Calibri"/>
                <w:b w:val="0"/>
                <w:color w:val="172033"/>
                <w:sz w:val="15"/>
              </w:rPr>
              <w:t>Pass</w:t>
            </w:r>
          </w:p>
        </w:tc>
        <w:tc>
          <w:tcPr>
            <w:tcW w:type="dxa" w:w="3660"/>
            <w:vAlign w:val="center"/>
          </w:tcPr>
          <w:p>
            <w:pPr>
              <w:spacing w:before="0" w:after="0" w:line="245" w:lineRule="auto"/>
            </w:pPr>
            <w:r>
              <w:rPr>
                <w:rFonts w:ascii="Calibri" w:hAnsi="Calibri"/>
                <w:b w:val="0"/>
                <w:color w:val="172033"/>
                <w:sz w:val="15"/>
              </w:rPr>
              <w:t>https://certscore.ai/terms and https://certscore.ai/privacy.</w:t>
            </w:r>
          </w:p>
        </w:tc>
      </w:tr>
      <w:tr>
        <w:tc>
          <w:tcPr>
            <w:tcW w:type="dxa" w:w="1250"/>
            <w:vAlign w:val="center"/>
          </w:tcPr>
          <w:p>
            <w:pPr>
              <w:spacing w:before="0" w:after="0" w:line="245" w:lineRule="auto"/>
            </w:pPr>
            <w:r>
              <w:rPr>
                <w:rFonts w:ascii="Calibri" w:hAnsi="Calibri"/>
                <w:b w:val="0"/>
                <w:color w:val="172033"/>
                <w:sz w:val="15"/>
              </w:rPr>
              <w:t>Security</w:t>
            </w:r>
          </w:p>
        </w:tc>
        <w:tc>
          <w:tcPr>
            <w:tcW w:type="dxa" w:w="3000"/>
            <w:vAlign w:val="center"/>
          </w:tcPr>
          <w:p>
            <w:pPr>
              <w:spacing w:before="0" w:after="0" w:line="245" w:lineRule="auto"/>
            </w:pPr>
            <w:r>
              <w:rPr>
                <w:rFonts w:ascii="Calibri" w:hAnsi="Calibri"/>
                <w:b w:val="0"/>
                <w:color w:val="172033"/>
                <w:sz w:val="15"/>
              </w:rPr>
              <w:t>Maintain owned, secure, non-wildcard redirect URIs.</w:t>
            </w:r>
          </w:p>
        </w:tc>
        <w:tc>
          <w:tcPr>
            <w:tcW w:type="dxa" w:w="1450"/>
            <w:vAlign w:val="center"/>
          </w:tcPr>
          <w:p>
            <w:pPr>
              <w:spacing w:before="0" w:after="0" w:line="245" w:lineRule="auto"/>
            </w:pPr>
            <w:r>
              <w:rPr>
                <w:rFonts w:ascii="Calibri" w:hAnsi="Calibri"/>
                <w:b w:val="0"/>
                <w:color w:val="172033"/>
                <w:sz w:val="15"/>
              </w:rPr>
              <w:t>N/A</w:t>
            </w:r>
          </w:p>
        </w:tc>
        <w:tc>
          <w:tcPr>
            <w:tcW w:type="dxa" w:w="3660"/>
            <w:vAlign w:val="center"/>
          </w:tcPr>
          <w:p>
            <w:pPr>
              <w:spacing w:before="0" w:after="0" w:line="245" w:lineRule="auto"/>
            </w:pPr>
            <w:r>
              <w:rPr>
                <w:rFonts w:ascii="Calibri" w:hAnsi="Calibri"/>
                <w:b w:val="0"/>
                <w:color w:val="172033"/>
                <w:sz w:val="15"/>
              </w:rPr>
              <w:t>App-only client credentials; no interactive redirect URI.</w:t>
            </w:r>
          </w:p>
        </w:tc>
      </w:tr>
      <w:tr>
        <w:tc>
          <w:tcPr>
            <w:tcW w:type="dxa" w:w="1250"/>
            <w:vAlign w:val="center"/>
          </w:tcPr>
          <w:p>
            <w:pPr>
              <w:spacing w:before="0" w:after="0" w:line="245" w:lineRule="auto"/>
            </w:pPr>
            <w:r>
              <w:rPr>
                <w:rFonts w:ascii="Calibri" w:hAnsi="Calibri"/>
                <w:b w:val="0"/>
                <w:color w:val="172033"/>
                <w:sz w:val="15"/>
              </w:rPr>
              <w:t>Security</w:t>
            </w:r>
          </w:p>
        </w:tc>
        <w:tc>
          <w:tcPr>
            <w:tcW w:type="dxa" w:w="3000"/>
            <w:vAlign w:val="center"/>
          </w:tcPr>
          <w:p>
            <w:pPr>
              <w:spacing w:before="0" w:after="0" w:line="245" w:lineRule="auto"/>
            </w:pPr>
            <w:r>
              <w:rPr>
                <w:rFonts w:ascii="Calibri" w:hAnsi="Calibri"/>
                <w:b w:val="0"/>
                <w:color w:val="172033"/>
                <w:sz w:val="15"/>
              </w:rPr>
              <w:t>Minimize and monitor app-registration owners.</w:t>
            </w:r>
          </w:p>
        </w:tc>
        <w:tc>
          <w:tcPr>
            <w:tcW w:type="dxa" w:w="1450"/>
            <w:vAlign w:val="center"/>
          </w:tcPr>
          <w:p>
            <w:pPr>
              <w:spacing w:before="0" w:after="0" w:line="245" w:lineRule="auto"/>
            </w:pPr>
            <w:r>
              <w:rPr>
                <w:rFonts w:ascii="Calibri" w:hAnsi="Calibri"/>
                <w:b w:val="0"/>
                <w:color w:val="172033"/>
                <w:sz w:val="15"/>
              </w:rPr>
              <w:t>Owner action</w:t>
            </w:r>
          </w:p>
        </w:tc>
        <w:tc>
          <w:tcPr>
            <w:tcW w:type="dxa" w:w="3660"/>
            <w:vAlign w:val="center"/>
          </w:tcPr>
          <w:p>
            <w:pPr>
              <w:spacing w:before="0" w:after="0" w:line="245" w:lineRule="auto"/>
            </w:pPr>
            <w:r>
              <w:rPr>
                <w:rFonts w:ascii="Calibri" w:hAnsi="Calibri"/>
                <w:b w:val="0"/>
                <w:color w:val="172033"/>
                <w:sz w:val="15"/>
              </w:rPr>
              <w:t>Verify the live Entra owner list.</w:t>
            </w:r>
          </w:p>
        </w:tc>
      </w:tr>
      <w:tr>
        <w:tc>
          <w:tcPr>
            <w:tcW w:type="dxa" w:w="1250"/>
            <w:vAlign w:val="center"/>
          </w:tcPr>
          <w:p>
            <w:pPr>
              <w:spacing w:before="0" w:after="0" w:line="245" w:lineRule="auto"/>
            </w:pPr>
            <w:r>
              <w:rPr>
                <w:rFonts w:ascii="Calibri" w:hAnsi="Calibri"/>
                <w:b w:val="0"/>
                <w:color w:val="172033"/>
                <w:sz w:val="15"/>
              </w:rPr>
              <w:t>Security</w:t>
            </w:r>
          </w:p>
        </w:tc>
        <w:tc>
          <w:tcPr>
            <w:tcW w:type="dxa" w:w="3000"/>
            <w:vAlign w:val="center"/>
          </w:tcPr>
          <w:p>
            <w:pPr>
              <w:spacing w:before="0" w:after="0" w:line="245" w:lineRule="auto"/>
            </w:pPr>
            <w:r>
              <w:rPr>
                <w:rFonts w:ascii="Calibri" w:hAnsi="Calibri"/>
                <w:b w:val="0"/>
                <w:color w:val="172033"/>
                <w:sz w:val="15"/>
              </w:rPr>
              <w:t>Do not enable implicit grant unless required.</w:t>
            </w:r>
          </w:p>
        </w:tc>
        <w:tc>
          <w:tcPr>
            <w:tcW w:type="dxa" w:w="1450"/>
            <w:vAlign w:val="center"/>
          </w:tcPr>
          <w:p>
            <w:pPr>
              <w:spacing w:before="0" w:after="0" w:line="245" w:lineRule="auto"/>
            </w:pPr>
            <w:r>
              <w:rPr>
                <w:rFonts w:ascii="Calibri" w:hAnsi="Calibri"/>
                <w:b w:val="0"/>
                <w:color w:val="172033"/>
                <w:sz w:val="15"/>
              </w:rPr>
              <w:t>Pass</w:t>
            </w:r>
          </w:p>
        </w:tc>
        <w:tc>
          <w:tcPr>
            <w:tcW w:type="dxa" w:w="3660"/>
            <w:vAlign w:val="center"/>
          </w:tcPr>
          <w:p>
            <w:pPr>
              <w:spacing w:before="0" w:after="0" w:line="245" w:lineRule="auto"/>
            </w:pPr>
            <w:r>
              <w:rPr>
                <w:rFonts w:ascii="Calibri" w:hAnsi="Calibri"/>
                <w:b w:val="0"/>
                <w:color w:val="172033"/>
                <w:sz w:val="15"/>
              </w:rPr>
              <w:t>Client-credentials flow; no implicit grant in documented setup.</w:t>
            </w:r>
          </w:p>
        </w:tc>
      </w:tr>
      <w:tr>
        <w:tc>
          <w:tcPr>
            <w:tcW w:type="dxa" w:w="1250"/>
            <w:vAlign w:val="center"/>
          </w:tcPr>
          <w:p>
            <w:pPr>
              <w:spacing w:before="0" w:after="0" w:line="245" w:lineRule="auto"/>
            </w:pPr>
            <w:r>
              <w:rPr>
                <w:rFonts w:ascii="Calibri" w:hAnsi="Calibri"/>
                <w:b w:val="0"/>
                <w:color w:val="172033"/>
                <w:sz w:val="15"/>
              </w:rPr>
              <w:t>Security</w:t>
            </w:r>
          </w:p>
        </w:tc>
        <w:tc>
          <w:tcPr>
            <w:tcW w:type="dxa" w:w="3000"/>
            <w:vAlign w:val="center"/>
          </w:tcPr>
          <w:p>
            <w:pPr>
              <w:spacing w:before="0" w:after="0" w:line="245" w:lineRule="auto"/>
            </w:pPr>
            <w:r>
              <w:rPr>
                <w:rFonts w:ascii="Calibri" w:hAnsi="Calibri"/>
                <w:b w:val="0"/>
                <w:color w:val="172033"/>
                <w:sz w:val="15"/>
              </w:rPr>
              <w:t>Do not use ROPC/password collection.</w:t>
            </w:r>
          </w:p>
        </w:tc>
        <w:tc>
          <w:tcPr>
            <w:tcW w:type="dxa" w:w="1450"/>
            <w:vAlign w:val="center"/>
          </w:tcPr>
          <w:p>
            <w:pPr>
              <w:spacing w:before="0" w:after="0" w:line="245" w:lineRule="auto"/>
            </w:pPr>
            <w:r>
              <w:rPr>
                <w:rFonts w:ascii="Calibri" w:hAnsi="Calibri"/>
                <w:b w:val="0"/>
                <w:color w:val="172033"/>
                <w:sz w:val="15"/>
              </w:rPr>
              <w:t>Pass</w:t>
            </w:r>
          </w:p>
        </w:tc>
        <w:tc>
          <w:tcPr>
            <w:tcW w:type="dxa" w:w="3660"/>
            <w:vAlign w:val="center"/>
          </w:tcPr>
          <w:p>
            <w:pPr>
              <w:spacing w:before="0" w:after="0" w:line="245" w:lineRule="auto"/>
            </w:pPr>
            <w:r>
              <w:rPr>
                <w:rFonts w:ascii="Calibri" w:hAnsi="Calibri"/>
                <w:b w:val="0"/>
                <w:color w:val="172033"/>
                <w:sz w:val="15"/>
              </w:rPr>
              <w:t>No end-user password handling; app-only token flow.</w:t>
            </w:r>
          </w:p>
        </w:tc>
      </w:tr>
      <w:tr>
        <w:tc>
          <w:tcPr>
            <w:tcW w:type="dxa" w:w="1250"/>
            <w:vAlign w:val="center"/>
          </w:tcPr>
          <w:p>
            <w:pPr>
              <w:spacing w:before="0" w:after="0" w:line="245" w:lineRule="auto"/>
            </w:pPr>
            <w:r>
              <w:rPr>
                <w:rFonts w:ascii="Calibri" w:hAnsi="Calibri"/>
                <w:b w:val="0"/>
                <w:color w:val="172033"/>
                <w:sz w:val="15"/>
              </w:rPr>
              <w:t>Security</w:t>
            </w:r>
          </w:p>
        </w:tc>
        <w:tc>
          <w:tcPr>
            <w:tcW w:type="dxa" w:w="3000"/>
            <w:vAlign w:val="center"/>
          </w:tcPr>
          <w:p>
            <w:pPr>
              <w:spacing w:before="0" w:after="0" w:line="245" w:lineRule="auto"/>
            </w:pPr>
            <w:r>
              <w:rPr>
                <w:rFonts w:ascii="Calibri" w:hAnsi="Calibri"/>
                <w:b w:val="0"/>
                <w:color w:val="172033"/>
                <w:sz w:val="15"/>
              </w:rPr>
              <w:t>Protect confidential credentials; prefer certs/managed identity; use Key Vault if secret is unavoidable.</w:t>
            </w:r>
          </w:p>
        </w:tc>
        <w:tc>
          <w:tcPr>
            <w:tcW w:type="dxa" w:w="1450"/>
            <w:vAlign w:val="center"/>
          </w:tcPr>
          <w:p>
            <w:pPr>
              <w:spacing w:before="0" w:after="0" w:line="245" w:lineRule="auto"/>
            </w:pPr>
            <w:r>
              <w:rPr>
                <w:rFonts w:ascii="Calibri" w:hAnsi="Calibri"/>
                <w:b w:val="0"/>
                <w:color w:val="172033"/>
                <w:sz w:val="15"/>
              </w:rPr>
              <w:t>Owner exception</w:t>
            </w:r>
          </w:p>
        </w:tc>
        <w:tc>
          <w:tcPr>
            <w:tcW w:type="dxa" w:w="3660"/>
            <w:vAlign w:val="center"/>
          </w:tcPr>
          <w:p>
            <w:pPr>
              <w:spacing w:before="0" w:after="0" w:line="245" w:lineRule="auto"/>
            </w:pPr>
            <w:r>
              <w:rPr>
                <w:rFonts w:ascii="Calibri" w:hAnsi="Calibri"/>
                <w:b w:val="0"/>
                <w:color w:val="172033"/>
                <w:sz w:val="15"/>
              </w:rPr>
              <w:t>Client secret is in Azure Key Vault for certification. Owner must approve the secret-vs-certificate decision and rotation evidence.</w:t>
            </w:r>
          </w:p>
        </w:tc>
      </w:tr>
      <w:tr>
        <w:tc>
          <w:tcPr>
            <w:tcW w:type="dxa" w:w="1250"/>
            <w:vAlign w:val="center"/>
          </w:tcPr>
          <w:p>
            <w:pPr>
              <w:spacing w:before="0" w:after="0" w:line="245" w:lineRule="auto"/>
            </w:pPr>
            <w:r>
              <w:rPr>
                <w:rFonts w:ascii="Calibri" w:hAnsi="Calibri"/>
                <w:b w:val="0"/>
                <w:color w:val="172033"/>
                <w:sz w:val="15"/>
              </w:rPr>
              <w:t>Security</w:t>
            </w:r>
          </w:p>
        </w:tc>
        <w:tc>
          <w:tcPr>
            <w:tcW w:type="dxa" w:w="3000"/>
            <w:vAlign w:val="center"/>
          </w:tcPr>
          <w:p>
            <w:pPr>
              <w:spacing w:before="0" w:after="0" w:line="245" w:lineRule="auto"/>
            </w:pPr>
            <w:r>
              <w:rPr>
                <w:rFonts w:ascii="Calibri" w:hAnsi="Calibri"/>
                <w:b w:val="0"/>
                <w:color w:val="172033"/>
                <w:sz w:val="15"/>
              </w:rPr>
              <w:t>Request least-privilege permissions.</w:t>
            </w:r>
          </w:p>
        </w:tc>
        <w:tc>
          <w:tcPr>
            <w:tcW w:type="dxa" w:w="1450"/>
            <w:vAlign w:val="center"/>
          </w:tcPr>
          <w:p>
            <w:pPr>
              <w:spacing w:before="0" w:after="0" w:line="245" w:lineRule="auto"/>
            </w:pPr>
            <w:r>
              <w:rPr>
                <w:rFonts w:ascii="Calibri" w:hAnsi="Calibri"/>
                <w:b w:val="0"/>
                <w:color w:val="172033"/>
                <w:sz w:val="15"/>
              </w:rPr>
              <w:t>Pass</w:t>
            </w:r>
          </w:p>
        </w:tc>
        <w:tc>
          <w:tcPr>
            <w:tcW w:type="dxa" w:w="3660"/>
            <w:vAlign w:val="center"/>
          </w:tcPr>
          <w:p>
            <w:pPr>
              <w:spacing w:before="0" w:after="0" w:line="245" w:lineRule="auto"/>
            </w:pPr>
            <w:r>
              <w:rPr>
                <w:rFonts w:ascii="Calibri" w:hAnsi="Calibri"/>
                <w:b w:val="0"/>
                <w:color w:val="172033"/>
                <w:sz w:val="15"/>
              </w:rPr>
              <w:t>Only the application role `Mcp.Access`; no Graph permissions.</w:t>
            </w:r>
          </w:p>
        </w:tc>
      </w:tr>
      <w:tr>
        <w:tc>
          <w:tcPr>
            <w:tcW w:type="dxa" w:w="1250"/>
            <w:vAlign w:val="center"/>
          </w:tcPr>
          <w:p>
            <w:pPr>
              <w:spacing w:before="0" w:after="0" w:line="245" w:lineRule="auto"/>
            </w:pPr>
            <w:r>
              <w:rPr>
                <w:rFonts w:ascii="Calibri" w:hAnsi="Calibri"/>
                <w:b w:val="0"/>
                <w:color w:val="172033"/>
                <w:sz w:val="15"/>
              </w:rPr>
              <w:t>Security</w:t>
            </w:r>
          </w:p>
        </w:tc>
        <w:tc>
          <w:tcPr>
            <w:tcW w:type="dxa" w:w="3000"/>
            <w:vAlign w:val="center"/>
          </w:tcPr>
          <w:p>
            <w:pPr>
              <w:spacing w:before="0" w:after="0" w:line="245" w:lineRule="auto"/>
            </w:pPr>
            <w:r>
              <w:rPr>
                <w:rFonts w:ascii="Calibri" w:hAnsi="Calibri"/>
                <w:b w:val="0"/>
                <w:color w:val="172033"/>
                <w:sz w:val="15"/>
              </w:rPr>
              <w:t>Define API permissions and check expected token permissions.</w:t>
            </w:r>
          </w:p>
        </w:tc>
        <w:tc>
          <w:tcPr>
            <w:tcW w:type="dxa" w:w="1450"/>
            <w:vAlign w:val="center"/>
          </w:tcPr>
          <w:p>
            <w:pPr>
              <w:spacing w:before="0" w:after="0" w:line="245" w:lineRule="auto"/>
            </w:pPr>
            <w:r>
              <w:rPr>
                <w:rFonts w:ascii="Calibri" w:hAnsi="Calibri"/>
                <w:b w:val="0"/>
                <w:color w:val="172033"/>
                <w:sz w:val="15"/>
              </w:rPr>
              <w:t>Pass</w:t>
            </w:r>
          </w:p>
        </w:tc>
        <w:tc>
          <w:tcPr>
            <w:tcW w:type="dxa" w:w="3660"/>
            <w:vAlign w:val="center"/>
          </w:tcPr>
          <w:p>
            <w:pPr>
              <w:spacing w:before="0" w:after="0" w:line="245" w:lineRule="auto"/>
            </w:pPr>
            <w:r>
              <w:rPr>
                <w:rFonts w:ascii="Calibri" w:hAnsi="Calibri"/>
                <w:b w:val="0"/>
                <w:color w:val="172033"/>
                <w:sz w:val="15"/>
              </w:rPr>
              <w:t>Validator checks tenant, issuer, audience, client, token version, and required role.</w:t>
            </w:r>
          </w:p>
        </w:tc>
      </w:tr>
      <w:tr>
        <w:tc>
          <w:tcPr>
            <w:tcW w:type="dxa" w:w="1250"/>
            <w:vAlign w:val="center"/>
          </w:tcPr>
          <w:p>
            <w:pPr>
              <w:spacing w:before="0" w:after="0" w:line="245" w:lineRule="auto"/>
            </w:pPr>
            <w:r>
              <w:rPr>
                <w:rFonts w:ascii="Calibri" w:hAnsi="Calibri"/>
                <w:b w:val="0"/>
                <w:color w:val="172033"/>
                <w:sz w:val="15"/>
              </w:rPr>
              <w:t>Implementation</w:t>
            </w:r>
          </w:p>
        </w:tc>
        <w:tc>
          <w:tcPr>
            <w:tcW w:type="dxa" w:w="3000"/>
            <w:vAlign w:val="center"/>
          </w:tcPr>
          <w:p>
            <w:pPr>
              <w:spacing w:before="0" w:after="0" w:line="245" w:lineRule="auto"/>
            </w:pPr>
            <w:r>
              <w:rPr>
                <w:rFonts w:ascii="Calibri" w:hAnsi="Calibri"/>
                <w:b w:val="0"/>
                <w:color w:val="172033"/>
                <w:sz w:val="15"/>
              </w:rPr>
              <w:t>Use modern OAuth 2.0/OpenID Connect.</w:t>
            </w:r>
          </w:p>
        </w:tc>
        <w:tc>
          <w:tcPr>
            <w:tcW w:type="dxa" w:w="1450"/>
            <w:vAlign w:val="center"/>
          </w:tcPr>
          <w:p>
            <w:pPr>
              <w:spacing w:before="0" w:after="0" w:line="245" w:lineRule="auto"/>
            </w:pPr>
            <w:r>
              <w:rPr>
                <w:rFonts w:ascii="Calibri" w:hAnsi="Calibri"/>
                <w:b w:val="0"/>
                <w:color w:val="172033"/>
                <w:sz w:val="15"/>
              </w:rPr>
              <w:t>Pass</w:t>
            </w:r>
          </w:p>
        </w:tc>
        <w:tc>
          <w:tcPr>
            <w:tcW w:type="dxa" w:w="3660"/>
            <w:vAlign w:val="center"/>
          </w:tcPr>
          <w:p>
            <w:pPr>
              <w:spacing w:before="0" w:after="0" w:line="245" w:lineRule="auto"/>
            </w:pPr>
            <w:r>
              <w:rPr>
                <w:rFonts w:ascii="Calibri" w:hAnsi="Calibri"/>
                <w:b w:val="0"/>
                <w:color w:val="172033"/>
                <w:sz w:val="15"/>
              </w:rPr>
              <w:t>Entra v2 OAuth 2.0 client credentials and JWT bearer tokens.</w:t>
            </w:r>
          </w:p>
        </w:tc>
      </w:tr>
      <w:tr>
        <w:tc>
          <w:tcPr>
            <w:tcW w:type="dxa" w:w="1250"/>
            <w:vAlign w:val="center"/>
          </w:tcPr>
          <w:p>
            <w:pPr>
              <w:spacing w:before="0" w:after="0" w:line="245" w:lineRule="auto"/>
            </w:pPr>
            <w:r>
              <w:rPr>
                <w:rFonts w:ascii="Calibri" w:hAnsi="Calibri"/>
                <w:b w:val="0"/>
                <w:color w:val="172033"/>
                <w:sz w:val="15"/>
              </w:rPr>
              <w:t>Implementation</w:t>
            </w:r>
          </w:p>
        </w:tc>
        <w:tc>
          <w:tcPr>
            <w:tcW w:type="dxa" w:w="3000"/>
            <w:vAlign w:val="center"/>
          </w:tcPr>
          <w:p>
            <w:pPr>
              <w:spacing w:before="0" w:after="0" w:line="245" w:lineRule="auto"/>
            </w:pPr>
            <w:r>
              <w:rPr>
                <w:rFonts w:ascii="Calibri" w:hAnsi="Calibri"/>
                <w:b w:val="0"/>
                <w:color w:val="172033"/>
                <w:sz w:val="15"/>
              </w:rPr>
              <w:t>Use MSAL when the app acquires tokens.</w:t>
            </w:r>
          </w:p>
        </w:tc>
        <w:tc>
          <w:tcPr>
            <w:tcW w:type="dxa" w:w="1450"/>
            <w:vAlign w:val="center"/>
          </w:tcPr>
          <w:p>
            <w:pPr>
              <w:spacing w:before="0" w:after="0" w:line="245" w:lineRule="auto"/>
            </w:pPr>
            <w:r>
              <w:rPr>
                <w:rFonts w:ascii="Calibri" w:hAnsi="Calibri"/>
                <w:b w:val="0"/>
                <w:color w:val="172033"/>
                <w:sz w:val="15"/>
              </w:rPr>
              <w:t>N/A for AWS API</w:t>
            </w:r>
          </w:p>
        </w:tc>
        <w:tc>
          <w:tcPr>
            <w:tcW w:type="dxa" w:w="3660"/>
            <w:vAlign w:val="center"/>
          </w:tcPr>
          <w:p>
            <w:pPr>
              <w:spacing w:before="0" w:after="0" w:line="245" w:lineRule="auto"/>
            </w:pPr>
            <w:r>
              <w:rPr>
                <w:rFonts w:ascii="Calibri" w:hAnsi="Calibri"/>
                <w:b w:val="0"/>
                <w:color w:val="172033"/>
                <w:sz w:val="15"/>
              </w:rPr>
              <w:t>AWS validates inbound tokens with `jose`; Microsoft certification/runtime owns token acquisition.</w:t>
            </w:r>
          </w:p>
        </w:tc>
      </w:tr>
      <w:tr>
        <w:tc>
          <w:tcPr>
            <w:tcW w:type="dxa" w:w="1250"/>
            <w:vAlign w:val="center"/>
          </w:tcPr>
          <w:p>
            <w:pPr>
              <w:spacing w:before="0" w:after="0" w:line="245" w:lineRule="auto"/>
            </w:pPr>
            <w:r>
              <w:rPr>
                <w:rFonts w:ascii="Calibri" w:hAnsi="Calibri"/>
                <w:b w:val="0"/>
                <w:color w:val="172033"/>
                <w:sz w:val="15"/>
              </w:rPr>
              <w:t>Implementation</w:t>
            </w:r>
          </w:p>
        </w:tc>
        <w:tc>
          <w:tcPr>
            <w:tcW w:type="dxa" w:w="3000"/>
            <w:vAlign w:val="center"/>
          </w:tcPr>
          <w:p>
            <w:pPr>
              <w:spacing w:before="0" w:after="0" w:line="245" w:lineRule="auto"/>
            </w:pPr>
            <w:r>
              <w:rPr>
                <w:rFonts w:ascii="Calibri" w:hAnsi="Calibri"/>
                <w:b w:val="0"/>
                <w:color w:val="172033"/>
                <w:sz w:val="15"/>
              </w:rPr>
              <w:t>Parse access tokens only as the protected web API.</w:t>
            </w:r>
          </w:p>
        </w:tc>
        <w:tc>
          <w:tcPr>
            <w:tcW w:type="dxa" w:w="1450"/>
            <w:vAlign w:val="center"/>
          </w:tcPr>
          <w:p>
            <w:pPr>
              <w:spacing w:before="0" w:after="0" w:line="245" w:lineRule="auto"/>
            </w:pPr>
            <w:r>
              <w:rPr>
                <w:rFonts w:ascii="Calibri" w:hAnsi="Calibri"/>
                <w:b w:val="0"/>
                <w:color w:val="172033"/>
                <w:sz w:val="15"/>
              </w:rPr>
              <w:t>Pass</w:t>
            </w:r>
          </w:p>
        </w:tc>
        <w:tc>
          <w:tcPr>
            <w:tcW w:type="dxa" w:w="3660"/>
            <w:vAlign w:val="center"/>
          </w:tcPr>
          <w:p>
            <w:pPr>
              <w:spacing w:before="0" w:after="0" w:line="245" w:lineRule="auto"/>
            </w:pPr>
            <w:r>
              <w:rPr>
                <w:rFonts w:ascii="Calibri" w:hAnsi="Calibri"/>
                <w:b w:val="0"/>
                <w:color w:val="172033"/>
                <w:sz w:val="15"/>
              </w:rPr>
              <w:t>AWS is the resource server and validates inbound tokens before dispatch.</w:t>
            </w:r>
          </w:p>
        </w:tc>
      </w:tr>
      <w:tr>
        <w:tc>
          <w:tcPr>
            <w:tcW w:type="dxa" w:w="1250"/>
            <w:vAlign w:val="center"/>
          </w:tcPr>
          <w:p>
            <w:pPr>
              <w:spacing w:before="0" w:after="0" w:line="245" w:lineRule="auto"/>
            </w:pPr>
            <w:r>
              <w:rPr>
                <w:rFonts w:ascii="Calibri" w:hAnsi="Calibri"/>
                <w:b w:val="0"/>
                <w:color w:val="172033"/>
                <w:sz w:val="15"/>
              </w:rPr>
              <w:t>Implementation</w:t>
            </w:r>
          </w:p>
        </w:tc>
        <w:tc>
          <w:tcPr>
            <w:tcW w:type="dxa" w:w="3000"/>
            <w:vAlign w:val="center"/>
          </w:tcPr>
          <w:p>
            <w:pPr>
              <w:spacing w:before="0" w:after="0" w:line="245" w:lineRule="auto"/>
            </w:pPr>
            <w:r>
              <w:rPr>
                <w:rFonts w:ascii="Calibri" w:hAnsi="Calibri"/>
                <w:b w:val="0"/>
                <w:color w:val="172033"/>
                <w:sz w:val="15"/>
              </w:rPr>
              <w:t>Migrate ADAL applications to MSAL.</w:t>
            </w:r>
          </w:p>
        </w:tc>
        <w:tc>
          <w:tcPr>
            <w:tcW w:type="dxa" w:w="1450"/>
            <w:vAlign w:val="center"/>
          </w:tcPr>
          <w:p>
            <w:pPr>
              <w:spacing w:before="0" w:after="0" w:line="245" w:lineRule="auto"/>
            </w:pPr>
            <w:r>
              <w:rPr>
                <w:rFonts w:ascii="Calibri" w:hAnsi="Calibri"/>
                <w:b w:val="0"/>
                <w:color w:val="172033"/>
                <w:sz w:val="15"/>
              </w:rPr>
              <w:t>N/A</w:t>
            </w:r>
          </w:p>
        </w:tc>
        <w:tc>
          <w:tcPr>
            <w:tcW w:type="dxa" w:w="3660"/>
            <w:vAlign w:val="center"/>
          </w:tcPr>
          <w:p>
            <w:pPr>
              <w:spacing w:before="0" w:after="0" w:line="245" w:lineRule="auto"/>
            </w:pPr>
            <w:r>
              <w:rPr>
                <w:rFonts w:ascii="Calibri" w:hAnsi="Calibri"/>
                <w:b w:val="0"/>
                <w:color w:val="172033"/>
                <w:sz w:val="15"/>
              </w:rPr>
              <w:t>No ADAL dependency or legacy ADAL flow.</w:t>
            </w:r>
          </w:p>
        </w:tc>
      </w:tr>
      <w:tr>
        <w:tc>
          <w:tcPr>
            <w:tcW w:type="dxa" w:w="1250"/>
            <w:vAlign w:val="center"/>
          </w:tcPr>
          <w:p>
            <w:pPr>
              <w:spacing w:before="0" w:after="0" w:line="245" w:lineRule="auto"/>
            </w:pPr>
            <w:r>
              <w:rPr>
                <w:rFonts w:ascii="Calibri" w:hAnsi="Calibri"/>
                <w:b w:val="0"/>
                <w:color w:val="172033"/>
                <w:sz w:val="15"/>
              </w:rPr>
              <w:t>Implementation</w:t>
            </w:r>
          </w:p>
        </w:tc>
        <w:tc>
          <w:tcPr>
            <w:tcW w:type="dxa" w:w="3000"/>
            <w:vAlign w:val="center"/>
          </w:tcPr>
          <w:p>
            <w:pPr>
              <w:spacing w:before="0" w:after="0" w:line="245" w:lineRule="auto"/>
            </w:pPr>
            <w:r>
              <w:rPr>
                <w:rFonts w:ascii="Calibri" w:hAnsi="Calibri"/>
                <w:b w:val="0"/>
                <w:color w:val="172033"/>
                <w:sz w:val="15"/>
              </w:rPr>
              <w:t>Configure mobile redirects and broker SSO.</w:t>
            </w:r>
          </w:p>
        </w:tc>
        <w:tc>
          <w:tcPr>
            <w:tcW w:type="dxa" w:w="1450"/>
            <w:vAlign w:val="center"/>
          </w:tcPr>
          <w:p>
            <w:pPr>
              <w:spacing w:before="0" w:after="0" w:line="245" w:lineRule="auto"/>
            </w:pPr>
            <w:r>
              <w:rPr>
                <w:rFonts w:ascii="Calibri" w:hAnsi="Calibri"/>
                <w:b w:val="0"/>
                <w:color w:val="172033"/>
                <w:sz w:val="15"/>
              </w:rPr>
              <w:t>N/A</w:t>
            </w:r>
          </w:p>
        </w:tc>
        <w:tc>
          <w:tcPr>
            <w:tcW w:type="dxa" w:w="3660"/>
            <w:vAlign w:val="center"/>
          </w:tcPr>
          <w:p>
            <w:pPr>
              <w:spacing w:before="0" w:after="0" w:line="245" w:lineRule="auto"/>
            </w:pPr>
            <w:r>
              <w:rPr>
                <w:rFonts w:ascii="Calibri" w:hAnsi="Calibri"/>
                <w:b w:val="0"/>
                <w:color w:val="172033"/>
                <w:sz w:val="15"/>
              </w:rPr>
              <w:t>No mobile client in scope.</w:t>
            </w:r>
          </w:p>
        </w:tc>
      </w:tr>
      <w:tr>
        <w:tc>
          <w:tcPr>
            <w:tcW w:type="dxa" w:w="1250"/>
            <w:vAlign w:val="center"/>
          </w:tcPr>
          <w:p>
            <w:pPr>
              <w:spacing w:before="0" w:after="0" w:line="245" w:lineRule="auto"/>
            </w:pPr>
            <w:r>
              <w:rPr>
                <w:rFonts w:ascii="Calibri" w:hAnsi="Calibri"/>
                <w:b w:val="0"/>
                <w:color w:val="172033"/>
                <w:sz w:val="15"/>
              </w:rPr>
              <w:t>Implementation</w:t>
            </w:r>
          </w:p>
        </w:tc>
        <w:tc>
          <w:tcPr>
            <w:tcW w:type="dxa" w:w="3000"/>
            <w:vAlign w:val="center"/>
          </w:tcPr>
          <w:p>
            <w:pPr>
              <w:spacing w:before="0" w:after="0" w:line="245" w:lineRule="auto"/>
            </w:pPr>
            <w:r>
              <w:rPr>
                <w:rFonts w:ascii="Calibri" w:hAnsi="Calibri"/>
                <w:b w:val="0"/>
                <w:color w:val="172033"/>
                <w:sz w:val="15"/>
              </w:rPr>
              <w:t>Use a secure token cache per account.</w:t>
            </w:r>
          </w:p>
        </w:tc>
        <w:tc>
          <w:tcPr>
            <w:tcW w:type="dxa" w:w="1450"/>
            <w:vAlign w:val="center"/>
          </w:tcPr>
          <w:p>
            <w:pPr>
              <w:spacing w:before="0" w:after="0" w:line="245" w:lineRule="auto"/>
            </w:pPr>
            <w:r>
              <w:rPr>
                <w:rFonts w:ascii="Calibri" w:hAnsi="Calibri"/>
                <w:b w:val="0"/>
                <w:color w:val="172033"/>
                <w:sz w:val="15"/>
              </w:rPr>
              <w:t>N/A</w:t>
            </w:r>
          </w:p>
        </w:tc>
        <w:tc>
          <w:tcPr>
            <w:tcW w:type="dxa" w:w="3660"/>
            <w:vAlign w:val="center"/>
          </w:tcPr>
          <w:p>
            <w:pPr>
              <w:spacing w:before="0" w:after="0" w:line="245" w:lineRule="auto"/>
            </w:pPr>
            <w:r>
              <w:rPr>
                <w:rFonts w:ascii="Calibri" w:hAnsi="Calibri"/>
                <w:b w:val="0"/>
                <w:color w:val="172033"/>
                <w:sz w:val="15"/>
              </w:rPr>
              <w:t>No interactive user token cache; flow is app-only.</w:t>
            </w:r>
          </w:p>
        </w:tc>
      </w:tr>
      <w:tr>
        <w:tc>
          <w:tcPr>
            <w:tcW w:type="dxa" w:w="1250"/>
            <w:vAlign w:val="center"/>
          </w:tcPr>
          <w:p>
            <w:pPr>
              <w:spacing w:before="0" w:after="0" w:line="245" w:lineRule="auto"/>
            </w:pPr>
            <w:r>
              <w:rPr>
                <w:rFonts w:ascii="Calibri" w:hAnsi="Calibri"/>
                <w:b w:val="0"/>
                <w:color w:val="172033"/>
                <w:sz w:val="15"/>
              </w:rPr>
              <w:t>Implementation</w:t>
            </w:r>
          </w:p>
        </w:tc>
        <w:tc>
          <w:tcPr>
            <w:tcW w:type="dxa" w:w="3000"/>
            <w:vAlign w:val="center"/>
          </w:tcPr>
          <w:p>
            <w:pPr>
              <w:spacing w:before="0" w:after="0" w:line="245" w:lineRule="auto"/>
            </w:pPr>
            <w:r>
              <w:rPr>
                <w:rFonts w:ascii="Calibri" w:hAnsi="Calibri"/>
                <w:b w:val="0"/>
                <w:color w:val="172033"/>
                <w:sz w:val="15"/>
              </w:rPr>
              <w:t>Use Graph where required data is available through Graph.</w:t>
            </w:r>
          </w:p>
        </w:tc>
        <w:tc>
          <w:tcPr>
            <w:tcW w:type="dxa" w:w="1450"/>
            <w:vAlign w:val="center"/>
          </w:tcPr>
          <w:p>
            <w:pPr>
              <w:spacing w:before="0" w:after="0" w:line="245" w:lineRule="auto"/>
            </w:pPr>
            <w:r>
              <w:rPr>
                <w:rFonts w:ascii="Calibri" w:hAnsi="Calibri"/>
                <w:b w:val="0"/>
                <w:color w:val="172033"/>
                <w:sz w:val="15"/>
              </w:rPr>
              <w:t>N/A</w:t>
            </w:r>
          </w:p>
        </w:tc>
        <w:tc>
          <w:tcPr>
            <w:tcW w:type="dxa" w:w="3660"/>
            <w:vAlign w:val="center"/>
          </w:tcPr>
          <w:p>
            <w:pPr>
              <w:spacing w:before="0" w:after="0" w:line="245" w:lineRule="auto"/>
            </w:pPr>
            <w:r>
              <w:rPr>
                <w:rFonts w:ascii="Calibri" w:hAnsi="Calibri"/>
                <w:b w:val="0"/>
                <w:color w:val="172033"/>
                <w:sz w:val="15"/>
              </w:rPr>
              <w:t>No Microsoft customer content is required; no Graph permissions.</w:t>
            </w:r>
          </w:p>
        </w:tc>
      </w:tr>
      <w:tr>
        <w:tc>
          <w:tcPr>
            <w:tcW w:type="dxa" w:w="1250"/>
            <w:vAlign w:val="center"/>
          </w:tcPr>
          <w:p>
            <w:pPr>
              <w:spacing w:before="0" w:after="0" w:line="245" w:lineRule="auto"/>
            </w:pPr>
            <w:r>
              <w:rPr>
                <w:rFonts w:ascii="Calibri" w:hAnsi="Calibri"/>
                <w:b w:val="0"/>
                <w:color w:val="172033"/>
                <w:sz w:val="15"/>
              </w:rPr>
              <w:t>End-user experience</w:t>
            </w:r>
          </w:p>
        </w:tc>
        <w:tc>
          <w:tcPr>
            <w:tcW w:type="dxa" w:w="3000"/>
            <w:vAlign w:val="center"/>
          </w:tcPr>
          <w:p>
            <w:pPr>
              <w:spacing w:before="0" w:after="0" w:line="245" w:lineRule="auto"/>
            </w:pPr>
            <w:r>
              <w:rPr>
                <w:rFonts w:ascii="Calibri" w:hAnsi="Calibri"/>
                <w:b w:val="0"/>
                <w:color w:val="172033"/>
                <w:sz w:val="15"/>
              </w:rPr>
              <w:t>Provide an understandable consent experience.</w:t>
            </w:r>
          </w:p>
        </w:tc>
        <w:tc>
          <w:tcPr>
            <w:tcW w:type="dxa" w:w="1450"/>
            <w:vAlign w:val="center"/>
          </w:tcPr>
          <w:p>
            <w:pPr>
              <w:spacing w:before="0" w:after="0" w:line="245" w:lineRule="auto"/>
            </w:pPr>
            <w:r>
              <w:rPr>
                <w:rFonts w:ascii="Calibri" w:hAnsi="Calibri"/>
                <w:b w:val="0"/>
                <w:color w:val="172033"/>
                <w:sz w:val="15"/>
              </w:rPr>
              <w:t>Scoped/N/A</w:t>
            </w:r>
          </w:p>
        </w:tc>
        <w:tc>
          <w:tcPr>
            <w:tcW w:type="dxa" w:w="3660"/>
            <w:vAlign w:val="center"/>
          </w:tcPr>
          <w:p>
            <w:pPr>
              <w:spacing w:before="0" w:after="0" w:line="245" w:lineRule="auto"/>
            </w:pPr>
            <w:r>
              <w:rPr>
                <w:rFonts w:ascii="Calibri" w:hAnsi="Calibri"/>
                <w:b w:val="0"/>
                <w:color w:val="172033"/>
                <w:sz w:val="15"/>
              </w:rPr>
              <w:t>No interactive user consent UX; admin consent is recorded for the application role.</w:t>
            </w:r>
          </w:p>
        </w:tc>
      </w:tr>
      <w:tr>
        <w:tc>
          <w:tcPr>
            <w:tcW w:type="dxa" w:w="1250"/>
            <w:vAlign w:val="center"/>
          </w:tcPr>
          <w:p>
            <w:pPr>
              <w:spacing w:before="0" w:after="0" w:line="245" w:lineRule="auto"/>
            </w:pPr>
            <w:r>
              <w:rPr>
                <w:rFonts w:ascii="Calibri" w:hAnsi="Calibri"/>
                <w:b w:val="0"/>
                <w:color w:val="172033"/>
                <w:sz w:val="15"/>
              </w:rPr>
              <w:t>End-user experience</w:t>
            </w:r>
          </w:p>
        </w:tc>
        <w:tc>
          <w:tcPr>
            <w:tcW w:type="dxa" w:w="3000"/>
            <w:vAlign w:val="center"/>
          </w:tcPr>
          <w:p>
            <w:pPr>
              <w:spacing w:before="0" w:after="0" w:line="245" w:lineRule="auto"/>
            </w:pPr>
            <w:r>
              <w:rPr>
                <w:rFonts w:ascii="Calibri" w:hAnsi="Calibri"/>
                <w:b w:val="0"/>
                <w:color w:val="172033"/>
                <w:sz w:val="15"/>
              </w:rPr>
              <w:t>Use silent auth before interactive login; avoid prompt=consent.</w:t>
            </w:r>
          </w:p>
        </w:tc>
        <w:tc>
          <w:tcPr>
            <w:tcW w:type="dxa" w:w="1450"/>
            <w:vAlign w:val="center"/>
          </w:tcPr>
          <w:p>
            <w:pPr>
              <w:spacing w:before="0" w:after="0" w:line="245" w:lineRule="auto"/>
            </w:pPr>
            <w:r>
              <w:rPr>
                <w:rFonts w:ascii="Calibri" w:hAnsi="Calibri"/>
                <w:b w:val="0"/>
                <w:color w:val="172033"/>
                <w:sz w:val="15"/>
              </w:rPr>
              <w:t>N/A</w:t>
            </w:r>
          </w:p>
        </w:tc>
        <w:tc>
          <w:tcPr>
            <w:tcW w:type="dxa" w:w="3660"/>
            <w:vAlign w:val="center"/>
          </w:tcPr>
          <w:p>
            <w:pPr>
              <w:spacing w:before="0" w:after="0" w:line="245" w:lineRule="auto"/>
            </w:pPr>
            <w:r>
              <w:rPr>
                <w:rFonts w:ascii="Calibri" w:hAnsi="Calibri"/>
                <w:b w:val="0"/>
                <w:color w:val="172033"/>
                <w:sz w:val="15"/>
              </w:rPr>
              <w:t>No interactive sign-in flow.</w:t>
            </w:r>
          </w:p>
        </w:tc>
      </w:tr>
      <w:tr>
        <w:tc>
          <w:tcPr>
            <w:tcW w:type="dxa" w:w="1250"/>
            <w:vAlign w:val="center"/>
          </w:tcPr>
          <w:p>
            <w:pPr>
              <w:spacing w:before="0" w:after="0" w:line="245" w:lineRule="auto"/>
            </w:pPr>
            <w:r>
              <w:rPr>
                <w:rFonts w:ascii="Calibri" w:hAnsi="Calibri"/>
                <w:b w:val="0"/>
                <w:color w:val="172033"/>
                <w:sz w:val="15"/>
              </w:rPr>
              <w:t>End-user experience</w:t>
            </w:r>
          </w:p>
        </w:tc>
        <w:tc>
          <w:tcPr>
            <w:tcW w:type="dxa" w:w="3000"/>
            <w:vAlign w:val="center"/>
          </w:tcPr>
          <w:p>
            <w:pPr>
              <w:spacing w:before="0" w:after="0" w:line="245" w:lineRule="auto"/>
            </w:pPr>
            <w:r>
              <w:rPr>
                <w:rFonts w:ascii="Calibri" w:hAnsi="Calibri"/>
                <w:b w:val="0"/>
                <w:color w:val="172033"/>
                <w:sz w:val="15"/>
              </w:rPr>
              <w:t>Use Graph for optional user-data enrichment.</w:t>
            </w:r>
          </w:p>
        </w:tc>
        <w:tc>
          <w:tcPr>
            <w:tcW w:type="dxa" w:w="1450"/>
            <w:vAlign w:val="center"/>
          </w:tcPr>
          <w:p>
            <w:pPr>
              <w:spacing w:before="0" w:after="0" w:line="245" w:lineRule="auto"/>
            </w:pPr>
            <w:r>
              <w:rPr>
                <w:rFonts w:ascii="Calibri" w:hAnsi="Calibri"/>
                <w:b w:val="0"/>
                <w:color w:val="172033"/>
                <w:sz w:val="15"/>
              </w:rPr>
              <w:t>N/A</w:t>
            </w:r>
          </w:p>
        </w:tc>
        <w:tc>
          <w:tcPr>
            <w:tcW w:type="dxa" w:w="3660"/>
            <w:vAlign w:val="center"/>
          </w:tcPr>
          <w:p>
            <w:pPr>
              <w:spacing w:before="0" w:after="0" w:line="245" w:lineRule="auto"/>
            </w:pPr>
            <w:r>
              <w:rPr>
                <w:rFonts w:ascii="Calibri" w:hAnsi="Calibri"/>
                <w:b w:val="0"/>
                <w:color w:val="172033"/>
                <w:sz w:val="15"/>
              </w:rPr>
              <w:t>No user-data enrichment.</w:t>
            </w:r>
          </w:p>
        </w:tc>
      </w:tr>
      <w:tr>
        <w:tc>
          <w:tcPr>
            <w:tcW w:type="dxa" w:w="1250"/>
            <w:vAlign w:val="center"/>
          </w:tcPr>
          <w:p>
            <w:pPr>
              <w:spacing w:before="0" w:after="0" w:line="245" w:lineRule="auto"/>
            </w:pPr>
            <w:r>
              <w:rPr>
                <w:rFonts w:ascii="Calibri" w:hAnsi="Calibri"/>
                <w:b w:val="0"/>
                <w:color w:val="172033"/>
                <w:sz w:val="15"/>
              </w:rPr>
              <w:t>End-user experience</w:t>
            </w:r>
          </w:p>
        </w:tc>
        <w:tc>
          <w:tcPr>
            <w:tcW w:type="dxa" w:w="3000"/>
            <w:vAlign w:val="center"/>
          </w:tcPr>
          <w:p>
            <w:pPr>
              <w:spacing w:before="0" w:after="0" w:line="245" w:lineRule="auto"/>
            </w:pPr>
            <w:r>
              <w:rPr>
                <w:rFonts w:ascii="Calibri" w:hAnsi="Calibri"/>
                <w:b w:val="0"/>
                <w:color w:val="172033"/>
                <w:sz w:val="15"/>
              </w:rPr>
              <w:t>Register required permissions and use incremental consent where applicable.</w:t>
            </w:r>
          </w:p>
        </w:tc>
        <w:tc>
          <w:tcPr>
            <w:tcW w:type="dxa" w:w="1450"/>
            <w:vAlign w:val="center"/>
          </w:tcPr>
          <w:p>
            <w:pPr>
              <w:spacing w:before="0" w:after="0" w:line="245" w:lineRule="auto"/>
            </w:pPr>
            <w:r>
              <w:rPr>
                <w:rFonts w:ascii="Calibri" w:hAnsi="Calibri"/>
                <w:b w:val="0"/>
                <w:color w:val="172033"/>
                <w:sz w:val="15"/>
              </w:rPr>
              <w:t>Scoped pass</w:t>
            </w:r>
          </w:p>
        </w:tc>
        <w:tc>
          <w:tcPr>
            <w:tcW w:type="dxa" w:w="3660"/>
            <w:vAlign w:val="center"/>
          </w:tcPr>
          <w:p>
            <w:pPr>
              <w:spacing w:before="0" w:after="0" w:line="245" w:lineRule="auto"/>
            </w:pPr>
            <w:r>
              <w:rPr>
                <w:rFonts w:ascii="Calibri" w:hAnsi="Calibri"/>
                <w:b w:val="0"/>
                <w:color w:val="172033"/>
                <w:sz w:val="15"/>
              </w:rPr>
              <w:t>One application role with administrator consent; delegated incremental consent is not applicable.</w:t>
            </w:r>
          </w:p>
        </w:tc>
      </w:tr>
      <w:tr>
        <w:tc>
          <w:tcPr>
            <w:tcW w:type="dxa" w:w="1250"/>
            <w:vAlign w:val="center"/>
          </w:tcPr>
          <w:p>
            <w:pPr>
              <w:spacing w:before="0" w:after="0" w:line="245" w:lineRule="auto"/>
            </w:pPr>
            <w:r>
              <w:rPr>
                <w:rFonts w:ascii="Calibri" w:hAnsi="Calibri"/>
                <w:b w:val="0"/>
                <w:color w:val="172033"/>
                <w:sz w:val="15"/>
              </w:rPr>
              <w:t>End-user experience</w:t>
            </w:r>
          </w:p>
        </w:tc>
        <w:tc>
          <w:tcPr>
            <w:tcW w:type="dxa" w:w="3000"/>
            <w:vAlign w:val="center"/>
          </w:tcPr>
          <w:p>
            <w:pPr>
              <w:spacing w:before="0" w:after="0" w:line="245" w:lineRule="auto"/>
            </w:pPr>
            <w:r>
              <w:rPr>
                <w:rFonts w:ascii="Calibri" w:hAnsi="Calibri"/>
                <w:b w:val="0"/>
                <w:color w:val="172033"/>
                <w:sz w:val="15"/>
              </w:rPr>
              <w:t>Implement clean single sign-out.</w:t>
            </w:r>
          </w:p>
        </w:tc>
        <w:tc>
          <w:tcPr>
            <w:tcW w:type="dxa" w:w="1450"/>
            <w:vAlign w:val="center"/>
          </w:tcPr>
          <w:p>
            <w:pPr>
              <w:spacing w:before="0" w:after="0" w:line="245" w:lineRule="auto"/>
            </w:pPr>
            <w:r>
              <w:rPr>
                <w:rFonts w:ascii="Calibri" w:hAnsi="Calibri"/>
                <w:b w:val="0"/>
                <w:color w:val="172033"/>
                <w:sz w:val="15"/>
              </w:rPr>
              <w:t>N/A</w:t>
            </w:r>
          </w:p>
        </w:tc>
        <w:tc>
          <w:tcPr>
            <w:tcW w:type="dxa" w:w="3660"/>
            <w:vAlign w:val="center"/>
          </w:tcPr>
          <w:p>
            <w:pPr>
              <w:spacing w:before="0" w:after="0" w:line="245" w:lineRule="auto"/>
            </w:pPr>
            <w:r>
              <w:rPr>
                <w:rFonts w:ascii="Calibri" w:hAnsi="Calibri"/>
                <w:b w:val="0"/>
                <w:color w:val="172033"/>
                <w:sz w:val="15"/>
              </w:rPr>
              <w:t>No interactive user session.</w:t>
            </w:r>
          </w:p>
        </w:tc>
      </w:tr>
      <w:tr>
        <w:tc>
          <w:tcPr>
            <w:tcW w:type="dxa" w:w="1250"/>
            <w:vAlign w:val="center"/>
          </w:tcPr>
          <w:p>
            <w:pPr>
              <w:spacing w:before="0" w:after="0" w:line="245" w:lineRule="auto"/>
            </w:pPr>
            <w:r>
              <w:rPr>
                <w:rFonts w:ascii="Calibri" w:hAnsi="Calibri"/>
                <w:b w:val="0"/>
                <w:color w:val="172033"/>
                <w:sz w:val="15"/>
              </w:rPr>
              <w:t>Testing</w:t>
            </w:r>
          </w:p>
        </w:tc>
        <w:tc>
          <w:tcPr>
            <w:tcW w:type="dxa" w:w="3000"/>
            <w:vAlign w:val="center"/>
          </w:tcPr>
          <w:p>
            <w:pPr>
              <w:spacing w:before="0" w:after="0" w:line="245" w:lineRule="auto"/>
            </w:pPr>
            <w:r>
              <w:rPr>
                <w:rFonts w:ascii="Calibri" w:hAnsi="Calibri"/>
                <w:b w:val="0"/>
                <w:color w:val="172033"/>
                <w:sz w:val="15"/>
              </w:rPr>
              <w:t>Test Conditional Access policies.</w:t>
            </w:r>
          </w:p>
        </w:tc>
        <w:tc>
          <w:tcPr>
            <w:tcW w:type="dxa" w:w="1450"/>
            <w:vAlign w:val="center"/>
          </w:tcPr>
          <w:p>
            <w:pPr>
              <w:spacing w:before="0" w:after="0" w:line="245" w:lineRule="auto"/>
            </w:pPr>
            <w:r>
              <w:rPr>
                <w:rFonts w:ascii="Calibri" w:hAnsi="Calibri"/>
                <w:b w:val="0"/>
                <w:color w:val="172033"/>
                <w:sz w:val="15"/>
              </w:rPr>
              <w:t>Owner action</w:t>
            </w:r>
          </w:p>
        </w:tc>
        <w:tc>
          <w:tcPr>
            <w:tcW w:type="dxa" w:w="3660"/>
            <w:vAlign w:val="center"/>
          </w:tcPr>
          <w:p>
            <w:pPr>
              <w:spacing w:before="0" w:after="0" w:line="245" w:lineRule="auto"/>
            </w:pPr>
            <w:r>
              <w:rPr>
                <w:rFonts w:ascii="Calibri" w:hAnsi="Calibri"/>
                <w:b w:val="0"/>
                <w:color w:val="172033"/>
                <w:sz w:val="15"/>
              </w:rPr>
              <w:t>Retain a live workload-identity policy test result before asserting full completion.</w:t>
            </w:r>
          </w:p>
        </w:tc>
      </w:tr>
      <w:tr>
        <w:tc>
          <w:tcPr>
            <w:tcW w:type="dxa" w:w="1250"/>
            <w:vAlign w:val="center"/>
          </w:tcPr>
          <w:p>
            <w:pPr>
              <w:spacing w:before="0" w:after="0" w:line="245" w:lineRule="auto"/>
            </w:pPr>
            <w:r>
              <w:rPr>
                <w:rFonts w:ascii="Calibri" w:hAnsi="Calibri"/>
                <w:b w:val="0"/>
                <w:color w:val="172033"/>
                <w:sz w:val="15"/>
              </w:rPr>
              <w:t>Testing</w:t>
            </w:r>
          </w:p>
        </w:tc>
        <w:tc>
          <w:tcPr>
            <w:tcW w:type="dxa" w:w="3000"/>
            <w:vAlign w:val="center"/>
          </w:tcPr>
          <w:p>
            <w:pPr>
              <w:spacing w:before="0" w:after="0" w:line="245" w:lineRule="auto"/>
            </w:pPr>
            <w:r>
              <w:rPr>
                <w:rFonts w:ascii="Calibri" w:hAnsi="Calibri"/>
                <w:b w:val="0"/>
                <w:color w:val="172033"/>
                <w:sz w:val="15"/>
              </w:rPr>
              <w:t>Test all supported account types.</w:t>
            </w:r>
          </w:p>
        </w:tc>
        <w:tc>
          <w:tcPr>
            <w:tcW w:type="dxa" w:w="1450"/>
            <w:vAlign w:val="center"/>
          </w:tcPr>
          <w:p>
            <w:pPr>
              <w:spacing w:before="0" w:after="0" w:line="245" w:lineRule="auto"/>
            </w:pPr>
            <w:r>
              <w:rPr>
                <w:rFonts w:ascii="Calibri" w:hAnsi="Calibri"/>
                <w:b w:val="0"/>
                <w:color w:val="172033"/>
                <w:sz w:val="15"/>
              </w:rPr>
              <w:t>Scoped pass</w:t>
            </w:r>
          </w:p>
        </w:tc>
        <w:tc>
          <w:tcPr>
            <w:tcW w:type="dxa" w:w="3660"/>
            <w:vAlign w:val="center"/>
          </w:tcPr>
          <w:p>
            <w:pPr>
              <w:spacing w:before="0" w:after="0" w:line="245" w:lineRule="auto"/>
            </w:pPr>
            <w:r>
              <w:rPr>
                <w:rFonts w:ascii="Calibri" w:hAnsi="Calibri"/>
                <w:b w:val="0"/>
                <w:color w:val="172033"/>
                <w:sz w:val="15"/>
              </w:rPr>
              <w:t>Single-tenant organizational account type only; consumer, child, mobile, and sovereign types are out of scope.</w:t>
            </w:r>
          </w:p>
        </w:tc>
      </w:tr>
    </w:tbl>
    <w:p>
      <w:pPr>
        <w:spacing w:after="40"/>
      </w:pPr>
    </w:p>
    <w:p>
      <w:pPr>
        <w:pStyle w:val="Heading1"/>
        <w:spacing w:before="280" w:after="120" w:line="259" w:lineRule="auto"/>
      </w:pPr>
      <w:r>
        <w:rPr>
          <w:rFonts w:ascii="Calibri" w:hAnsi="Calibri"/>
          <w:b/>
          <w:color w:val="2E74B5"/>
          <w:sz w:val="32"/>
        </w:rPr>
        <w:t>3. Evidence register</w:t>
      </w:r>
    </w:p>
    <w:p>
      <w:pPr>
        <w:pStyle w:val="ListBullet"/>
        <w:spacing w:before="0" w:after="60" w:line="259" w:lineRule="auto"/>
      </w:pPr>
      <w:r>
        <w:rPr>
          <w:rFonts w:ascii="Calibri" w:hAnsi="Calibri"/>
          <w:b w:val="0"/>
          <w:color w:val="172033"/>
          <w:sz w:val="20"/>
        </w:rPr>
        <w:t>/Users/benmasek/WC01/outputs/microsoft-mcp-certification-v2/microsoft_mcp_msft_endpoint_readiness.md</w:t>
      </w:r>
    </w:p>
    <w:p>
      <w:pPr>
        <w:pStyle w:val="ListBullet"/>
        <w:spacing w:before="0" w:after="60" w:line="259" w:lineRule="auto"/>
      </w:pPr>
      <w:r>
        <w:rPr>
          <w:rFonts w:ascii="Calibri" w:hAnsi="Calibri"/>
          <w:b w:val="0"/>
          <w:color w:val="172033"/>
          <w:sz w:val="20"/>
        </w:rPr>
        <w:t>/Users/benmasek/WC01/outputs/microsoft-mcp-certification-v2/azure_setup.md</w:t>
      </w:r>
    </w:p>
    <w:p>
      <w:pPr>
        <w:pStyle w:val="ListBullet"/>
        <w:spacing w:before="0" w:after="60" w:line="259" w:lineRule="auto"/>
      </w:pPr>
      <w:r>
        <w:rPr>
          <w:rFonts w:ascii="Calibri" w:hAnsi="Calibri"/>
          <w:b w:val="0"/>
          <w:color w:val="172033"/>
          <w:sz w:val="20"/>
        </w:rPr>
        <w:t>/Users/benmasek/WC01/apps/mcp/src/microsoft-entra-auth.ts</w:t>
      </w:r>
    </w:p>
    <w:p>
      <w:pPr>
        <w:pStyle w:val="ListBullet"/>
        <w:spacing w:before="0" w:after="60" w:line="259" w:lineRule="auto"/>
      </w:pPr>
      <w:r>
        <w:rPr>
          <w:rFonts w:ascii="Calibri" w:hAnsi="Calibri"/>
          <w:b w:val="0"/>
          <w:color w:val="172033"/>
          <w:sz w:val="20"/>
        </w:rPr>
        <w:t>/Users/benmasek/WC01/outputs/microsoft-mcp-certification-v2/package/manifest.json</w:t>
      </w:r>
    </w:p>
    <w:p>
      <w:pPr>
        <w:pStyle w:val="ListBullet"/>
        <w:spacing w:before="0" w:after="60" w:line="259" w:lineRule="auto"/>
      </w:pPr>
      <w:r>
        <w:rPr>
          <w:rFonts w:ascii="Calibri" w:hAnsi="Calibri"/>
          <w:b w:val="0"/>
          <w:color w:val="172033"/>
          <w:sz w:val="20"/>
        </w:rPr>
        <w:t>https://learn.microsoft.com/en-us/entra/identity-platform/identity-platform-integration-checklist</w:t>
      </w:r>
    </w:p>
    <w:p>
      <w:pPr>
        <w:pStyle w:val="Heading1"/>
        <w:spacing w:before="280" w:after="120" w:line="259" w:lineRule="auto"/>
      </w:pPr>
      <w:r>
        <w:rPr>
          <w:rFonts w:ascii="Calibri" w:hAnsi="Calibri"/>
          <w:b/>
          <w:color w:val="2E74B5"/>
          <w:sz w:val="32"/>
        </w:rPr>
        <w:t>4. Owner attestation and closure</w:t>
      </w:r>
    </w:p>
    <w:p>
      <w:pPr>
        <w:spacing w:before="0" w:after="120" w:line="259" w:lineRule="auto"/>
      </w:pPr>
      <w:r>
        <w:rPr>
          <w:rFonts w:ascii="Calibri" w:hAnsi="Calibri"/>
          <w:b w:val="0"/>
          <w:color w:val="172033"/>
          <w:sz w:val="20"/>
        </w:rPr>
        <w:t>By signing below, the accountable owner confirms that live Entra/Partner Center owner records are current, Microsoft platform policies are understood and followed, the credential approach and rotation evidence are accepted, and Conditional Access testing has been completed or formally scoped as not applicable.</w:t>
      </w:r>
    </w:p>
    <w:tbl>
      <w:tblPr>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shd w:fill="E8EEF5"/>
          </w:tcPr>
          <w:p>
            <w:pPr>
              <w:spacing w:before="0" w:after="0" w:line="240" w:lineRule="auto"/>
            </w:pPr>
            <w:r>
              <w:rPr>
                <w:rFonts w:ascii="Calibri" w:hAnsi="Calibri"/>
                <w:b/>
                <w:color w:val="0B2545"/>
                <w:sz w:val="18"/>
              </w:rPr>
              <w:t>Attestation item</w:t>
            </w:r>
          </w:p>
        </w:tc>
        <w:tc>
          <w:tcPr>
            <w:tcW w:type="dxa" w:w="6360"/>
            <w:vAlign w:val="center"/>
            <w:shd w:fill="E8EEF5"/>
          </w:tcPr>
          <w:p>
            <w:pPr>
              <w:spacing w:before="0" w:after="0" w:line="240" w:lineRule="auto"/>
            </w:pPr>
            <w:r>
              <w:rPr>
                <w:rFonts w:ascii="Calibri" w:hAnsi="Calibri"/>
                <w:b/>
                <w:color w:val="0B2545"/>
                <w:sz w:val="18"/>
              </w:rPr>
              <w:t>Record</w:t>
            </w:r>
          </w:p>
        </w:tc>
      </w:tr>
      <w:tr>
        <w:tc>
          <w:tcPr>
            <w:tcW w:type="dxa" w:w="3000"/>
            <w:vAlign w:val="center"/>
          </w:tcPr>
          <w:p>
            <w:pPr>
              <w:spacing w:before="0" w:after="0" w:line="245" w:lineRule="auto"/>
            </w:pPr>
            <w:r>
              <w:rPr>
                <w:rFonts w:ascii="Calibri" w:hAnsi="Calibri"/>
                <w:b w:val="0"/>
                <w:color w:val="172033"/>
                <w:sz w:val="18"/>
              </w:rPr>
              <w:t>Accountable owner</w:t>
            </w:r>
          </w:p>
        </w:tc>
        <w:tc>
          <w:tcPr>
            <w:tcW w:type="dxa" w:w="6360"/>
            <w:vAlign w:val="center"/>
          </w:tcPr>
          <w:p>
            <w:pPr>
              <w:spacing w:before="0" w:after="0" w:line="245" w:lineRule="auto"/>
            </w:pPr>
            <w:r>
              <w:rPr>
                <w:rFonts w:ascii="Calibri" w:hAnsi="Calibri"/>
                <w:b w:val="0"/>
                <w:color w:val="172033"/>
                <w:sz w:val="18"/>
              </w:rPr>
              <w:t>____________________________________________</w:t>
            </w:r>
          </w:p>
        </w:tc>
      </w:tr>
      <w:tr>
        <w:tc>
          <w:tcPr>
            <w:tcW w:type="dxa" w:w="3000"/>
            <w:vAlign w:val="center"/>
          </w:tcPr>
          <w:p>
            <w:pPr>
              <w:spacing w:before="0" w:after="0" w:line="245" w:lineRule="auto"/>
            </w:pPr>
            <w:r>
              <w:rPr>
                <w:rFonts w:ascii="Calibri" w:hAnsi="Calibri"/>
                <w:b w:val="0"/>
                <w:color w:val="172033"/>
                <w:sz w:val="18"/>
              </w:rPr>
              <w:t>Title / organization</w:t>
            </w:r>
          </w:p>
        </w:tc>
        <w:tc>
          <w:tcPr>
            <w:tcW w:type="dxa" w:w="6360"/>
            <w:vAlign w:val="center"/>
          </w:tcPr>
          <w:p>
            <w:pPr>
              <w:spacing w:before="0" w:after="0" w:line="245" w:lineRule="auto"/>
            </w:pPr>
            <w:r>
              <w:rPr>
                <w:rFonts w:ascii="Calibri" w:hAnsi="Calibri"/>
                <w:b w:val="0"/>
                <w:color w:val="172033"/>
                <w:sz w:val="18"/>
              </w:rPr>
              <w:t>____________________________________________</w:t>
            </w:r>
          </w:p>
        </w:tc>
      </w:tr>
      <w:tr>
        <w:tc>
          <w:tcPr>
            <w:tcW w:type="dxa" w:w="3000"/>
            <w:vAlign w:val="center"/>
          </w:tcPr>
          <w:p>
            <w:pPr>
              <w:spacing w:before="0" w:after="0" w:line="245" w:lineRule="auto"/>
            </w:pPr>
            <w:r>
              <w:rPr>
                <w:rFonts w:ascii="Calibri" w:hAnsi="Calibri"/>
                <w:b w:val="0"/>
                <w:color w:val="172033"/>
                <w:sz w:val="18"/>
              </w:rPr>
              <w:t>Approval date</w:t>
            </w:r>
          </w:p>
        </w:tc>
        <w:tc>
          <w:tcPr>
            <w:tcW w:type="dxa" w:w="6360"/>
            <w:vAlign w:val="center"/>
          </w:tcPr>
          <w:p>
            <w:pPr>
              <w:spacing w:before="0" w:after="0" w:line="245" w:lineRule="auto"/>
            </w:pPr>
            <w:r>
              <w:rPr>
                <w:rFonts w:ascii="Calibri" w:hAnsi="Calibri"/>
                <w:b w:val="0"/>
                <w:color w:val="172033"/>
                <w:sz w:val="18"/>
              </w:rPr>
              <w:t>____________________________________________</w:t>
            </w:r>
          </w:p>
        </w:tc>
      </w:tr>
      <w:tr>
        <w:tc>
          <w:tcPr>
            <w:tcW w:type="dxa" w:w="3000"/>
            <w:vAlign w:val="center"/>
          </w:tcPr>
          <w:p>
            <w:pPr>
              <w:spacing w:before="0" w:after="0" w:line="245" w:lineRule="auto"/>
            </w:pPr>
            <w:r>
              <w:rPr>
                <w:rFonts w:ascii="Calibri" w:hAnsi="Calibri"/>
                <w:b w:val="0"/>
                <w:color w:val="172033"/>
                <w:sz w:val="18"/>
              </w:rPr>
              <w:t>Credential decision / rotation evidence</w:t>
            </w:r>
          </w:p>
        </w:tc>
        <w:tc>
          <w:tcPr>
            <w:tcW w:type="dxa" w:w="6360"/>
            <w:vAlign w:val="center"/>
          </w:tcPr>
          <w:p>
            <w:pPr>
              <w:spacing w:before="0" w:after="0" w:line="245" w:lineRule="auto"/>
            </w:pPr>
            <w:r>
              <w:rPr>
                <w:rFonts w:ascii="Calibri" w:hAnsi="Calibri"/>
                <w:b w:val="0"/>
                <w:color w:val="172033"/>
                <w:sz w:val="18"/>
              </w:rPr>
              <w:t>____________________________________________</w:t>
            </w:r>
          </w:p>
        </w:tc>
      </w:tr>
      <w:tr>
        <w:tc>
          <w:tcPr>
            <w:tcW w:type="dxa" w:w="3000"/>
            <w:vAlign w:val="center"/>
          </w:tcPr>
          <w:p>
            <w:pPr>
              <w:spacing w:before="0" w:after="0" w:line="245" w:lineRule="auto"/>
            </w:pPr>
            <w:r>
              <w:rPr>
                <w:rFonts w:ascii="Calibri" w:hAnsi="Calibri"/>
                <w:b w:val="0"/>
                <w:color w:val="172033"/>
                <w:sz w:val="18"/>
              </w:rPr>
              <w:t>Conditional Access test evidence</w:t>
            </w:r>
          </w:p>
        </w:tc>
        <w:tc>
          <w:tcPr>
            <w:tcW w:type="dxa" w:w="6360"/>
            <w:vAlign w:val="center"/>
          </w:tcPr>
          <w:p>
            <w:pPr>
              <w:spacing w:before="0" w:after="0" w:line="245" w:lineRule="auto"/>
            </w:pPr>
            <w:r>
              <w:rPr>
                <w:rFonts w:ascii="Calibri" w:hAnsi="Calibri"/>
                <w:b w:val="0"/>
                <w:color w:val="172033"/>
                <w:sz w:val="18"/>
              </w:rPr>
              <w:t>____________________________________________</w:t>
            </w:r>
          </w:p>
        </w:tc>
      </w:tr>
      <w:tr>
        <w:tc>
          <w:tcPr>
            <w:tcW w:type="dxa" w:w="3000"/>
            <w:vAlign w:val="center"/>
          </w:tcPr>
          <w:p>
            <w:pPr>
              <w:spacing w:before="0" w:after="0" w:line="245" w:lineRule="auto"/>
            </w:pPr>
            <w:r>
              <w:rPr>
                <w:rFonts w:ascii="Calibri" w:hAnsi="Calibri"/>
                <w:b w:val="0"/>
                <w:color w:val="172033"/>
                <w:sz w:val="18"/>
              </w:rPr>
              <w:t>Next checklist review date</w:t>
            </w:r>
          </w:p>
        </w:tc>
        <w:tc>
          <w:tcPr>
            <w:tcW w:type="dxa" w:w="6360"/>
            <w:vAlign w:val="center"/>
          </w:tcPr>
          <w:p>
            <w:pPr>
              <w:spacing w:before="0" w:after="0" w:line="245" w:lineRule="auto"/>
            </w:pPr>
            <w:r>
              <w:rPr>
                <w:rFonts w:ascii="Calibri" w:hAnsi="Calibri"/>
                <w:b w:val="0"/>
                <w:color w:val="172033"/>
                <w:sz w:val="18"/>
              </w:rPr>
              <w:t>____________________________________________</w:t>
            </w:r>
          </w:p>
        </w:tc>
      </w:tr>
      <w:tr>
        <w:tc>
          <w:tcPr>
            <w:tcW w:type="dxa" w:w="3000"/>
            <w:vAlign w:val="center"/>
          </w:tcPr>
          <w:p>
            <w:pPr>
              <w:spacing w:before="0" w:after="0" w:line="245" w:lineRule="auto"/>
            </w:pPr>
            <w:r>
              <w:rPr>
                <w:rFonts w:ascii="Calibri" w:hAnsi="Calibri"/>
                <w:b w:val="0"/>
                <w:color w:val="172033"/>
                <w:sz w:val="18"/>
              </w:rPr>
              <w:t>Signature / approval</w:t>
            </w:r>
          </w:p>
        </w:tc>
        <w:tc>
          <w:tcPr>
            <w:tcW w:type="dxa" w:w="6360"/>
            <w:vAlign w:val="center"/>
          </w:tcPr>
          <w:p>
            <w:pPr>
              <w:spacing w:before="0" w:after="0" w:line="245" w:lineRule="auto"/>
            </w:pPr>
            <w:r>
              <w:rPr>
                <w:rFonts w:ascii="Calibri" w:hAnsi="Calibri"/>
                <w:b w:val="0"/>
                <w:color w:val="172033"/>
                <w:sz w:val="18"/>
              </w:rPr>
              <w:t>____________________________________________</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AF4EA"/>
          </w:tcPr>
          <w:p>
            <w:pPr>
              <w:spacing w:before="0" w:after="0" w:line="259" w:lineRule="auto"/>
            </w:pPr>
            <w:r>
              <w:rPr>
                <w:rFonts w:ascii="Calibri" w:hAnsi="Calibri"/>
                <w:b/>
                <w:color w:val="1F5E2B"/>
                <w:sz w:val="21"/>
              </w:rPr>
              <w:t xml:space="preserve">After signed closure: </w:t>
            </w:r>
            <w:r>
              <w:rPr>
                <w:rFonts w:ascii="Calibri" w:hAnsi="Calibri"/>
                <w:b w:val="0"/>
                <w:color w:val="172033"/>
                <w:sz w:val="21"/>
              </w:rPr>
              <w:t>the organization may answer “Yes” for this scoped Microsoft identity integration.</w:t>
            </w:r>
          </w:p>
        </w:tc>
      </w:tr>
    </w:tbl>
    <w:sectPr w:rsidR="00FC693F" w:rsidRPr="0006063C" w:rsidSect="00034616">
      <w:headerReference w:type="default" r:id="rId9"/>
      <w:footerReference w:type="default" r:id="rId10"/>
      <w:pgSz w:w="12240" w:h="15840"/>
      <w:pgMar w:top="1224" w:right="1296" w:bottom="122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color w:val="5B6573"/>
        <w:sz w:val="16"/>
      </w:rPr>
      <w:t>Internal attestation worksheet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b/>
        <w:color w:val="5B6573"/>
        <w:sz w:val="17"/>
      </w:rPr>
      <w:t>CertScore.ai  |  Microsoft Identity Platform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CertScore.ai Microsoft Identity Platform Checklist Attestation</dc:title>
  <dc:subject>Evidence-backed checklist review</dc:subject>
  <dc:creator>CertScore.ai</dc:creator>
  <cp:keywords/>
  <dc:description>Owner signature required for final attestation.</dc:description>
  <cp:lastModifiedBy/>
  <cp:revision>1</cp:revision>
  <dcterms:created xsi:type="dcterms:W3CDTF">2013-12-23T23:15:00Z</dcterms:created>
  <dcterms:modified xsi:type="dcterms:W3CDTF">2013-12-23T23:15:00Z</dcterms:modified>
  <cp:category/>
</cp:coreProperties>
</file>