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Calibri" w:hAnsi="Calibri"/>
          <w:b/>
          <w:i w:val="0"/>
          <w:color w:val="2E74B5"/>
          <w:sz w:val="20"/>
        </w:rPr>
        <w:t>PRIVACY RISK ASSESSMENT</w:t>
      </w:r>
    </w:p>
    <w:p>
      <w:pPr>
        <w:spacing w:after="120"/>
      </w:pPr>
      <w:r>
        <w:rPr>
          <w:rFonts w:ascii="Calibri" w:hAnsi="Calibri"/>
          <w:b/>
          <w:i w:val="0"/>
          <w:color w:val="17365D"/>
          <w:sz w:val="48"/>
        </w:rPr>
        <w:t>CertScore Data Security &amp; Privacy Risk Assessment</w:t>
      </w:r>
    </w:p>
    <w:p>
      <w:pPr>
        <w:spacing w:after="360"/>
      </w:pPr>
      <w:r>
        <w:rPr>
          <w:rFonts w:ascii="Calibri" w:hAnsi="Calibri"/>
          <w:b w:val="0"/>
          <w:i w:val="0"/>
          <w:color w:val="667085"/>
          <w:sz w:val="26"/>
        </w:rPr>
        <w:t>DPIA-style baseline review and recurring governance procedure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Field</w:t>
            </w:r>
          </w:p>
        </w:tc>
        <w:tc>
          <w:tcPr>
            <w:tcW w:type="dxa" w:w="716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Value</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Document</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CS-PRIV-RA-001</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Version</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1.0</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Assessment date</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August 23, 2026</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Assessment scope</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WC01 production application and supporting AWS environment</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Assessment status</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Completed baseline - effective upon accountable owner approval</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Next full review</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August 23, 2027, or earlier upon a material trigger</w:t>
            </w:r>
          </w:p>
        </w:tc>
      </w:tr>
    </w:tbl>
    <w:p>
      <w:pPr>
        <w:spacing w:after="40"/>
      </w:pPr>
    </w:p>
    <w:p>
      <w:pPr>
        <w:shd w:fill="FEF3C7"/>
        <w:pBdr>
          <w:top w:val="single" w:sz="4" w:space="4" w:color="D0D5DD"/>
          <w:left w:val="single" w:sz="4" w:space="4" w:color="D0D5DD"/>
          <w:bottom w:val="single" w:sz="4" w:space="4" w:color="D0D5DD"/>
          <w:right w:val="single" w:sz="4" w:space="4" w:color="D0D5DD"/>
        </w:pBdr>
        <w:spacing w:before="80" w:after="160" w:line="259" w:lineRule="auto"/>
        <w:ind w:left="115" w:right="115"/>
      </w:pPr>
      <w:r>
        <w:rPr>
          <w:rFonts w:ascii="Calibri" w:hAnsi="Calibri"/>
          <w:b/>
          <w:i w:val="0"/>
          <w:color w:val="92400E"/>
          <w:sz w:val="20"/>
        </w:rPr>
        <w:t xml:space="preserve">Outcome: </w:t>
      </w:r>
      <w:r>
        <w:rPr>
          <w:rFonts w:ascii="Calibri" w:hAnsi="Calibri"/>
          <w:b w:val="0"/>
          <w:i w:val="0"/>
          <w:color w:val="1F2937"/>
          <w:sz w:val="20"/>
        </w:rPr>
        <w:t>Overall residual privacy risk is Moderate. Processing may continue subject to the remediation plan, quarterly control reviews, and accountable owner approval. No legal compliance certification is asserted.</w:t>
      </w:r>
    </w:p>
    <w:p>
      <w:pPr>
        <w:pStyle w:val="Heading2"/>
        <w:keepNext/>
      </w:pPr>
      <w:r>
        <w:t>Approval and adoption</w:t>
      </w:r>
    </w:p>
    <w:p>
      <w:pPr>
        <w:spacing w:after="120" w:line="264" w:lineRule="auto"/>
      </w:pPr>
      <w:r>
        <w:rPr>
          <w:rFonts w:ascii="Calibri" w:hAnsi="Calibri"/>
          <w:b w:val="0"/>
          <w:i w:val="0"/>
          <w:color w:val="1F2937"/>
          <w:sz w:val="21"/>
        </w:rPr>
        <w:t>This assessment becomes the organization's operative baseline when an accountable owner signs below. Approval also adopts the recurring review procedure in Section 10. An unsigned draft alone is not sufficient evidence that regular organizational reviews are performed.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F2F4F7"/>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Approval field</w:t>
            </w:r>
          </w:p>
        </w:tc>
        <w:tc>
          <w:tcPr>
            <w:tcW w:type="dxa" w:w="7160"/>
            <w:shd w:fill="F2F4F7"/>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Entry</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Accountable owner</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____________________________________________</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Title</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____________________________________________</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Decision</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Approve / Approve with conditions / Return for revision</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Signature</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____________________________________________</w:t>
            </w:r>
          </w:p>
        </w:tc>
      </w:tr>
      <w:tr>
        <w:trPr>
          <w:cantSplit w:val="true"/>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Date</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____________________________________________</w:t>
            </w:r>
          </w:p>
        </w:tc>
      </w:tr>
    </w:tbl>
    <w:p>
      <w:pPr>
        <w:spacing w:after="40"/>
      </w:pPr>
    </w:p>
    <w:p>
      <w:r>
        <w:br w:type="page"/>
      </w:r>
    </w:p>
    <w:p>
      <w:pPr>
        <w:pStyle w:val="Heading1"/>
        <w:keepNext/>
      </w:pPr>
      <w:r>
        <w:t>1. Executive determination</w:t>
      </w:r>
    </w:p>
    <w:p>
      <w:pPr>
        <w:spacing w:after="120" w:line="264" w:lineRule="auto"/>
      </w:pPr>
      <w:r>
        <w:rPr>
          <w:rFonts w:ascii="Calibri" w:hAnsi="Calibri"/>
          <w:b w:val="0"/>
          <w:i w:val="0"/>
          <w:color w:val="1F2937"/>
          <w:sz w:val="21"/>
        </w:rPr>
        <w:t>CertScore operates a public website-scanning and reporting service. The app processes account and organization identifiers, operational telemetry, privacy-request details, and retained public-web evidence. Some public-web evidence may incidentally contain personal data. Optional analytics may process cookie, device, and interaction data after consent.</w:t>
      </w:r>
    </w:p>
    <w:p>
      <w:pPr>
        <w:spacing w:after="120" w:line="264" w:lineRule="auto"/>
      </w:pPr>
      <w:r>
        <w:rPr>
          <w:rFonts w:ascii="Calibri" w:hAnsi="Calibri"/>
          <w:b w:val="0"/>
          <w:i w:val="0"/>
          <w:color w:val="1F2937"/>
          <w:sz w:val="21"/>
        </w:rPr>
        <w:t>The review found meaningful technical controls, including scoped AWS identities, network restrictions, TLS configuration, consent-gated analytics, privacy-request intake, self-service account deletion, bounded evidence contracts, redaction, and scheduled vulnerability scanning. The principal residual risks are incomplete retention rules, manual privacy-request case management, processor and international-transfer governance, and the possibility that retained public-web evidence contains personal data beyond what is necessary.</w:t>
      </w:r>
    </w:p>
    <w:p>
      <w:pPr>
        <w:shd w:fill="DCFCE7"/>
        <w:pBdr>
          <w:top w:val="single" w:sz="4" w:space="4" w:color="D0D5DD"/>
          <w:left w:val="single" w:sz="4" w:space="4" w:color="D0D5DD"/>
          <w:bottom w:val="single" w:sz="4" w:space="4" w:color="D0D5DD"/>
          <w:right w:val="single" w:sz="4" w:space="4" w:color="D0D5DD"/>
        </w:pBdr>
        <w:spacing w:before="80" w:after="160" w:line="259" w:lineRule="auto"/>
        <w:ind w:left="115" w:right="115"/>
      </w:pPr>
      <w:r>
        <w:rPr>
          <w:rFonts w:ascii="Calibri" w:hAnsi="Calibri"/>
          <w:b/>
          <w:i w:val="0"/>
          <w:color w:val="166534"/>
          <w:sz w:val="20"/>
        </w:rPr>
        <w:t xml:space="preserve">Decision: </w:t>
      </w:r>
      <w:r>
        <w:rPr>
          <w:rFonts w:ascii="Calibri" w:hAnsi="Calibri"/>
          <w:b w:val="0"/>
          <w:i w:val="0"/>
          <w:color w:val="1F2937"/>
          <w:sz w:val="20"/>
        </w:rPr>
        <w:t>Continue processing with a Moderate residual-risk rating. Complete Priority 1 actions by September 30, 2026 and retain evidence of quarterly reviews.</w:t>
      </w:r>
    </w:p>
    <w:p>
      <w:pPr>
        <w:pStyle w:val="Heading2"/>
        <w:keepNext/>
      </w:pPr>
      <w:r>
        <w:t>Scope and boundaries</w:t>
      </w:r>
    </w:p>
    <w:p>
      <w:pPr>
        <w:pStyle w:val="ListBullet"/>
        <w:spacing w:after="80" w:line="280" w:lineRule="auto"/>
      </w:pPr>
      <w:r>
        <w:rPr>
          <w:rFonts w:ascii="Calibri" w:hAnsi="Calibri"/>
          <w:b w:val="0"/>
          <w:i w:val="0"/>
          <w:color w:val="1F2937"/>
          <w:sz w:val="21"/>
        </w:rPr>
        <w:t>In scope: certscore.ai web application, API/MCP surfaces, PostgreSQL records, AWS S3 artifacts, application logs, account authentication, privacy-request intake, consent-gated analytics, WC01-managed scanner orchestration, and model-assisted policy review inputs/outputs where enabled.</w:t>
      </w:r>
    </w:p>
    <w:p>
      <w:pPr>
        <w:pStyle w:val="ListBullet"/>
        <w:spacing w:after="80" w:line="280" w:lineRule="auto"/>
      </w:pPr>
      <w:r>
        <w:rPr>
          <w:rFonts w:ascii="Calibri" w:hAnsi="Calibri"/>
          <w:b w:val="0"/>
          <w:i w:val="0"/>
          <w:color w:val="1F2937"/>
          <w:sz w:val="21"/>
        </w:rPr>
        <w:t>Out of scope: scanner runtime behavior owned by the separate WS01 repository, customers' internal systems, and legal conclusions about scanned third-party websites.</w:t>
      </w:r>
    </w:p>
    <w:p>
      <w:pPr>
        <w:pStyle w:val="ListBullet"/>
        <w:spacing w:after="80" w:line="280" w:lineRule="auto"/>
      </w:pPr>
      <w:r>
        <w:rPr>
          <w:rFonts w:ascii="Calibri" w:hAnsi="Calibri"/>
          <w:b w:val="0"/>
          <w:i w:val="0"/>
          <w:color w:val="1F2937"/>
          <w:sz w:val="21"/>
        </w:rPr>
        <w:t>Evidence basis: repository configuration and code available on August 23, 2026. Live cloud settings, vendor contracts, retention jobs, and operational practice require owner verification.</w:t>
      </w:r>
    </w:p>
    <w:p>
      <w:pPr>
        <w:pStyle w:val="Heading2"/>
        <w:keepNext/>
      </w:pPr>
      <w:r>
        <w:t>Assessment limitations</w:t>
      </w:r>
    </w:p>
    <w:p>
      <w:pPr>
        <w:spacing w:after="120" w:line="264" w:lineRule="auto"/>
      </w:pPr>
      <w:r>
        <w:rPr>
          <w:rFonts w:ascii="Calibri" w:hAnsi="Calibri"/>
          <w:b w:val="0"/>
          <w:i w:val="0"/>
          <w:color w:val="1F2937"/>
          <w:sz w:val="21"/>
        </w:rPr>
        <w:t>This is a privacy engineering and governance assessment, not legal advice, a certification, or an independent audit. Controls described as 'implemented' are supported by repository evidence; controls described as 'verify' or 'planned' must not be represented as operating until evidence is retained.</w:t>
      </w:r>
    </w:p>
    <w:p>
      <w:pPr>
        <w:pStyle w:val="Heading1"/>
        <w:keepNext/>
      </w:pPr>
      <w:r>
        <w:t>2. Processing inventory</w:t>
      </w:r>
    </w:p>
    <w:tbl>
      <w:tblPr>
        <w:tblStyle w:val="TableGrid"/>
        <w:tblW w:type="dxa" w:w="9360"/>
        <w:jc w:val="left"/>
        <w:tblLayout w:type="fixed"/>
        <w:tblLook w:firstColumn="1" w:firstRow="1" w:lastColumn="0" w:lastRow="0" w:noHBand="0" w:noVBand="1" w:val="04A0"/>
        <w:tblInd w:w="120" w:type="dxa"/>
      </w:tblPr>
      <w:tblGrid>
        <w:gridCol w:w="1250"/>
        <w:gridCol w:w="1600"/>
        <w:gridCol w:w="2450"/>
        <w:gridCol w:w="1900"/>
        <w:gridCol w:w="2160"/>
      </w:tblGrid>
      <w:tr>
        <w:trPr>
          <w:tblHeader w:val="true"/>
          <w:cantSplit w:val="true"/>
        </w:trPr>
        <w:tc>
          <w:tcPr>
            <w:tcW w:type="dxa" w:w="12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Activity</w:t>
            </w:r>
          </w:p>
        </w:tc>
        <w:tc>
          <w:tcPr>
            <w:tcW w:type="dxa" w:w="16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Data subjects</w:t>
            </w:r>
          </w:p>
        </w:tc>
        <w:tc>
          <w:tcPr>
            <w:tcW w:type="dxa" w:w="24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Data / content</w:t>
            </w:r>
          </w:p>
        </w:tc>
        <w:tc>
          <w:tcPr>
            <w:tcW w:type="dxa" w:w="19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Purpose</w:t>
            </w:r>
          </w:p>
        </w:tc>
        <w:tc>
          <w:tcPr>
            <w:tcW w:type="dxa" w:w="216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Systems / processors</w:t>
            </w:r>
          </w:p>
        </w:tc>
      </w:tr>
      <w:tr>
        <w:trPr>
          <w:cantSplit w:val="true"/>
        </w:trPr>
        <w:tc>
          <w:tcPr>
            <w:tcW w:type="dxa" w:w="12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Accounts and access</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Users and workspace members</w:t>
            </w:r>
          </w:p>
        </w:tc>
        <w:tc>
          <w:tcPr>
            <w:tcW w:type="dxa" w:w="2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Email, name, auth provider, role, session/account records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Authentication, authorization, service administration</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PostgreSQL; authentication service</w:t>
            </w:r>
          </w:p>
        </w:tc>
      </w:tr>
      <w:tr>
        <w:trPr>
          <w:cantSplit w:val="true"/>
        </w:trPr>
        <w:tc>
          <w:tcPr>
            <w:tcW w:type="dxa" w:w="12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Public website scans</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Website operators, authors, public-site visitors incidentally</w:t>
            </w:r>
          </w:p>
        </w:tc>
        <w:tc>
          <w:tcPr>
            <w:tcW w:type="dxa" w:w="2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URLs, hostnames, public page content, screenshots, policy excerpts, cookies/storage names, network and vendor observations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Produce risk-signal reports and retained evidence</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AWS Lambda/ECS; S3; PostgreSQL</w:t>
            </w:r>
          </w:p>
        </w:tc>
      </w:tr>
      <w:tr>
        <w:trPr>
          <w:cantSplit w:val="true"/>
        </w:trPr>
        <w:tc>
          <w:tcPr>
            <w:tcW w:type="dxa" w:w="12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Operational security</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Users, API callers, site visitors</w:t>
            </w:r>
          </w:p>
        </w:tc>
        <w:tc>
          <w:tcPr>
            <w:tcW w:type="dxa" w:w="2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Timestamps, routes, coarse technical context, security and activity events; bounded identifiers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Security, abuse prevention, reliability, auditability</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Application logs; CloudWatch; PostgreSQL</w:t>
            </w:r>
          </w:p>
        </w:tc>
      </w:tr>
      <w:tr>
        <w:trPr>
          <w:cantSplit w:val="true"/>
        </w:trPr>
        <w:tc>
          <w:tcPr>
            <w:tcW w:type="dxa" w:w="12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Analytics</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Site visitors who allow optional analytics</w:t>
            </w:r>
          </w:p>
        </w:tc>
        <w:tc>
          <w:tcPr>
            <w:tcW w:type="dxa" w:w="2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Cookie/device identifiers, usage events, masked session-insight data</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Understand product usage and reliability</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Google Analytics; Microsoft Clarity, if enabled</w:t>
            </w:r>
          </w:p>
        </w:tc>
      </w:tr>
      <w:tr>
        <w:trPr>
          <w:cantSplit w:val="true"/>
        </w:trPr>
        <w:tc>
          <w:tcPr>
            <w:tcW w:type="dxa" w:w="12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Privacy and support requests</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Requesters and authorized agents</w:t>
            </w:r>
          </w:p>
        </w:tc>
        <w:tc>
          <w:tcPr>
            <w:tcW w:type="dxa" w:w="2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Email, name, jurisdiction, identifiers, request details, verification status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Verify and fulfill rights/support requests</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Gmail/Google Workspace; manual workflow</w:t>
            </w:r>
          </w:p>
        </w:tc>
      </w:tr>
      <w:tr>
        <w:trPr>
          <w:cantSplit w:val="true"/>
        </w:trPr>
        <w:tc>
          <w:tcPr>
            <w:tcW w:type="dxa" w:w="12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Model-assisted review</w:t>
            </w:r>
          </w:p>
        </w:tc>
        <w:tc>
          <w:tcPr>
            <w:tcW w:type="dxa" w:w="16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Public-site authors or individuals incidentally present in bounded evidence</w:t>
            </w:r>
          </w:p>
        </w:tc>
        <w:tc>
          <w:tcPr>
            <w:tcW w:type="dxa" w:w="2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Retained policy excerpts and structured evidence; redacted/bounded outputs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Extraction and internal/approved policy review</w:t>
            </w:r>
          </w:p>
        </w:tc>
        <w:tc>
          <w:tcPr>
            <w:tcW w:type="dxa" w:w="2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Configured model provider; WC01 artifacts</w:t>
            </w:r>
          </w:p>
        </w:tc>
      </w:tr>
    </w:tbl>
    <w:p>
      <w:pPr>
        <w:spacing w:after="40"/>
      </w:pPr>
    </w:p>
    <w:p>
      <w:pPr>
        <w:pStyle w:val="Heading2"/>
        <w:keepNext/>
      </w:pPr>
      <w:r>
        <w:t>Data minimization and prohibited content</w:t>
      </w:r>
    </w:p>
    <w:p>
      <w:pPr>
        <w:pStyle w:val="ListBullet"/>
        <w:spacing w:after="80" w:line="280" w:lineRule="auto"/>
      </w:pPr>
      <w:r>
        <w:rPr>
          <w:rFonts w:ascii="Calibri" w:hAnsi="Calibri"/>
          <w:b w:val="0"/>
          <w:i w:val="0"/>
          <w:color w:val="1F2937"/>
          <w:sz w:val="21"/>
        </w:rPr>
        <w:t>The product is not intended to collect credentials, payment-card data, health data, government identifiers, raw request/response bodies, or unbounded private content.</w:t>
      </w:r>
    </w:p>
    <w:p>
      <w:pPr>
        <w:pStyle w:val="ListBullet"/>
        <w:spacing w:after="80" w:line="280" w:lineRule="auto"/>
      </w:pPr>
      <w:r>
        <w:rPr>
          <w:rFonts w:ascii="Calibri" w:hAnsi="Calibri"/>
          <w:b w:val="0"/>
          <w:i w:val="0"/>
          <w:color w:val="1F2937"/>
          <w:sz w:val="21"/>
        </w:rPr>
        <w:t>Evidence contracts require bounded, typed, display-safe projections and prohibit carrying raw cookies, sensitive query values, and raw model reasoning into reviewer or web-facing artifacts.</w:t>
      </w:r>
    </w:p>
    <w:p>
      <w:pPr>
        <w:pStyle w:val="ListBullet"/>
        <w:spacing w:after="80" w:line="280" w:lineRule="auto"/>
      </w:pPr>
      <w:r>
        <w:rPr>
          <w:rFonts w:ascii="Calibri" w:hAnsi="Calibri"/>
          <w:b w:val="0"/>
          <w:i w:val="0"/>
          <w:color w:val="1F2937"/>
          <w:sz w:val="21"/>
        </w:rPr>
        <w:t>Public-web capture can still incidentally include names, contact details, faces, or other personal data. Minimization and retention controls therefore remain necessary even when source material is public.</w:t>
      </w:r>
    </w:p>
    <w:p>
      <w:pPr>
        <w:pStyle w:val="Heading2"/>
        <w:keepNext/>
      </w:pPr>
      <w:r>
        <w:t>Purposes and preliminary lawful-basis map</w:t>
      </w:r>
    </w:p>
    <w:tbl>
      <w:tblPr>
        <w:tblStyle w:val="TableGrid"/>
        <w:tblW w:type="dxa" w:w="9360"/>
        <w:jc w:val="left"/>
        <w:tblLayout w:type="fixed"/>
        <w:tblLook w:firstColumn="1" w:firstRow="1" w:lastColumn="0" w:lastRow="0" w:noHBand="0" w:noVBand="1" w:val="04A0"/>
        <w:tblInd w:w="120" w:type="dxa"/>
      </w:tblPr>
      <w:tblGrid>
        <w:gridCol w:w="2550"/>
        <w:gridCol w:w="2300"/>
        <w:gridCol w:w="4510"/>
      </w:tblGrid>
      <w:tr>
        <w:trPr>
          <w:tblHeader w:val="true"/>
          <w:cantSplit w:val="true"/>
        </w:trPr>
        <w:tc>
          <w:tcPr>
            <w:tcW w:type="dxa" w:w="25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Purpose</w:t>
            </w:r>
          </w:p>
        </w:tc>
        <w:tc>
          <w:tcPr>
            <w:tcW w:type="dxa" w:w="23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Candidate basis</w:t>
            </w:r>
          </w:p>
        </w:tc>
        <w:tc>
          <w:tcPr>
            <w:tcW w:type="dxa" w:w="451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Required validation</w:t>
            </w:r>
          </w:p>
        </w:tc>
      </w:tr>
      <w:tr>
        <w:trPr>
          <w:cantSplit w:val="true"/>
        </w:trPr>
        <w:tc>
          <w:tcPr>
            <w:tcW w:type="dxa" w:w="25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Provide accounts and reports</w:t>
            </w:r>
          </w:p>
        </w:tc>
        <w:tc>
          <w:tcPr>
            <w:tcW w:type="dxa" w:w="23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Contract / steps requested by user</w:t>
            </w:r>
          </w:p>
        </w:tc>
        <w:tc>
          <w:tcPr>
            <w:tcW w:type="dxa" w:w="45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Confirm terms and jurisdiction-specific applicability</w:t>
            </w:r>
          </w:p>
        </w:tc>
      </w:tr>
      <w:tr>
        <w:trPr>
          <w:cantSplit w:val="true"/>
        </w:trPr>
        <w:tc>
          <w:tcPr>
            <w:tcW w:type="dxa" w:w="25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Security, abuse prevention, service reliability</w:t>
            </w:r>
          </w:p>
        </w:tc>
        <w:tc>
          <w:tcPr>
            <w:tcW w:type="dxa" w:w="23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Legitimate interests</w:t>
            </w:r>
          </w:p>
        </w:tc>
        <w:tc>
          <w:tcPr>
            <w:tcW w:type="dxa" w:w="45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Document balancing and ensure bounded logging</w:t>
            </w:r>
          </w:p>
        </w:tc>
      </w:tr>
      <w:tr>
        <w:trPr>
          <w:cantSplit w:val="true"/>
        </w:trPr>
        <w:tc>
          <w:tcPr>
            <w:tcW w:type="dxa" w:w="25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Optional analytics and session insight</w:t>
            </w:r>
          </w:p>
        </w:tc>
        <w:tc>
          <w:tcPr>
            <w:tcW w:type="dxa" w:w="23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Consent</w:t>
            </w:r>
          </w:p>
        </w:tc>
        <w:tc>
          <w:tcPr>
            <w:tcW w:type="dxa" w:w="45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Validate that tags remain blocked until valid consent and withdrawal works</w:t>
            </w:r>
          </w:p>
        </w:tc>
      </w:tr>
      <w:tr>
        <w:trPr>
          <w:cantSplit w:val="true"/>
        </w:trPr>
        <w:tc>
          <w:tcPr>
            <w:tcW w:type="dxa" w:w="25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Privacy-rights fulfillment</w:t>
            </w:r>
          </w:p>
        </w:tc>
        <w:tc>
          <w:tcPr>
            <w:tcW w:type="dxa" w:w="23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Legal obligation / legitimate interests</w:t>
            </w:r>
          </w:p>
        </w:tc>
        <w:tc>
          <w:tcPr>
            <w:tcW w:type="dxa" w:w="45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Apply the requester's jurisdiction and verification standard</w:t>
            </w:r>
          </w:p>
        </w:tc>
      </w:tr>
      <w:tr>
        <w:trPr>
          <w:cantSplit w:val="true"/>
        </w:trPr>
        <w:tc>
          <w:tcPr>
            <w:tcW w:type="dxa" w:w="25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Public-web evidence collection</w:t>
            </w:r>
          </w:p>
        </w:tc>
        <w:tc>
          <w:tcPr>
            <w:tcW w:type="dxa" w:w="23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Legitimate interests; customer instructions where applicable</w:t>
            </w:r>
          </w:p>
        </w:tc>
        <w:tc>
          <w:tcPr>
            <w:tcW w:type="dxa" w:w="45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Complete a balancing assessment; minimize incidental personal data</w:t>
            </w:r>
          </w:p>
        </w:tc>
      </w:tr>
    </w:tbl>
    <w:p>
      <w:pPr>
        <w:spacing w:after="40"/>
      </w:pPr>
    </w:p>
    <w:p>
      <w:r>
        <w:br w:type="page"/>
      </w:r>
    </w:p>
    <w:p>
      <w:pPr>
        <w:pStyle w:val="Heading1"/>
        <w:keepNext/>
      </w:pPr>
      <w:r>
        <w:t>3. Necessity and proportionality</w:t>
      </w:r>
    </w:p>
    <w:p>
      <w:pPr>
        <w:spacing w:after="120" w:line="264" w:lineRule="auto"/>
      </w:pPr>
      <w:r>
        <w:rPr>
          <w:rFonts w:ascii="Calibri" w:hAnsi="Calibri"/>
          <w:b w:val="0"/>
          <w:i w:val="0"/>
          <w:color w:val="1F2937"/>
          <w:sz w:val="21"/>
        </w:rPr>
        <w:t>The core scan requires public URLs, observable browser behavior, and enough retained evidence to substantiate findings. Retention is necessary for report reproducibility, dispute handling, and evidence quality, but the current policy does not define a complete category-by-category schedule. A documented schedule and deletion verification are therefore required.</w:t>
      </w:r>
    </w:p>
    <w:p>
      <w:pPr>
        <w:pStyle w:val="Heading2"/>
        <w:keepNext/>
      </w:pPr>
      <w:r>
        <w:t>Proportionality findings</w:t>
      </w:r>
    </w:p>
    <w:tbl>
      <w:tblPr>
        <w:tblStyle w:val="TableGrid"/>
        <w:tblW w:type="dxa" w:w="9360"/>
        <w:jc w:val="left"/>
        <w:tblLayout w:type="fixed"/>
        <w:tblLook w:firstColumn="1" w:firstRow="1" w:lastColumn="0" w:lastRow="0" w:noHBand="0" w:noVBand="1" w:val="04A0"/>
        <w:tblInd w:w="120" w:type="dxa"/>
      </w:tblPr>
      <w:tblGrid>
        <w:gridCol w:w="1900"/>
        <w:gridCol w:w="1700"/>
        <w:gridCol w:w="5760"/>
      </w:tblGrid>
      <w:tr>
        <w:trPr>
          <w:tblHeader w:val="true"/>
          <w:cantSplit w:val="true"/>
        </w:trPr>
        <w:tc>
          <w:tcPr>
            <w:tcW w:type="dxa" w:w="19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Principle</w:t>
            </w:r>
          </w:p>
        </w:tc>
        <w:tc>
          <w:tcPr>
            <w:tcW w:type="dxa" w:w="17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Assessment</w:t>
            </w:r>
          </w:p>
        </w:tc>
        <w:tc>
          <w:tcPr>
            <w:tcW w:type="dxa" w:w="576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Evidence / gap</w:t>
            </w:r>
          </w:p>
        </w:tc>
      </w:tr>
      <w:tr>
        <w:trPr>
          <w:cantSplit w:val="true"/>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Purpose limitation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Partially met</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Canonical evidence-to-finding pipeline limits display-layer inference; verify secondary uses of artifacts.</w:t>
            </w:r>
          </w:p>
        </w:tc>
      </w:tr>
      <w:tr>
        <w:trPr>
          <w:cantSplit w:val="true"/>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Data minimization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Partially met</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Typed/bounded artifacts and redaction are strong; define screenshot and public-text minimization review.</w:t>
            </w:r>
          </w:p>
        </w:tc>
      </w:tr>
      <w:tr>
        <w:trPr>
          <w:cantSplit w:val="true"/>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Accuracy</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Met with caveats</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Fail-closed unknown/review states reduce overclaiming; requesters need a correction path.</w:t>
            </w:r>
          </w:p>
        </w:tc>
      </w:tr>
      <w:tr>
        <w:trPr>
          <w:cantSplit w:val="true"/>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Storage limitation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Gap</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Policy is purpose-based but lacks a complete retention schedule and deletion evidence.</w:t>
            </w:r>
          </w:p>
        </w:tc>
      </w:tr>
      <w:tr>
        <w:trPr>
          <w:cantSplit w:val="true"/>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Security</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Partially met</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AWS controls and vulnerability process exist; live settings and open High advisories require tracking.</w:t>
            </w:r>
          </w:p>
        </w:tc>
      </w:tr>
      <w:tr>
        <w:trPr>
          <w:cantSplit w:val="true"/>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Transparency and rights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Met with caveats</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Privacy notice and request form cover core rights; manual case tracking and response evidence need formalization.</w:t>
            </w:r>
          </w:p>
        </w:tc>
      </w:tr>
    </w:tbl>
    <w:p>
      <w:pPr>
        <w:spacing w:after="40"/>
      </w:pPr>
    </w:p>
    <w:p>
      <w:pPr>
        <w:pStyle w:val="Heading2"/>
        <w:keepNext/>
      </w:pPr>
      <w:r>
        <w:t>Privacy rights capability</w:t>
      </w:r>
    </w:p>
    <w:tbl>
      <w:tblPr>
        <w:tblStyle w:val="TableGrid"/>
        <w:tblW w:type="dxa" w:w="9360"/>
        <w:jc w:val="left"/>
        <w:tblLayout w:type="fixed"/>
        <w:tblLook w:firstColumn="1" w:firstRow="1" w:lastColumn="0" w:lastRow="0" w:noHBand="0" w:noVBand="1" w:val="04A0"/>
        <w:tblInd w:w="120" w:type="dxa"/>
      </w:tblPr>
      <w:tblGrid>
        <w:gridCol w:w="1850"/>
        <w:gridCol w:w="3650"/>
        <w:gridCol w:w="3860"/>
      </w:tblGrid>
      <w:tr>
        <w:trPr>
          <w:tblHeader w:val="true"/>
          <w:cantSplit w:val="true"/>
        </w:trPr>
        <w:tc>
          <w:tcPr>
            <w:tcW w:type="dxa" w:w="18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Right</w:t>
            </w:r>
          </w:p>
        </w:tc>
        <w:tc>
          <w:tcPr>
            <w:tcW w:type="dxa" w:w="36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Capability</w:t>
            </w:r>
          </w:p>
        </w:tc>
        <w:tc>
          <w:tcPr>
            <w:tcW w:type="dxa" w:w="386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Operational dependency</w:t>
            </w:r>
          </w:p>
        </w:tc>
      </w:tr>
      <w:tr>
        <w:trPr>
          <w:cantSplit w:val="true"/>
        </w:trPr>
        <w:tc>
          <w:tcPr>
            <w:tcW w:type="dxa" w:w="18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Access / portability</w:t>
            </w:r>
          </w:p>
        </w:tc>
        <w:tc>
          <w:tcPr>
            <w:tcW w:type="dxa" w:w="3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Available by public request form and email</w:t>
            </w:r>
          </w:p>
        </w:tc>
        <w:tc>
          <w:tcPr>
            <w:tcW w:type="dxa" w:w="38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Manual verification and fulfillment</w:t>
            </w:r>
          </w:p>
        </w:tc>
      </w:tr>
      <w:tr>
        <w:trPr>
          <w:cantSplit w:val="true"/>
        </w:trPr>
        <w:tc>
          <w:tcPr>
            <w:tcW w:type="dxa" w:w="18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Deletion</w:t>
            </w:r>
          </w:p>
        </w:tc>
        <w:tc>
          <w:tcPr>
            <w:tcW w:type="dxa" w:w="3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Public request plus authenticated self-service account deletion</w:t>
            </w:r>
          </w:p>
        </w:tc>
        <w:tc>
          <w:tcPr>
            <w:tcW w:type="dxa" w:w="38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Company-owned scan/workspace records may remain; document exceptions</w:t>
            </w:r>
          </w:p>
        </w:tc>
      </w:tr>
      <w:tr>
        <w:trPr>
          <w:cantSplit w:val="true"/>
        </w:trPr>
        <w:tc>
          <w:tcPr>
            <w:tcW w:type="dxa" w:w="18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Correction</w:t>
            </w:r>
          </w:p>
        </w:tc>
        <w:tc>
          <w:tcPr>
            <w:tcW w:type="dxa" w:w="3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Available by public request form</w:t>
            </w:r>
          </w:p>
        </w:tc>
        <w:tc>
          <w:tcPr>
            <w:tcW w:type="dxa" w:w="38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Manual fulfillment; profile self-service is not comprehensive</w:t>
            </w:r>
          </w:p>
        </w:tc>
      </w:tr>
      <w:tr>
        <w:trPr>
          <w:cantSplit w:val="true"/>
        </w:trPr>
        <w:tc>
          <w:tcPr>
            <w:tcW w:type="dxa" w:w="18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Restriction / objection</w:t>
            </w:r>
          </w:p>
        </w:tc>
        <w:tc>
          <w:tcPr>
            <w:tcW w:type="dxa" w:w="3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Available by public request form</w:t>
            </w:r>
          </w:p>
        </w:tc>
        <w:tc>
          <w:tcPr>
            <w:tcW w:type="dxa" w:w="38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Manual fulfillment and processor follow-through</w:t>
            </w:r>
          </w:p>
        </w:tc>
      </w:tr>
      <w:tr>
        <w:trPr>
          <w:cantSplit w:val="true"/>
        </w:trPr>
        <w:tc>
          <w:tcPr>
            <w:tcW w:type="dxa" w:w="18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Consent withdrawal</w:t>
            </w:r>
          </w:p>
        </w:tc>
        <w:tc>
          <w:tcPr>
            <w:tcW w:type="dxa" w:w="3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Cookie preferences path described</w:t>
            </w:r>
          </w:p>
        </w:tc>
        <w:tc>
          <w:tcPr>
            <w:tcW w:type="dxa" w:w="38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Quarterly production validation required</w:t>
            </w:r>
          </w:p>
        </w:tc>
      </w:tr>
    </w:tbl>
    <w:p>
      <w:pPr>
        <w:spacing w:after="40"/>
      </w:pPr>
    </w:p>
    <w:p>
      <w:r>
        <w:br w:type="page"/>
      </w:r>
    </w:p>
    <w:p>
      <w:pPr>
        <w:pStyle w:val="Heading2"/>
        <w:keepNext/>
      </w:pPr>
      <w:r>
        <w:t>DPIA screening</w:t>
      </w:r>
    </w:p>
    <w:tbl>
      <w:tblPr>
        <w:tblStyle w:val="TableGrid"/>
        <w:tblW w:type="dxa" w:w="9360"/>
        <w:jc w:val="left"/>
        <w:tblLayout w:type="fixed"/>
        <w:tblLook w:firstColumn="1" w:firstRow="1" w:lastColumn="0" w:lastRow="0" w:noHBand="0" w:noVBand="1" w:val="04A0"/>
        <w:tblInd w:w="120" w:type="dxa"/>
      </w:tblPr>
      <w:tblGrid>
        <w:gridCol w:w="2700"/>
        <w:gridCol w:w="1650"/>
        <w:gridCol w:w="5010"/>
      </w:tblGrid>
      <w:tr>
        <w:trPr>
          <w:tblHeader w:val="true"/>
          <w:cantSplit w:val="true"/>
        </w:trPr>
        <w:tc>
          <w:tcPr>
            <w:tcW w:type="dxa" w:w="27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Criterion</w:t>
            </w:r>
          </w:p>
        </w:tc>
        <w:tc>
          <w:tcPr>
            <w:tcW w:type="dxa" w:w="16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Result</w:t>
            </w:r>
          </w:p>
        </w:tc>
        <w:tc>
          <w:tcPr>
            <w:tcW w:type="dxa" w:w="501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Rationale</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Systematic monitoring of individuals</w:t>
            </w:r>
          </w:p>
        </w:tc>
        <w:tc>
          <w:tcPr>
            <w:tcW w:type="dxa" w:w="1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Limited</w:t>
            </w:r>
          </w:p>
        </w:tc>
        <w:tc>
          <w:tcPr>
            <w:tcW w:type="dxa" w:w="50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The product systematically observes public websites, not intended individual behavior; optional analytics monitors product use.</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Large-scale special-category data</w:t>
            </w:r>
          </w:p>
        </w:tc>
        <w:tc>
          <w:tcPr>
            <w:tcW w:type="dxa" w:w="1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No intended processing</w:t>
            </w:r>
          </w:p>
        </w:tc>
        <w:tc>
          <w:tcPr>
            <w:tcW w:type="dxa" w:w="50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Public evidence may incidentally contain sensitive context; contracts prohibit unbounded sensitive payloads.</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Automated decisions with legal/significant effect</w:t>
            </w:r>
          </w:p>
        </w:tc>
        <w:tc>
          <w:tcPr>
            <w:tcW w:type="dxa" w:w="1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No</w:t>
            </w:r>
          </w:p>
        </w:tc>
        <w:tc>
          <w:tcPr>
            <w:tcW w:type="dxa" w:w="50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Findings are risk signals and review aids, not legal certification or decisions about individuals.</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New technology / model assistance</w:t>
            </w:r>
          </w:p>
        </w:tc>
        <w:tc>
          <w:tcPr>
            <w:tcW w:type="dxa" w:w="1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Yes</w:t>
            </w:r>
          </w:p>
        </w:tc>
        <w:tc>
          <w:tcPr>
            <w:tcW w:type="dxa" w:w="50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Bounded model-assisted review is used or planned with strict schemas, provenance, validation, and fail-closed states.</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Vulnerable individuals / children</w:t>
            </w:r>
          </w:p>
        </w:tc>
        <w:tc>
          <w:tcPr>
            <w:tcW w:type="dxa" w:w="1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Not targeted</w:t>
            </w:r>
          </w:p>
        </w:tc>
        <w:tc>
          <w:tcPr>
            <w:tcW w:type="dxa" w:w="50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No child-directed service; incidental public content remains possible.</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Cross-border processing</w:t>
            </w:r>
          </w:p>
        </w:tc>
        <w:tc>
          <w:tcPr>
            <w:tcW w:type="dxa" w:w="16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Yes</w:t>
            </w:r>
          </w:p>
        </w:tc>
        <w:tc>
          <w:tcPr>
            <w:tcW w:type="dxa" w:w="501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US-operated service and third-party processors may process data in multiple countries.</w:t>
            </w:r>
          </w:p>
        </w:tc>
      </w:tr>
    </w:tbl>
    <w:p>
      <w:pPr>
        <w:spacing w:after="40"/>
      </w:pPr>
    </w:p>
    <w:p>
      <w:pPr>
        <w:shd w:fill="E8EEF5"/>
        <w:pBdr>
          <w:top w:val="single" w:sz="4" w:space="4" w:color="D0D5DD"/>
          <w:left w:val="single" w:sz="4" w:space="4" w:color="D0D5DD"/>
          <w:bottom w:val="single" w:sz="4" w:space="4" w:color="D0D5DD"/>
          <w:right w:val="single" w:sz="4" w:space="4" w:color="D0D5DD"/>
        </w:pBdr>
        <w:spacing w:before="80" w:after="160" w:line="259" w:lineRule="auto"/>
        <w:ind w:left="115" w:right="115"/>
      </w:pPr>
      <w:r>
        <w:rPr>
          <w:rFonts w:ascii="Calibri" w:hAnsi="Calibri"/>
          <w:b/>
          <w:i w:val="0"/>
          <w:color w:val="17365D"/>
          <w:sz w:val="20"/>
        </w:rPr>
        <w:t xml:space="preserve">Screening conclusion: </w:t>
      </w:r>
      <w:r>
        <w:rPr>
          <w:rFonts w:ascii="Calibri" w:hAnsi="Calibri"/>
          <w:b w:val="0"/>
          <w:i w:val="0"/>
          <w:color w:val="1F2937"/>
          <w:sz w:val="20"/>
        </w:rPr>
        <w:t>A formal statutory DPIA is not clearly mandatory on the current evidence, but the use of public-web evidence, optional interaction analytics, model assistance, and cross-border processors warrants this documented privacy risk assessment and trigger-based DPIA re-screening.</w:t>
      </w:r>
    </w:p>
    <w:p>
      <w:pPr>
        <w:pStyle w:val="Heading1"/>
        <w:keepNext/>
      </w:pPr>
      <w:r>
        <w:t>4. Existing safeguards</w:t>
      </w:r>
    </w:p>
    <w:tbl>
      <w:tblPr>
        <w:tblStyle w:val="TableGrid"/>
        <w:tblW w:type="dxa" w:w="9360"/>
        <w:jc w:val="left"/>
        <w:tblLayout w:type="fixed"/>
        <w:tblLook w:firstColumn="1" w:firstRow="1" w:lastColumn="0" w:lastRow="0" w:noHBand="0" w:noVBand="1" w:val="04A0"/>
        <w:tblInd w:w="120" w:type="dxa"/>
      </w:tblPr>
      <w:tblGrid>
        <w:gridCol w:w="1800"/>
        <w:gridCol w:w="5160"/>
        <w:gridCol w:w="2400"/>
      </w:tblGrid>
      <w:tr>
        <w:trPr>
          <w:tblHeader w:val="true"/>
          <w:cantSplit w:val="true"/>
        </w:trPr>
        <w:tc>
          <w:tcPr>
            <w:tcW w:type="dxa" w:w="18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Control domain</w:t>
            </w:r>
          </w:p>
        </w:tc>
        <w:tc>
          <w:tcPr>
            <w:tcW w:type="dxa" w:w="516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Safeguard</w:t>
            </w:r>
          </w:p>
        </w:tc>
        <w:tc>
          <w:tcPr>
            <w:tcW w:type="dxa" w:w="24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Status / limitation</w:t>
            </w:r>
          </w:p>
        </w:tc>
      </w:tr>
      <w:tr>
        <w:trPr>
          <w:cantSplit w:val="true"/>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Access control</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Separate/scoped AWS task roles, organization roles, authenticated settings, and security-group boundaries.</w:t>
            </w:r>
          </w:p>
        </w:tc>
        <w:tc>
          <w:tcPr>
            <w:tcW w:type="dxa" w:w="2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Implemented in code/IaC; verify deployed parity</w:t>
            </w:r>
          </w:p>
        </w:tc>
      </w:tr>
      <w:tr>
        <w:trPr>
          <w:cantSplit w:val="true"/>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Network and transport</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Internet-facing ALB, TLS certificate/HTTPS redirection when configured, WAF, source-IP rate limiting, and restricted ECS ingress.</w:t>
            </w:r>
          </w:p>
        </w:tc>
        <w:tc>
          <w:tcPr>
            <w:tcW w:type="dxa" w:w="2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Implemented in IaC; common WAF rule group is count-only</w:t>
            </w:r>
          </w:p>
        </w:tc>
      </w:tr>
      <w:tr>
        <w:trPr>
          <w:cantSplit w:val="true"/>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Secrets</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AWS Secrets Manager references and task-role access rather than checked-in production secrets.</w:t>
            </w:r>
          </w:p>
        </w:tc>
        <w:tc>
          <w:tcPr>
            <w:tcW w:type="dxa" w:w="2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Implemented in IaC</w:t>
            </w:r>
          </w:p>
        </w:tc>
      </w:tr>
      <w:tr>
        <w:trPr>
          <w:cantSplit w:val="true"/>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Evidence minimization</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Typed, bounded, provenance-preserving evidence; redaction of sensitive query values and prohibition on raw reasoning in web artifacts.</w:t>
            </w:r>
          </w:p>
        </w:tc>
        <w:tc>
          <w:tcPr>
            <w:tcW w:type="dxa" w:w="2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Implemented by architecture and contracts</w:t>
            </w:r>
          </w:p>
        </w:tc>
      </w:tr>
      <w:tr>
        <w:trPr>
          <w:cantSplit w:val="true"/>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Rights handling</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Public DSAR form supports access, deletion, correction, portability, objection, and restriction; email fallback; self-service account deletion.</w:t>
            </w:r>
          </w:p>
        </w:tc>
        <w:tc>
          <w:tcPr>
            <w:tcW w:type="dxa" w:w="2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Implemented; fulfillment is manual</w:t>
            </w:r>
          </w:p>
        </w:tc>
      </w:tr>
      <w:tr>
        <w:trPr>
          <w:cantSplit w:val="true"/>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Consent</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Optional analytics described as consent-gated with preference changes available.</w:t>
            </w:r>
          </w:p>
        </w:tc>
        <w:tc>
          <w:tcPr>
            <w:tcW w:type="dxa" w:w="2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Implemented intent; production behavior needs recurring evidence</w:t>
            </w:r>
          </w:p>
        </w:tc>
      </w:tr>
      <w:tr>
        <w:trPr>
          <w:cantSplit w:val="true"/>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Vulnerability management</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Quarterly Trivy scan, weekly dependency review procedure, severity SLAs, and vulnerability register.</w:t>
            </w:r>
          </w:p>
        </w:tc>
        <w:tc>
          <w:tcPr>
            <w:tcW w:type="dxa" w:w="2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Program established; open High advisories tracked</w:t>
            </w:r>
          </w:p>
        </w:tc>
      </w:tr>
      <w:tr>
        <w:trPr>
          <w:cantSplit w:val="true"/>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Recovery</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Documented backup/restore procedure and test cadence.</w:t>
            </w:r>
          </w:p>
        </w:tc>
        <w:tc>
          <w:tcPr>
            <w:tcW w:type="dxa" w:w="2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Procedure exists; live backup evidence requires operator verification</w:t>
            </w:r>
          </w:p>
        </w:tc>
      </w:tr>
    </w:tbl>
    <w:p>
      <w:pPr>
        <w:spacing w:after="40"/>
      </w:pPr>
    </w:p>
    <w:p>
      <w:pPr>
        <w:pStyle w:val="Heading1"/>
        <w:keepNext/>
      </w:pPr>
      <w:r>
        <w:t>5. Privacy risk register</w:t>
      </w:r>
    </w:p>
    <w:p>
      <w:pPr>
        <w:spacing w:after="120" w:line="264" w:lineRule="auto"/>
      </w:pPr>
      <w:r>
        <w:rPr>
          <w:rFonts w:ascii="Calibri" w:hAnsi="Calibri"/>
          <w:b w:val="0"/>
          <w:i w:val="0"/>
          <w:color w:val="1F2937"/>
          <w:sz w:val="21"/>
        </w:rPr>
        <w:t>Scoring uses Likelihood (L) and Impact (I), each from 1 to 5. Score = L x I. Low: 1-4; Moderate: 5-9; High: 10-15; Critical: 16-25. Residual ratings assume repository-evidenced controls operate as designed; items requiring live verification remain actions.</w:t>
      </w:r>
    </w:p>
    <w:tbl>
      <w:tblPr>
        <w:tblStyle w:val="TableGrid"/>
        <w:tblW w:type="dxa" w:w="9360"/>
        <w:jc w:val="left"/>
        <w:tblLayout w:type="fixed"/>
        <w:tblLook w:firstColumn="1" w:firstRow="1" w:lastColumn="0" w:lastRow="0" w:noHBand="0" w:noVBand="1" w:val="04A0"/>
        <w:tblInd w:w="120" w:type="dxa"/>
      </w:tblPr>
      <w:tblGrid>
        <w:gridCol w:w="520"/>
        <w:gridCol w:w="2350"/>
        <w:gridCol w:w="1350"/>
        <w:gridCol w:w="1050"/>
        <w:gridCol w:w="2970"/>
        <w:gridCol w:w="1120"/>
      </w:tblGrid>
      <w:tr>
        <w:trPr>
          <w:tblHeader w:val="true"/>
          <w:cantSplit w:val="true"/>
        </w:trPr>
        <w:tc>
          <w:tcPr>
            <w:tcW w:type="dxa" w:w="520"/>
            <w:shd w:fill="E8EEF5"/>
            <w:tcMar>
              <w:top w:w="80" w:type="dxa"/>
              <w:start w:w="120" w:type="dxa"/>
              <w:bottom w:w="80" w:type="dxa"/>
              <w:end w:w="120" w:type="dxa"/>
            </w:tcMar>
            <w:vAlign w:val="center"/>
          </w:tcPr>
          <w:p>
            <w:pPr>
              <w:spacing w:before="0" w:after="0" w:line="252" w:lineRule="auto"/>
              <w:jc w:val="center"/>
            </w:pPr>
            <w:r>
              <w:rPr>
                <w:rFonts w:ascii="Calibri" w:hAnsi="Calibri"/>
                <w:b/>
                <w:i w:val="0"/>
                <w:color w:val="17365D"/>
                <w:sz w:val="18"/>
              </w:rPr>
              <w:t>ID</w:t>
            </w:r>
          </w:p>
        </w:tc>
        <w:tc>
          <w:tcPr>
            <w:tcW w:type="dxa" w:w="23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Risk event</w:t>
            </w:r>
          </w:p>
        </w:tc>
        <w:tc>
          <w:tcPr>
            <w:tcW w:type="dxa" w:w="13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Affected people</w:t>
            </w:r>
          </w:p>
        </w:tc>
        <w:tc>
          <w:tcPr>
            <w:tcW w:type="dxa" w:w="1050"/>
            <w:shd w:fill="E8EEF5"/>
            <w:tcMar>
              <w:top w:w="80" w:type="dxa"/>
              <w:start w:w="120" w:type="dxa"/>
              <w:bottom w:w="80" w:type="dxa"/>
              <w:end w:w="120" w:type="dxa"/>
            </w:tcMar>
            <w:vAlign w:val="center"/>
          </w:tcPr>
          <w:p>
            <w:pPr>
              <w:spacing w:before="0" w:after="0" w:line="252" w:lineRule="auto"/>
              <w:jc w:val="center"/>
            </w:pPr>
            <w:r>
              <w:rPr>
                <w:rFonts w:ascii="Calibri" w:hAnsi="Calibri"/>
                <w:b/>
                <w:i w:val="0"/>
                <w:color w:val="17365D"/>
                <w:sz w:val="18"/>
              </w:rPr>
              <w:t>Inherent</w:t>
            </w:r>
          </w:p>
        </w:tc>
        <w:tc>
          <w:tcPr>
            <w:tcW w:type="dxa" w:w="297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Existing safeguards</w:t>
            </w:r>
          </w:p>
        </w:tc>
        <w:tc>
          <w:tcPr>
            <w:tcW w:type="dxa" w:w="1120"/>
            <w:shd w:fill="E8EEF5"/>
            <w:tcMar>
              <w:top w:w="80" w:type="dxa"/>
              <w:start w:w="120" w:type="dxa"/>
              <w:bottom w:w="80" w:type="dxa"/>
              <w:end w:w="120" w:type="dxa"/>
            </w:tcMar>
            <w:vAlign w:val="center"/>
          </w:tcPr>
          <w:p>
            <w:pPr>
              <w:spacing w:before="0" w:after="0" w:line="252" w:lineRule="auto"/>
              <w:jc w:val="center"/>
            </w:pPr>
            <w:r>
              <w:rPr>
                <w:rFonts w:ascii="Calibri" w:hAnsi="Calibri"/>
                <w:b/>
                <w:i w:val="0"/>
                <w:color w:val="17365D"/>
                <w:sz w:val="18"/>
              </w:rPr>
              <w:t>Residual</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R1</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Account or administrative access is compromised</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Users and workspace members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3x4=12 High</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Scoped IAM, roles, sessions, secrets management, SGs</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2x3=6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R2</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Scan artifacts capture more incidental personal data than necessary</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People represented on public sites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3x4=12 High</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Bounded contracts, redaction, display-safe projection</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2x4=8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R3</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Records are retained too long or deletion is incomplete</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All data subjects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3x4=12 High</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Account deletion and manual DSAR path; purpose-based policy</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3x3=9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R4</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Analytics/session insight collects before consent or exposes entered data</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Site visitors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3x4=12 High</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Consent intent, preference controls, masking</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2x3=6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R5</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Manual privacy requests are delayed, lost, or fulfilled inaccurately</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Requesters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3x3=9 Moderate</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Public form, unique request ID, verification fields, email fallback</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2x3=6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R6</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Processor or international-transfer terms are incomplete or drift</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All affected subjects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3x4=12 High</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Vendor references and policy disclosure; scoped providers</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3x3=9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R7</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Model provider receives excessive or unverified personal data</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People in retained public evidence</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2x5=10 High</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Bounded inputs, redaction, hashes, schemas, validation, fail-closed output</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2x3=6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R8</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Logs or API activity reveal identifiers, URLs, or secrets</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Users, callers, public-site subjects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3x3=9 Moderate</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Structured logging rules, bounded/HMAC identifiers, secret-handling rules</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2x3=6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R9</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Known vulnerabilities enable unauthorized data access</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All data subjects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3x4=12 High</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Quarterly Trivy, weekly review, SLAs, register, immutable images</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2x4=8 Moderate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R10</w:t>
            </w:r>
          </w:p>
        </w:tc>
        <w:tc>
          <w:tcPr>
            <w:tcW w:type="dxa" w:w="2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Backup, restore, or incident response exposes or loses personal data</w:t>
            </w:r>
          </w:p>
        </w:tc>
        <w:tc>
          <w:tcPr>
            <w:tcW w:type="dxa" w:w="13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All data subjects</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2x5=10 High</w:t>
            </w:r>
          </w:p>
        </w:tc>
        <w:tc>
          <w:tcPr>
            <w:tcW w:type="dxa" w:w="29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DR procedure, encryption requirements, versioning, scoped incident roles</w:t>
            </w:r>
          </w:p>
        </w:tc>
        <w:tc>
          <w:tcPr>
            <w:tcW w:type="dxa" w:w="11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2x3=6 Moderate</w:t>
            </w:r>
          </w:p>
        </w:tc>
      </w:tr>
    </w:tbl>
    <w:p>
      <w:pPr>
        <w:spacing w:after="40"/>
      </w:pPr>
    </w:p>
    <w:p>
      <w:pPr>
        <w:pStyle w:val="Heading2"/>
        <w:keepNext/>
      </w:pPr>
      <w:r>
        <w:t>Risk treatment decision</w:t>
      </w:r>
    </w:p>
    <w:p>
      <w:pPr>
        <w:pStyle w:val="ListBullet"/>
        <w:spacing w:after="80" w:line="280" w:lineRule="auto"/>
      </w:pPr>
      <w:r>
        <w:rPr>
          <w:rFonts w:ascii="Calibri" w:hAnsi="Calibri"/>
          <w:b w:val="0"/>
          <w:i w:val="0"/>
          <w:color w:val="1F2937"/>
          <w:sz w:val="21"/>
        </w:rPr>
        <w:t>No Critical residual risk was identified from repository evidence.</w:t>
      </w:r>
    </w:p>
    <w:p>
      <w:pPr>
        <w:pStyle w:val="ListBullet"/>
        <w:spacing w:after="80" w:line="280" w:lineRule="auto"/>
      </w:pPr>
      <w:r>
        <w:rPr>
          <w:rFonts w:ascii="Calibri" w:hAnsi="Calibri"/>
          <w:b w:val="0"/>
          <w:i w:val="0"/>
          <w:color w:val="1F2937"/>
          <w:sz w:val="21"/>
        </w:rPr>
        <w:t>All Moderate residual risks are accepted temporarily only with the action plan below and quarterly evidence review.</w:t>
      </w:r>
    </w:p>
    <w:p>
      <w:pPr>
        <w:pStyle w:val="ListBullet"/>
        <w:spacing w:after="80" w:line="280" w:lineRule="auto"/>
      </w:pPr>
      <w:r>
        <w:rPr>
          <w:rFonts w:ascii="Calibri" w:hAnsi="Calibri"/>
          <w:b w:val="0"/>
          <w:i w:val="0"/>
          <w:color w:val="1F2937"/>
          <w:sz w:val="21"/>
        </w:rPr>
        <w:t>Any discovery of special-category data at scale, child-directed processing, employee monitoring, biometric identification, or automated decisions about individuals triggers a new DPIA before processing continues.</w:t>
      </w:r>
    </w:p>
    <w:p>
      <w:pPr>
        <w:pStyle w:val="Heading1"/>
        <w:keepNext/>
      </w:pPr>
      <w:r>
        <w:t>6. Remediation and evidence plan</w:t>
      </w:r>
    </w:p>
    <w:tbl>
      <w:tblPr>
        <w:tblStyle w:val="TableGrid"/>
        <w:tblW w:type="dxa" w:w="9360"/>
        <w:jc w:val="left"/>
        <w:tblLayout w:type="fixed"/>
        <w:tblLook w:firstColumn="1" w:firstRow="1" w:lastColumn="0" w:lastRow="0" w:noHBand="0" w:noVBand="1" w:val="04A0"/>
        <w:tblInd w:w="120" w:type="dxa"/>
      </w:tblPr>
      <w:tblGrid>
        <w:gridCol w:w="520"/>
        <w:gridCol w:w="680"/>
        <w:gridCol w:w="3900"/>
        <w:gridCol w:w="1450"/>
        <w:gridCol w:w="1050"/>
        <w:gridCol w:w="1760"/>
      </w:tblGrid>
      <w:tr>
        <w:trPr>
          <w:tblHeader w:val="true"/>
          <w:cantSplit w:val="true"/>
        </w:trPr>
        <w:tc>
          <w:tcPr>
            <w:tcW w:type="dxa" w:w="520"/>
            <w:shd w:fill="E8EEF5"/>
            <w:tcMar>
              <w:top w:w="80" w:type="dxa"/>
              <w:start w:w="120" w:type="dxa"/>
              <w:bottom w:w="80" w:type="dxa"/>
              <w:end w:w="120" w:type="dxa"/>
            </w:tcMar>
            <w:vAlign w:val="center"/>
          </w:tcPr>
          <w:p>
            <w:pPr>
              <w:spacing w:before="0" w:after="0" w:line="252" w:lineRule="auto"/>
              <w:jc w:val="center"/>
            </w:pPr>
            <w:r>
              <w:rPr>
                <w:rFonts w:ascii="Calibri" w:hAnsi="Calibri"/>
                <w:b/>
                <w:i w:val="0"/>
                <w:color w:val="17365D"/>
                <w:sz w:val="18"/>
              </w:rPr>
              <w:t>ID</w:t>
            </w:r>
          </w:p>
        </w:tc>
        <w:tc>
          <w:tcPr>
            <w:tcW w:type="dxa" w:w="680"/>
            <w:shd w:fill="E8EEF5"/>
            <w:tcMar>
              <w:top w:w="80" w:type="dxa"/>
              <w:start w:w="120" w:type="dxa"/>
              <w:bottom w:w="80" w:type="dxa"/>
              <w:end w:w="120" w:type="dxa"/>
            </w:tcMar>
            <w:vAlign w:val="center"/>
          </w:tcPr>
          <w:p>
            <w:pPr>
              <w:spacing w:before="0" w:after="0" w:line="252" w:lineRule="auto"/>
              <w:jc w:val="center"/>
            </w:pPr>
            <w:r>
              <w:rPr>
                <w:rFonts w:ascii="Calibri" w:hAnsi="Calibri"/>
                <w:b/>
                <w:i w:val="0"/>
                <w:color w:val="17365D"/>
                <w:sz w:val="18"/>
              </w:rPr>
              <w:t>Priority</w:t>
            </w:r>
          </w:p>
        </w:tc>
        <w:tc>
          <w:tcPr>
            <w:tcW w:type="dxa" w:w="39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Action</w:t>
            </w:r>
          </w:p>
        </w:tc>
        <w:tc>
          <w:tcPr>
            <w:tcW w:type="dxa" w:w="14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Owner</w:t>
            </w:r>
          </w:p>
        </w:tc>
        <w:tc>
          <w:tcPr>
            <w:tcW w:type="dxa" w:w="1050"/>
            <w:shd w:fill="E8EEF5"/>
            <w:tcMar>
              <w:top w:w="80" w:type="dxa"/>
              <w:start w:w="120" w:type="dxa"/>
              <w:bottom w:w="80" w:type="dxa"/>
              <w:end w:w="120" w:type="dxa"/>
            </w:tcMar>
            <w:vAlign w:val="center"/>
          </w:tcPr>
          <w:p>
            <w:pPr>
              <w:spacing w:before="0" w:after="0" w:line="252" w:lineRule="auto"/>
              <w:jc w:val="center"/>
            </w:pPr>
            <w:r>
              <w:rPr>
                <w:rFonts w:ascii="Calibri" w:hAnsi="Calibri"/>
                <w:b/>
                <w:i w:val="0"/>
                <w:color w:val="17365D"/>
                <w:sz w:val="18"/>
              </w:rPr>
              <w:t>Due</w:t>
            </w:r>
          </w:p>
        </w:tc>
        <w:tc>
          <w:tcPr>
            <w:tcW w:type="dxa" w:w="176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Closure evidence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A1</w:t>
            </w:r>
          </w:p>
        </w:tc>
        <w:tc>
          <w:tcPr>
            <w:tcW w:type="dxa" w:w="68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P1</w:t>
            </w:r>
          </w:p>
        </w:tc>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Approve a category-by-category retention and deletion schedule covering DB, logs, S3 evidence, analytics, Gmail requests, backups, and legal holds.</w:t>
            </w:r>
          </w:p>
        </w:tc>
        <w:tc>
          <w:tcPr>
            <w:tcW w:type="dxa" w:w="1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Product owner + Engineering</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2026-09-30</w:t>
            </w:r>
          </w:p>
        </w:tc>
        <w:tc>
          <w:tcPr>
            <w:tcW w:type="dxa" w:w="1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Signed schedule; deletion-test evidence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A2</w:t>
            </w:r>
          </w:p>
        </w:tc>
        <w:tc>
          <w:tcPr>
            <w:tcW w:type="dxa" w:w="68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P1</w:t>
            </w:r>
          </w:p>
        </w:tc>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Create a privacy-request case register with received, verification, scope, deadline, decision, systems searched, processor notices, fulfillment, and closure evidence.</w:t>
            </w:r>
          </w:p>
        </w:tc>
        <w:tc>
          <w:tcPr>
            <w:tcW w:type="dxa" w:w="1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Product owner</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2026-09-15</w:t>
            </w:r>
          </w:p>
        </w:tc>
        <w:tc>
          <w:tcPr>
            <w:tcW w:type="dxa" w:w="1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Request register and one dry-run record</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A3</w:t>
            </w:r>
          </w:p>
        </w:tc>
        <w:tc>
          <w:tcPr>
            <w:tcW w:type="dxa" w:w="68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P1</w:t>
            </w:r>
          </w:p>
        </w:tc>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Confirm processor inventory, DPAs, subprocessors, regions, transfer mechanisms, and deletion/return terms for AWS, Google, Microsoft, and any model provider.</w:t>
            </w:r>
          </w:p>
        </w:tc>
        <w:tc>
          <w:tcPr>
            <w:tcW w:type="dxa" w:w="1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Product owner</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2026-09-30</w:t>
            </w:r>
          </w:p>
        </w:tc>
        <w:tc>
          <w:tcPr>
            <w:tcW w:type="dxa" w:w="1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Approved processor register</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A4</w:t>
            </w:r>
          </w:p>
        </w:tc>
        <w:tc>
          <w:tcPr>
            <w:tcW w:type="dxa" w:w="68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P1</w:t>
            </w:r>
          </w:p>
        </w:tc>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Run and retain a production test proving optional analytics and Clarity do not load before consent, sensitive fields are masked, and withdrawal takes effect.</w:t>
            </w:r>
          </w:p>
        </w:tc>
        <w:tc>
          <w:tcPr>
            <w:tcW w:type="dxa" w:w="1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Engineering</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2026-09-15</w:t>
            </w:r>
          </w:p>
        </w:tc>
        <w:tc>
          <w:tcPr>
            <w:tcW w:type="dxa" w:w="1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Test artifact and remediation issue if failed</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A5</w:t>
            </w:r>
          </w:p>
        </w:tc>
        <w:tc>
          <w:tcPr>
            <w:tcW w:type="dxa" w:w="68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P2</w:t>
            </w:r>
          </w:p>
        </w:tc>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Document legitimate-interest balancing for public-web evidence and security logging, including necessity, impact, safeguards, and opt-out/objection handling.</w:t>
            </w:r>
          </w:p>
        </w:tc>
        <w:tc>
          <w:tcPr>
            <w:tcW w:type="dxa" w:w="1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Product owner</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2026-10-31</w:t>
            </w:r>
          </w:p>
        </w:tc>
        <w:tc>
          <w:tcPr>
            <w:tcW w:type="dxa" w:w="1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Signed balancing assessments</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A6</w:t>
            </w:r>
          </w:p>
        </w:tc>
        <w:tc>
          <w:tcPr>
            <w:tcW w:type="dxa" w:w="68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P2</w:t>
            </w:r>
          </w:p>
        </w:tc>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Verify live encryption, S3 public-access blocks, RDS backups, log retention, and access permissions; record configuration evidence without secrets.</w:t>
            </w:r>
          </w:p>
        </w:tc>
        <w:tc>
          <w:tcPr>
            <w:tcW w:type="dxa" w:w="1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AWS operator</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2026-10-31</w:t>
            </w:r>
          </w:p>
        </w:tc>
        <w:tc>
          <w:tcPr>
            <w:tcW w:type="dxa" w:w="1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Dated control checklist</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A7</w:t>
            </w:r>
          </w:p>
        </w:tc>
        <w:tc>
          <w:tcPr>
            <w:tcW w:type="dxa" w:w="68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P2</w:t>
            </w:r>
          </w:p>
        </w:tc>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Resolve or formally accept open High dependency advisories under the existing vulnerability SLA.</w:t>
            </w:r>
          </w:p>
        </w:tc>
        <w:tc>
          <w:tcPr>
            <w:tcW w:type="dxa" w:w="1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Engineering + Product owner</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Per security register</w:t>
            </w:r>
          </w:p>
        </w:tc>
        <w:tc>
          <w:tcPr>
            <w:tcW w:type="dxa" w:w="1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Clean scan or dated risk acceptance</w:t>
            </w:r>
          </w:p>
        </w:tc>
      </w:tr>
      <w:tr>
        <w:trPr>
          <w:cantSplit w:val="true"/>
        </w:trPr>
        <w:tc>
          <w:tcPr>
            <w:tcW w:type="dxa" w:w="52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A8</w:t>
            </w:r>
          </w:p>
        </w:tc>
        <w:tc>
          <w:tcPr>
            <w:tcW w:type="dxa" w:w="68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P2</w:t>
            </w:r>
          </w:p>
        </w:tc>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Add a privacy review checkbox and data-flow note to material feature/change review, including model/API and new vendor changes.</w:t>
            </w:r>
          </w:p>
        </w:tc>
        <w:tc>
          <w:tcPr>
            <w:tcW w:type="dxa" w:w="14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Engineering</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5"/>
              </w:rPr>
              <w:t>2026-10-31</w:t>
            </w:r>
          </w:p>
        </w:tc>
        <w:tc>
          <w:tcPr>
            <w:tcW w:type="dxa" w:w="17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5"/>
              </w:rPr>
              <w:t>PR template or change record</w:t>
            </w:r>
          </w:p>
        </w:tc>
      </w:tr>
    </w:tbl>
    <w:p>
      <w:pPr>
        <w:spacing w:after="40"/>
      </w:pPr>
    </w:p>
    <w:p>
      <w:pPr>
        <w:shd w:fill="F2F4F7"/>
        <w:pBdr>
          <w:top w:val="single" w:sz="4" w:space="4" w:color="D0D5DD"/>
          <w:left w:val="single" w:sz="4" w:space="4" w:color="D0D5DD"/>
          <w:bottom w:val="single" w:sz="4" w:space="4" w:color="D0D5DD"/>
          <w:right w:val="single" w:sz="4" w:space="4" w:color="D0D5DD"/>
        </w:pBdr>
        <w:spacing w:before="80" w:after="160" w:line="259" w:lineRule="auto"/>
        <w:ind w:left="115" w:right="115"/>
      </w:pPr>
      <w:r>
        <w:rPr>
          <w:rFonts w:ascii="Calibri" w:hAnsi="Calibri"/>
          <w:b/>
          <w:i w:val="0"/>
          <w:color w:val="17365D"/>
          <w:sz w:val="20"/>
        </w:rPr>
        <w:t xml:space="preserve">Cost control: </w:t>
      </w:r>
      <w:r>
        <w:rPr>
          <w:rFonts w:ascii="Calibri" w:hAnsi="Calibri"/>
          <w:b w:val="0"/>
          <w:i w:val="0"/>
          <w:color w:val="1F2937"/>
          <w:sz w:val="20"/>
        </w:rPr>
        <w:t>This document creates no recurring infrastructure or paid-service cost. Any remediation expected to add $1/month or more requires separate product-owner approval with cost, benefit, and lower-cost alternatives.</w:t>
      </w:r>
    </w:p>
    <w:p>
      <w:r>
        <w:br w:type="page"/>
      </w:r>
    </w:p>
    <w:p>
      <w:pPr>
        <w:pStyle w:val="Heading1"/>
        <w:keepNext/>
      </w:pPr>
      <w:r>
        <w:t>7. Data lifecycle requirements</w:t>
      </w:r>
    </w:p>
    <w:p>
      <w:pPr>
        <w:pStyle w:val="ListNumber"/>
        <w:spacing w:after="80" w:line="280" w:lineRule="auto"/>
      </w:pPr>
      <w:r>
        <w:rPr>
          <w:rFonts w:ascii="Calibri" w:hAnsi="Calibri"/>
          <w:b w:val="0"/>
          <w:i w:val="0"/>
          <w:color w:val="1F2937"/>
          <w:sz w:val="21"/>
        </w:rPr>
        <w:t>Collect only the data categories needed for an approved purpose and contract. Do not introduce raw payloads, credentials, sensitive query values, or unbounded content into retained artifacts.</w:t>
      </w:r>
    </w:p>
    <w:p>
      <w:pPr>
        <w:pStyle w:val="ListNumber"/>
        <w:spacing w:after="80" w:line="280" w:lineRule="auto"/>
      </w:pPr>
      <w:r>
        <w:rPr>
          <w:rFonts w:ascii="Calibri" w:hAnsi="Calibri"/>
          <w:b w:val="0"/>
          <w:i w:val="0"/>
          <w:color w:val="1F2937"/>
          <w:sz w:val="21"/>
        </w:rPr>
        <w:t>Classify new fields before release: subject, purpose, source, sensitivity, processor, location, retention, access roles, deletion method, and downstream projections.</w:t>
      </w:r>
    </w:p>
    <w:p>
      <w:pPr>
        <w:pStyle w:val="ListNumber"/>
        <w:spacing w:after="80" w:line="280" w:lineRule="auto"/>
      </w:pPr>
      <w:r>
        <w:rPr>
          <w:rFonts w:ascii="Calibri" w:hAnsi="Calibri"/>
          <w:b w:val="0"/>
          <w:i w:val="0"/>
          <w:color w:val="1F2937"/>
          <w:sz w:val="21"/>
        </w:rPr>
        <w:t>Apply the approved retention schedule through service-owned deletion or lifecycle controls, preserving only documented legal, security, billing, dispute, and evidence-integrity exceptions.</w:t>
      </w:r>
    </w:p>
    <w:p>
      <w:pPr>
        <w:pStyle w:val="ListNumber"/>
        <w:spacing w:after="80" w:line="280" w:lineRule="auto"/>
      </w:pPr>
      <w:r>
        <w:rPr>
          <w:rFonts w:ascii="Calibri" w:hAnsi="Calibri"/>
          <w:b w:val="0"/>
          <w:i w:val="0"/>
          <w:color w:val="1F2937"/>
          <w:sz w:val="21"/>
        </w:rPr>
        <w:t>On deletion or restriction, identify every relevant system and processor, document exceptions, verify completion, and retain only a minimal request/audit record for the approved period.</w:t>
      </w:r>
    </w:p>
    <w:p>
      <w:pPr>
        <w:pStyle w:val="ListNumber"/>
        <w:spacing w:after="80" w:line="280" w:lineRule="auto"/>
      </w:pPr>
      <w:r>
        <w:rPr>
          <w:rFonts w:ascii="Calibri" w:hAnsi="Calibri"/>
          <w:b w:val="0"/>
          <w:i w:val="0"/>
          <w:color w:val="1F2937"/>
          <w:sz w:val="21"/>
        </w:rPr>
        <w:t>Test lifecycle controls at least annually and after material storage, schema, vendor, or backup changes.</w:t>
      </w:r>
    </w:p>
    <w:p>
      <w:pPr>
        <w:pStyle w:val="Heading1"/>
        <w:keepNext/>
      </w:pPr>
      <w:r>
        <w:t>8. Privacy-request operating procedure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val="true"/>
        </w:trPr>
        <w:tc>
          <w:tcPr>
            <w:tcW w:type="dxa" w:w="17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Stage</w:t>
            </w:r>
          </w:p>
        </w:tc>
        <w:tc>
          <w:tcPr>
            <w:tcW w:type="dxa" w:w="766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Required activity</w:t>
            </w:r>
          </w:p>
        </w:tc>
      </w:tr>
      <w:tr>
        <w:trPr>
          <w:cantSplit w:val="true"/>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1. Intake</w:t>
            </w:r>
          </w:p>
        </w:tc>
        <w:tc>
          <w:tcPr>
            <w:tcW w:type="dxa" w:w="7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Assign or retain the DSAR identifier; record received date, request type, contact, jurisdiction, and requested scope.</w:t>
            </w:r>
          </w:p>
        </w:tc>
      </w:tr>
      <w:tr>
        <w:trPr>
          <w:cantSplit w:val="true"/>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2. Triage</w:t>
            </w:r>
          </w:p>
        </w:tc>
        <w:tc>
          <w:tcPr>
            <w:tcW w:type="dxa" w:w="7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Calculate the response deadline, identify applicable law/contract, and flag urgent restriction, objection, or security issues.</w:t>
            </w:r>
          </w:p>
        </w:tc>
      </w:tr>
      <w:tr>
        <w:trPr>
          <w:cantSplit w:val="true"/>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3. Verify</w:t>
            </w:r>
          </w:p>
        </w:tc>
        <w:tc>
          <w:tcPr>
            <w:tcW w:type="dxa" w:w="7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Use proportionate verification. Do not collect more identification than necessary. Validate authorized-agent authority.</w:t>
            </w:r>
          </w:p>
        </w:tc>
      </w:tr>
      <w:tr>
        <w:trPr>
          <w:cantSplit w:val="true"/>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4. Locate</w:t>
            </w:r>
          </w:p>
        </w:tc>
        <w:tc>
          <w:tcPr>
            <w:tcW w:type="dxa" w:w="7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Search account/auth records, memberships, scans/artifacts, API activity, analytics/support systems, email, backups, and relevant processors.</w:t>
            </w:r>
          </w:p>
        </w:tc>
      </w:tr>
      <w:tr>
        <w:trPr>
          <w:cantSplit w:val="true"/>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5. Decide</w:t>
            </w:r>
          </w:p>
        </w:tc>
        <w:tc>
          <w:tcPr>
            <w:tcW w:type="dxa" w:w="7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Document what can be fulfilled, corrected, deleted, restricted, exported, or lawfully retained, with a reason for each exception.</w:t>
            </w:r>
          </w:p>
        </w:tc>
      </w:tr>
      <w:tr>
        <w:trPr>
          <w:cantSplit w:val="true"/>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6. Execute</w:t>
            </w:r>
          </w:p>
        </w:tc>
        <w:tc>
          <w:tcPr>
            <w:tcW w:type="dxa" w:w="7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Apply changes in source systems and notify processors where required. Preserve company-owned records only when a documented basis applies.</w:t>
            </w:r>
          </w:p>
        </w:tc>
      </w:tr>
      <w:tr>
        <w:trPr>
          <w:cantSplit w:val="true"/>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7. Verify</w:t>
            </w:r>
          </w:p>
        </w:tc>
        <w:tc>
          <w:tcPr>
            <w:tcW w:type="dxa" w:w="7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Confirm completion with system evidence and a second-person check for material or complex requests.</w:t>
            </w:r>
          </w:p>
        </w:tc>
      </w:tr>
      <w:tr>
        <w:trPr>
          <w:cantSplit w:val="true"/>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8. Respond and close</w:t>
            </w:r>
          </w:p>
        </w:tc>
        <w:tc>
          <w:tcPr>
            <w:tcW w:type="dxa" w:w="7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Send a clear response, provide appeal/complaint information where applicable, and retain the minimal case record under the approved schedule.</w:t>
            </w:r>
          </w:p>
        </w:tc>
      </w:tr>
    </w:tbl>
    <w:p>
      <w:pPr>
        <w:spacing w:after="40"/>
      </w:pPr>
    </w:p>
    <w:p>
      <w:pPr>
        <w:pStyle w:val="Heading1"/>
        <w:keepNext/>
      </w:pPr>
      <w:r>
        <w:t>9. Incident and breach considerations</w:t>
      </w:r>
    </w:p>
    <w:p>
      <w:pPr>
        <w:spacing w:after="120" w:line="264" w:lineRule="auto"/>
      </w:pPr>
      <w:r>
        <w:rPr>
          <w:rFonts w:ascii="Calibri" w:hAnsi="Calibri"/>
          <w:b w:val="0"/>
          <w:i w:val="0"/>
          <w:color w:val="1F2937"/>
          <w:sz w:val="21"/>
        </w:rPr>
        <w:t>A privacy incident includes unauthorized access, disclosure, alteration, loss, overcollection, unapproved processing, failed deletion/restriction, or processor misuse involving personal data. The incident lead must preserve evidence, identify affected data subjects and jurisdictions, contain processing, and document notification decisions and timing. Regulatory or individual notification requires qualified legal review when thresholds may be met.</w:t>
      </w:r>
    </w:p>
    <w:p>
      <w:pPr>
        <w:pStyle w:val="Heading1"/>
        <w:keepNext/>
      </w:pPr>
      <w:r>
        <w:t>10. Recurring privacy review procedure</w:t>
      </w:r>
    </w:p>
    <w:p>
      <w:pPr>
        <w:shd w:fill="DCFCE7"/>
        <w:pBdr>
          <w:top w:val="single" w:sz="4" w:space="4" w:color="D0D5DD"/>
          <w:left w:val="single" w:sz="4" w:space="4" w:color="D0D5DD"/>
          <w:bottom w:val="single" w:sz="4" w:space="4" w:color="D0D5DD"/>
          <w:right w:val="single" w:sz="4" w:space="4" w:color="D0D5DD"/>
        </w:pBdr>
        <w:spacing w:before="80" w:after="160" w:line="259" w:lineRule="auto"/>
        <w:ind w:left="115" w:right="115"/>
      </w:pPr>
      <w:r>
        <w:rPr>
          <w:rFonts w:ascii="Calibri" w:hAnsi="Calibri"/>
          <w:b/>
          <w:i w:val="0"/>
          <w:color w:val="166534"/>
          <w:sz w:val="20"/>
        </w:rPr>
        <w:t xml:space="preserve">Adopted cadence: </w:t>
      </w:r>
      <w:r>
        <w:rPr>
          <w:rFonts w:ascii="Calibri" w:hAnsi="Calibri"/>
          <w:b w:val="0"/>
          <w:i w:val="0"/>
          <w:color w:val="1F2937"/>
          <w:sz w:val="20"/>
        </w:rPr>
        <w:t>Quarterly privacy control review; annual full privacy risk assessment; and trigger-based review before material processing changes. The first quarterly evidence review is due October 15, 2026.</w:t>
      </w:r>
    </w:p>
    <w:tbl>
      <w:tblPr>
        <w:tblStyle w:val="TableGrid"/>
        <w:tblW w:type="dxa" w:w="9360"/>
        <w:jc w:val="left"/>
        <w:tblLayout w:type="fixed"/>
        <w:tblLook w:firstColumn="1" w:firstRow="1" w:lastColumn="0" w:lastRow="0" w:noHBand="0" w:noVBand="1" w:val="04A0"/>
        <w:tblInd w:w="120" w:type="dxa"/>
      </w:tblPr>
      <w:tblGrid>
        <w:gridCol w:w="1100"/>
        <w:gridCol w:w="1400"/>
        <w:gridCol w:w="3520"/>
        <w:gridCol w:w="1700"/>
        <w:gridCol w:w="1640"/>
      </w:tblGrid>
      <w:tr>
        <w:trPr>
          <w:tblHeader w:val="true"/>
          <w:cantSplit w:val="true"/>
        </w:trPr>
        <w:tc>
          <w:tcPr>
            <w:tcW w:type="dxa" w:w="11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Review</w:t>
            </w:r>
          </w:p>
        </w:tc>
        <w:tc>
          <w:tcPr>
            <w:tcW w:type="dxa" w:w="14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Timing</w:t>
            </w:r>
          </w:p>
        </w:tc>
        <w:tc>
          <w:tcPr>
            <w:tcW w:type="dxa" w:w="352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Minimum scope</w:t>
            </w:r>
          </w:p>
        </w:tc>
        <w:tc>
          <w:tcPr>
            <w:tcW w:type="dxa" w:w="170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Owner</w:t>
            </w:r>
          </w:p>
        </w:tc>
        <w:tc>
          <w:tcPr>
            <w:tcW w:type="dxa" w:w="164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Evidence</w:t>
            </w:r>
          </w:p>
        </w:tc>
      </w:tr>
      <w:tr>
        <w:trPr>
          <w:cantSplit w:val="true"/>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Quarterly</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January, April, July, October</w:t>
            </w:r>
          </w:p>
        </w:tc>
        <w:tc>
          <w:tcPr>
            <w:tcW w:type="dxa" w:w="352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Review DSAR register, analytics consent test, processor changes, retention/deletion evidence, incidents, vulnerability findings, access changes, and open actions.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Product owner; Engineering provides evidence</w:t>
            </w:r>
          </w:p>
        </w:tc>
        <w:tc>
          <w:tcPr>
            <w:tcW w:type="dxa" w:w="164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Signed review log and linked evidence</w:t>
            </w:r>
          </w:p>
        </w:tc>
      </w:tr>
      <w:tr>
        <w:trPr>
          <w:cantSplit w:val="true"/>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Annual full assessment</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By August 23 each year</w:t>
            </w:r>
          </w:p>
        </w:tc>
        <w:tc>
          <w:tcPr>
            <w:tcW w:type="dxa" w:w="352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Refresh data map, purposes/bases, necessity, DPIA screening, risk scores, safeguards, processor inventory, retention, rights, incidents, and action plan.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Product owner accountable</w:t>
            </w:r>
          </w:p>
        </w:tc>
        <w:tc>
          <w:tcPr>
            <w:tcW w:type="dxa" w:w="164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Approved assessment version</w:t>
            </w:r>
          </w:p>
        </w:tc>
      </w:tr>
      <w:tr>
        <w:trPr>
          <w:cantSplit w:val="true"/>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Change-triggered</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Before material change</w:t>
            </w:r>
          </w:p>
        </w:tc>
        <w:tc>
          <w:tcPr>
            <w:tcW w:type="dxa" w:w="352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New data category, sensitive data, monitoring/analytics, model/provider, purpose, region, processor, sharing, retention, identity/biometric use, child-directed feature, or automated decision.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Feature owner + Product owner</w:t>
            </w:r>
          </w:p>
        </w:tc>
        <w:tc>
          <w:tcPr>
            <w:tcW w:type="dxa" w:w="164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PR/change record and updated assessment if material</w:t>
            </w:r>
          </w:p>
        </w:tc>
      </w:tr>
      <w:tr>
        <w:trPr>
          <w:cantSplit w:val="true"/>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Incident-triggered</w:t>
            </w:r>
          </w:p>
        </w:tc>
        <w:tc>
          <w:tcPr>
            <w:tcW w:type="dxa" w:w="14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After material privacy/security incident</w:t>
            </w:r>
          </w:p>
        </w:tc>
        <w:tc>
          <w:tcPr>
            <w:tcW w:type="dxa" w:w="352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Reassess affected flows and controls; update risks and actions after containment and lessons learned.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Incident lead + Product owner</w:t>
            </w:r>
          </w:p>
        </w:tc>
        <w:tc>
          <w:tcPr>
            <w:tcW w:type="dxa" w:w="164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6"/>
              </w:rPr>
              <w:t>Post-incident privacy review</w:t>
            </w:r>
          </w:p>
        </w:tc>
      </w:tr>
    </w:tbl>
    <w:p>
      <w:pPr>
        <w:spacing w:after="40"/>
      </w:pPr>
    </w:p>
    <w:p>
      <w:pPr>
        <w:pStyle w:val="Heading2"/>
        <w:keepNext/>
      </w:pPr>
      <w:r>
        <w:t>Quarterly review checklist</w:t>
      </w:r>
    </w:p>
    <w:p>
      <w:pPr>
        <w:pStyle w:val="ListBullet"/>
        <w:spacing w:after="80" w:line="280" w:lineRule="auto"/>
      </w:pPr>
      <w:r>
        <w:rPr>
          <w:rFonts w:ascii="Calibri" w:hAnsi="Calibri"/>
          <w:b w:val="0"/>
          <w:i w:val="0"/>
          <w:color w:val="1F2937"/>
          <w:sz w:val="21"/>
        </w:rPr>
        <w:t>Confirm the data inventory, processors, regions, purposes, and public privacy notice remain accurate.</w:t>
      </w:r>
    </w:p>
    <w:p>
      <w:pPr>
        <w:pStyle w:val="ListBullet"/>
        <w:spacing w:after="80" w:line="280" w:lineRule="auto"/>
      </w:pPr>
      <w:r>
        <w:rPr>
          <w:rFonts w:ascii="Calibri" w:hAnsi="Calibri"/>
          <w:b w:val="0"/>
          <w:i w:val="0"/>
          <w:color w:val="1F2937"/>
          <w:sz w:val="21"/>
        </w:rPr>
        <w:t>Review privacy requests, deadlines, verification, fulfillment evidence, complaints, and recurring failure patterns.</w:t>
      </w:r>
    </w:p>
    <w:p>
      <w:pPr>
        <w:pStyle w:val="ListBullet"/>
        <w:spacing w:after="80" w:line="280" w:lineRule="auto"/>
      </w:pPr>
      <w:r>
        <w:rPr>
          <w:rFonts w:ascii="Calibri" w:hAnsi="Calibri"/>
          <w:b w:val="0"/>
          <w:i w:val="0"/>
          <w:color w:val="1F2937"/>
          <w:sz w:val="21"/>
        </w:rPr>
        <w:t>Verify retention/deletion jobs and one representative deletion across primary records and documented downstream systems.</w:t>
      </w:r>
    </w:p>
    <w:p>
      <w:pPr>
        <w:pStyle w:val="ListBullet"/>
        <w:spacing w:after="80" w:line="280" w:lineRule="auto"/>
      </w:pPr>
      <w:r>
        <w:rPr>
          <w:rFonts w:ascii="Calibri" w:hAnsi="Calibri"/>
          <w:b w:val="0"/>
          <w:i w:val="0"/>
          <w:color w:val="1F2937"/>
          <w:sz w:val="21"/>
        </w:rPr>
        <w:t>Test consent gating, withdrawal, and masking for optional analytics/session-insight tools.</w:t>
      </w:r>
    </w:p>
    <w:p>
      <w:pPr>
        <w:pStyle w:val="ListBullet"/>
        <w:spacing w:after="80" w:line="280" w:lineRule="auto"/>
      </w:pPr>
      <w:r>
        <w:rPr>
          <w:rFonts w:ascii="Calibri" w:hAnsi="Calibri"/>
          <w:b w:val="0"/>
          <w:i w:val="0"/>
          <w:color w:val="1F2937"/>
          <w:sz w:val="21"/>
        </w:rPr>
        <w:t>Review incidents, security findings, access changes, new vendors/models, and material product changes for privacy impact.</w:t>
      </w:r>
    </w:p>
    <w:p>
      <w:pPr>
        <w:pStyle w:val="ListBullet"/>
        <w:spacing w:after="80" w:line="280" w:lineRule="auto"/>
      </w:pPr>
      <w:r>
        <w:rPr>
          <w:rFonts w:ascii="Calibri" w:hAnsi="Calibri"/>
          <w:b w:val="0"/>
          <w:i w:val="0"/>
          <w:color w:val="1F2937"/>
          <w:sz w:val="21"/>
        </w:rPr>
        <w:t>Update this risk register and assign due dates for any control drift; obtain dated owner acceptance for overdue risk.</w:t>
      </w:r>
    </w:p>
    <w:p>
      <w:r>
        <w:br w:type="page"/>
      </w:r>
    </w:p>
    <w:p>
      <w:pPr>
        <w:pStyle w:val="Heading1"/>
        <w:keepNext/>
      </w:pPr>
      <w:r>
        <w:t>11. Evidence register</w:t>
      </w:r>
    </w:p>
    <w:tbl>
      <w:tblPr>
        <w:tblStyle w:val="TableGrid"/>
        <w:tblW w:type="dxa" w:w="9360"/>
        <w:jc w:val="left"/>
        <w:tblLayout w:type="fixed"/>
        <w:tblLook w:firstColumn="1" w:firstRow="1" w:lastColumn="0" w:lastRow="0" w:noHBand="0" w:noVBand="1" w:val="04A0"/>
        <w:tblInd w:w="120" w:type="dxa"/>
      </w:tblPr>
      <w:tblGrid>
        <w:gridCol w:w="650"/>
        <w:gridCol w:w="2050"/>
        <w:gridCol w:w="3370"/>
        <w:gridCol w:w="3290"/>
      </w:tblGrid>
      <w:tr>
        <w:trPr>
          <w:tblHeader w:val="true"/>
          <w:cantSplit w:val="true"/>
        </w:trPr>
        <w:tc>
          <w:tcPr>
            <w:tcW w:type="dxa" w:w="650"/>
            <w:shd w:fill="E8EEF5"/>
            <w:tcMar>
              <w:top w:w="80" w:type="dxa"/>
              <w:start w:w="120" w:type="dxa"/>
              <w:bottom w:w="80" w:type="dxa"/>
              <w:end w:w="120" w:type="dxa"/>
            </w:tcMar>
            <w:vAlign w:val="center"/>
          </w:tcPr>
          <w:p>
            <w:pPr>
              <w:spacing w:before="0" w:after="0" w:line="252" w:lineRule="auto"/>
              <w:jc w:val="center"/>
            </w:pPr>
            <w:r>
              <w:rPr>
                <w:rFonts w:ascii="Calibri" w:hAnsi="Calibri"/>
                <w:b/>
                <w:i w:val="0"/>
                <w:color w:val="17365D"/>
                <w:sz w:val="18"/>
              </w:rPr>
              <w:t>Ref</w:t>
            </w:r>
          </w:p>
        </w:tc>
        <w:tc>
          <w:tcPr>
            <w:tcW w:type="dxa" w:w="205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Evidence</w:t>
            </w:r>
          </w:p>
        </w:tc>
        <w:tc>
          <w:tcPr>
            <w:tcW w:type="dxa" w:w="337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Repository location</w:t>
            </w:r>
          </w:p>
        </w:tc>
        <w:tc>
          <w:tcPr>
            <w:tcW w:type="dxa" w:w="3290"/>
            <w:shd w:fill="E8EEF5"/>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Supports</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E1</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Privacy notice</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apps/web/app/privacy/page.tsx</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Rights, retention framing, analytics, transfers, contact</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E2</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Privacy request form</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apps/web/components/privacy/privacy-request-form.tsx</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Access, deletion, correction, portability, objection/restriction</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E3</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Privacy request routing</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apps/web/server/privacy-request/send-privacy-request.ts</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Validation, request ID, verification path, email routing</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E4</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Self-service account deletion</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apps/web/server/settings/account-actions.ts</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Authenticated deletion and confirmation</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E5</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AWS web controls</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infra/aws/web-ecs/main.tf</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IAM roles, Secrets Manager, SGs, TLS/ALB, WAF, container setting</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E6</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Quarterly vulnerability scan</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.github/workflows/quarterly-vulnerability-scan.yml</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Trivy dependency and IaC scan cadence</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E7</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Security operations</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docs/security-operations.md</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Patch SLAs, supported software, scan review, change approval requirements</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E8</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Vulnerability register</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docs/security-vulnerability-register.md</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Baseline findings and remediation tracking</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E9</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Disaster recovery</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docs/disaster-recovery.md</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Backup/restore expectations, incident roles, verification cadence</w:t>
            </w:r>
          </w:p>
        </w:tc>
      </w:tr>
      <w:tr>
        <w:trPr>
          <w:cantSplit w:val="true"/>
        </w:trPr>
        <w:tc>
          <w:tcPr>
            <w:tcW w:type="dxa" w:w="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7"/>
              </w:rPr>
              <w:t>E10</w:t>
            </w:r>
          </w:p>
        </w:tc>
        <w:tc>
          <w:tcPr>
            <w:tcW w:type="dxa" w:w="205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Repository governance</w:t>
            </w:r>
          </w:p>
        </w:tc>
        <w:tc>
          <w:tcPr>
            <w:tcW w:type="dxa" w:w="337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AGENTS.md</w:t>
            </w:r>
          </w:p>
        </w:tc>
        <w:tc>
          <w:tcPr>
            <w:tcW w:type="dxa" w:w="329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7"/>
              </w:rPr>
              <w:t>Cost approval, evidence discipline, data minimization, model-review safeguards</w:t>
            </w:r>
          </w:p>
        </w:tc>
      </w:tr>
    </w:tbl>
    <w:p>
      <w:pPr>
        <w:spacing w:after="40"/>
      </w:pPr>
    </w:p>
    <w:p>
      <w:pPr>
        <w:pStyle w:val="Heading2"/>
        <w:keepNext/>
      </w:pPr>
      <w:r>
        <w:t>Required operational evidence not established by repository</w:t>
      </w:r>
    </w:p>
    <w:p>
      <w:pPr>
        <w:pStyle w:val="ListBullet"/>
        <w:spacing w:after="80" w:line="280" w:lineRule="auto"/>
      </w:pPr>
      <w:r>
        <w:rPr>
          <w:rFonts w:ascii="Calibri" w:hAnsi="Calibri"/>
          <w:b w:val="0"/>
          <w:i w:val="0"/>
          <w:color w:val="1F2937"/>
          <w:sz w:val="21"/>
        </w:rPr>
        <w:t>Signed processor register, DPAs, transfer mechanism records, and current subprocessor review.</w:t>
      </w:r>
    </w:p>
    <w:p>
      <w:pPr>
        <w:pStyle w:val="ListBullet"/>
        <w:spacing w:after="80" w:line="280" w:lineRule="auto"/>
      </w:pPr>
      <w:r>
        <w:rPr>
          <w:rFonts w:ascii="Calibri" w:hAnsi="Calibri"/>
          <w:b w:val="0"/>
          <w:i w:val="0"/>
          <w:color w:val="1F2937"/>
          <w:sz w:val="21"/>
        </w:rPr>
        <w:t>Live AWS screenshots/exports confirming encryption, backup retention, public-access blocks, deployed WAF behavior, and log retention.</w:t>
      </w:r>
    </w:p>
    <w:p>
      <w:pPr>
        <w:pStyle w:val="ListBullet"/>
        <w:spacing w:after="80" w:line="280" w:lineRule="auto"/>
      </w:pPr>
      <w:r>
        <w:rPr>
          <w:rFonts w:ascii="Calibri" w:hAnsi="Calibri"/>
          <w:b w:val="0"/>
          <w:i w:val="0"/>
          <w:color w:val="1F2937"/>
          <w:sz w:val="21"/>
        </w:rPr>
        <w:t>Completed privacy-request register or dry-run, deletion verification, and response-deadline tracking.</w:t>
      </w:r>
    </w:p>
    <w:p>
      <w:pPr>
        <w:pStyle w:val="ListBullet"/>
        <w:spacing w:after="80" w:line="280" w:lineRule="auto"/>
      </w:pPr>
      <w:r>
        <w:rPr>
          <w:rFonts w:ascii="Calibri" w:hAnsi="Calibri"/>
          <w:b w:val="0"/>
          <w:i w:val="0"/>
          <w:color w:val="1F2937"/>
          <w:sz w:val="21"/>
        </w:rPr>
        <w:t>Production consent/masking/withdrawal test for analytics and session-insight tools.</w:t>
      </w:r>
    </w:p>
    <w:p>
      <w:pPr>
        <w:pStyle w:val="ListBullet"/>
        <w:spacing w:after="80" w:line="280" w:lineRule="auto"/>
      </w:pPr>
      <w:r>
        <w:rPr>
          <w:rFonts w:ascii="Calibri" w:hAnsi="Calibri"/>
          <w:b w:val="0"/>
          <w:i w:val="0"/>
          <w:color w:val="1F2937"/>
          <w:sz w:val="21"/>
        </w:rPr>
        <w:t>Signed owner adoption of this assessment and quarterly/annual review cadence.</w:t>
      </w:r>
    </w:p>
    <w:p>
      <w:pPr>
        <w:pStyle w:val="Heading1"/>
        <w:keepNext/>
      </w:pPr>
      <w:r>
        <w:t>12. Questionnaire response</w:t>
      </w:r>
    </w:p>
    <w:p>
      <w:pPr>
        <w:shd w:fill="DCFCE7"/>
        <w:pBdr>
          <w:top w:val="single" w:sz="4" w:space="4" w:color="D0D5DD"/>
          <w:left w:val="single" w:sz="4" w:space="4" w:color="D0D5DD"/>
          <w:bottom w:val="single" w:sz="4" w:space="4" w:color="D0D5DD"/>
          <w:right w:val="single" w:sz="4" w:space="4" w:color="D0D5DD"/>
        </w:pBdr>
        <w:spacing w:before="80" w:after="160" w:line="259" w:lineRule="auto"/>
        <w:ind w:left="115" w:right="115"/>
      </w:pPr>
      <w:r>
        <w:rPr>
          <w:rFonts w:ascii="Calibri" w:hAnsi="Calibri"/>
          <w:b/>
          <w:i w:val="0"/>
          <w:color w:val="166534"/>
          <w:sz w:val="20"/>
        </w:rPr>
        <w:t xml:space="preserve">Use after approval: </w:t>
      </w:r>
      <w:r>
        <w:rPr>
          <w:rFonts w:ascii="Calibri" w:hAnsi="Calibri"/>
          <w:b w:val="0"/>
          <w:i w:val="0"/>
          <w:color w:val="1F2937"/>
          <w:sz w:val="20"/>
        </w:rPr>
        <w:t>Yes. CertScore performs quarterly privacy control reviews, an annual data security and privacy risk assessment, and change-triggered reviews before material changes to personal-data processing. The baseline assessment was completed on August 23, 2026 and is tracked through a documented remediation and evidence plan.</w:t>
      </w:r>
    </w:p>
    <w:p>
      <w:pPr>
        <w:spacing w:after="120" w:line="264" w:lineRule="auto"/>
      </w:pPr>
      <w:r>
        <w:rPr>
          <w:rFonts w:ascii="Calibri" w:hAnsi="Calibri"/>
          <w:b w:val="0"/>
          <w:i w:val="0"/>
          <w:color w:val="1F2937"/>
          <w:sz w:val="21"/>
        </w:rPr>
        <w:t>Before the accountable owner signs this assessment and adopts the cadence, the truthful response remains No. Retain the signed version, quarterly review logs, and linked evidence so the answer remains supportable over time.</w:t>
      </w:r>
    </w:p>
    <w:p>
      <w:pPr>
        <w:pStyle w:val="Heading1"/>
        <w:keepNext/>
      </w:pPr>
      <w:r>
        <w:t>Appendix A - Quarterly privacy review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val="true"/>
        </w:trPr>
        <w:tc>
          <w:tcPr>
            <w:tcW w:type="dxa" w:w="2700"/>
            <w:shd w:fill="F2F4F7"/>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Field</w:t>
            </w:r>
          </w:p>
        </w:tc>
        <w:tc>
          <w:tcPr>
            <w:tcW w:type="dxa" w:w="6660"/>
            <w:shd w:fill="F2F4F7"/>
            <w:tcMar>
              <w:top w:w="80" w:type="dxa"/>
              <w:start w:w="120" w:type="dxa"/>
              <w:bottom w:w="80" w:type="dxa"/>
              <w:end w:w="120" w:type="dxa"/>
            </w:tcMar>
            <w:vAlign w:val="center"/>
          </w:tcPr>
          <w:p>
            <w:pPr>
              <w:spacing w:before="0" w:after="0" w:line="252" w:lineRule="auto"/>
              <w:jc w:val="left"/>
            </w:pPr>
            <w:r>
              <w:rPr>
                <w:rFonts w:ascii="Calibri" w:hAnsi="Calibri"/>
                <w:b/>
                <w:i w:val="0"/>
                <w:color w:val="17365D"/>
                <w:sz w:val="18"/>
              </w:rPr>
              <w:t>Record</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Review period</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____________________________________________</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Review date</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____________________________________________</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Reviewer(s)</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____________________________________________</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Processor/data-flow changes</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None / See attached change list</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Privacy requests reviewed</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Count: ______  Overdue: ______  Exceptions: ______</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Consent and masking test</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Pass / Fail / Not used  Evidence: ____________________</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Retention/deletion verification</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Pass / Fail  Evidence: ______________________________</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Incidents or complaints</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None / See attached record</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Open risks/actions</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____________________________________________</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Decision</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Continue / Continue with actions / Pause affected processing</w:t>
            </w:r>
          </w:p>
        </w:tc>
      </w:tr>
      <w:tr>
        <w:trPr>
          <w:cantSplit w:val="true"/>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Owner signature/date</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8"/>
              </w:rPr>
              <w:t>____________________________________________</w:t>
            </w:r>
          </w:p>
        </w:tc>
      </w:tr>
    </w:tbl>
    <w:p>
      <w:pPr>
        <w:spacing w:after="40"/>
      </w:pPr>
    </w:p>
    <w:p>
      <w:pPr>
        <w:pStyle w:val="Heading1"/>
        <w:keepNext/>
      </w:pPr>
      <w:r>
        <w:t>Appendix B - Change-trigger screening</w:t>
      </w:r>
    </w:p>
    <w:p>
      <w:pPr>
        <w:pStyle w:val="ListBullet"/>
        <w:spacing w:after="80" w:line="280" w:lineRule="auto"/>
      </w:pPr>
      <w:r>
        <w:rPr>
          <w:rFonts w:ascii="Calibri" w:hAnsi="Calibri"/>
          <w:b w:val="0"/>
          <w:i w:val="0"/>
          <w:color w:val="1F2937"/>
          <w:sz w:val="21"/>
        </w:rPr>
        <w:t>[  ] New category of personal or sensitive data</w:t>
      </w:r>
    </w:p>
    <w:p>
      <w:pPr>
        <w:pStyle w:val="ListBullet"/>
        <w:spacing w:after="80" w:line="280" w:lineRule="auto"/>
      </w:pPr>
      <w:r>
        <w:rPr>
          <w:rFonts w:ascii="Calibri" w:hAnsi="Calibri"/>
          <w:b w:val="0"/>
          <w:i w:val="0"/>
          <w:color w:val="1F2937"/>
          <w:sz w:val="21"/>
        </w:rPr>
        <w:t>[  ] New purpose, disclosure, sale/share, or processor</w:t>
      </w:r>
    </w:p>
    <w:p>
      <w:pPr>
        <w:pStyle w:val="ListBullet"/>
        <w:spacing w:after="80" w:line="280" w:lineRule="auto"/>
      </w:pPr>
      <w:r>
        <w:rPr>
          <w:rFonts w:ascii="Calibri" w:hAnsi="Calibri"/>
          <w:b w:val="0"/>
          <w:i w:val="0"/>
          <w:color w:val="1F2937"/>
          <w:sz w:val="21"/>
        </w:rPr>
        <w:t>[  ] New analytics, session replay, profiling, AI/model, biometric, or monitoring capability</w:t>
      </w:r>
    </w:p>
    <w:p>
      <w:pPr>
        <w:pStyle w:val="ListBullet"/>
        <w:spacing w:after="80" w:line="280" w:lineRule="auto"/>
      </w:pPr>
      <w:r>
        <w:rPr>
          <w:rFonts w:ascii="Calibri" w:hAnsi="Calibri"/>
          <w:b w:val="0"/>
          <w:i w:val="0"/>
          <w:color w:val="1F2937"/>
          <w:sz w:val="21"/>
        </w:rPr>
        <w:t>[  ] New country/region or international transfer</w:t>
      </w:r>
    </w:p>
    <w:p>
      <w:pPr>
        <w:pStyle w:val="ListBullet"/>
        <w:spacing w:after="80" w:line="280" w:lineRule="auto"/>
      </w:pPr>
      <w:r>
        <w:rPr>
          <w:rFonts w:ascii="Calibri" w:hAnsi="Calibri"/>
          <w:b w:val="0"/>
          <w:i w:val="0"/>
          <w:color w:val="1F2937"/>
          <w:sz w:val="21"/>
        </w:rPr>
        <w:t>[  ] Material increase in scale, retention, identifiability, or data-subject impact</w:t>
      </w:r>
    </w:p>
    <w:p>
      <w:pPr>
        <w:pStyle w:val="ListBullet"/>
        <w:spacing w:after="80" w:line="280" w:lineRule="auto"/>
      </w:pPr>
      <w:r>
        <w:rPr>
          <w:rFonts w:ascii="Calibri" w:hAnsi="Calibri"/>
          <w:b w:val="0"/>
          <w:i w:val="0"/>
          <w:color w:val="1F2937"/>
          <w:sz w:val="21"/>
        </w:rPr>
        <w:t>[  ] Processing involving children, employees, vulnerable people, or legal/significant decisions</w:t>
      </w:r>
    </w:p>
    <w:p>
      <w:pPr>
        <w:pStyle w:val="ListBullet"/>
        <w:spacing w:after="80" w:line="280" w:lineRule="auto"/>
      </w:pPr>
      <w:r>
        <w:rPr>
          <w:rFonts w:ascii="Calibri" w:hAnsi="Calibri"/>
          <w:b w:val="0"/>
          <w:i w:val="0"/>
          <w:color w:val="1F2937"/>
          <w:sz w:val="21"/>
        </w:rPr>
        <w:t>[  ] Material privacy/security incident or control failure</w:t>
      </w:r>
    </w:p>
    <w:p>
      <w:pPr>
        <w:spacing w:after="120" w:line="264" w:lineRule="auto"/>
      </w:pPr>
      <w:r>
        <w:rPr>
          <w:rFonts w:ascii="Calibri" w:hAnsi="Calibri"/>
          <w:b w:val="0"/>
          <w:i w:val="0"/>
          <w:color w:val="1F2937"/>
          <w:sz w:val="21"/>
        </w:rPr>
        <w:t>If any box is checked, record the change owner, affected flow, safeguards, and decision. Complete a new or updated DPIA/privacy risk assessment before processing when risk may be high.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 xml:space="preserve">Confidential - Internal Governance  |  </w:t>
    </w:r>
    <w:r>
      <w:rPr>
        <w:rFonts w:ascii="Calibri" w:hAnsi="Calibri"/>
        <w:b w:val="0"/>
        <w:i w:val="0"/>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085"/>
        <w:sz w:val="17"/>
      </w:rPr>
      <w:t>CERTSCORE | PRIVACY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CertScore Data Security &amp; Privacy Risk Assessment</dc:title>
  <dc:subject>DPIA-style baseline review and recurring privacy governance procedure</dc:subject>
  <dc:creator>CertScore</dc:creator>
  <cp:keywords>privacy risk assessment, DPIA, data protection, CertScore</cp:keywords>
  <dc:description>generated by python-docx</dc:description>
  <cp:lastModifiedBy/>
  <cp:revision>1</cp:revision>
  <dcterms:created xsi:type="dcterms:W3CDTF">2013-12-23T23:15:00Z</dcterms:created>
  <dcterms:modified xsi:type="dcterms:W3CDTF">2013-12-23T23:15:00Z</dcterms:modified>
  <cp:category/>
</cp:coreProperties>
</file>