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4"/>
        </w:rPr>
        <w:t>Yöntem</w:t>
      </w:r>
    </w:p>
    <w:p>
      <w:pPr>
        <w:pStyle w:val="Heading2"/>
      </w:pPr>
      <w:r>
        <w:t>Katılımcılar</w:t>
      </w:r>
    </w:p>
    <w:p>
      <w:pPr>
        <w:spacing w:line="480" w:lineRule="auto"/>
        <w:ind w:firstLine="720"/>
      </w:pPr>
      <w:r>
        <w:t>Bu araştırmanın örneklemi, uygun örnekleme yöntemi kullanılarak belirlenen toplam 1.047 yetişkin katılımcıdan oluşmaktadır. Katılımcıların yaş aralığı 18-67 arasında değişmektedir. Örneklemin cinsiyet dağılımına bakıldığında, çoğunluğu kadın katılımcılardan oluşmaktadır. Araştırmaya katılım gönüllülük esasına dayalı olup, 18 yaşından büyük ve sosyal medya kullanan bireyler çalışmaya dahil edilmiştir. Tüm katılımcılar çevrimiçi anket formunu doldurmuş ve onam formunu imzalamıştır.</w:t>
      </w:r>
    </w:p>
    <w:p>
      <w:pPr>
        <w:pStyle w:val="Heading2"/>
      </w:pPr>
      <w:r>
        <w:t>Veri Toplama Araçları</w:t>
      </w:r>
    </w:p>
    <w:p>
      <w:pPr>
        <w:pStyle w:val="Heading3"/>
      </w:pPr>
      <w:r>
        <w:t>Demografik Bilgi Formu</w:t>
      </w:r>
    </w:p>
    <w:p>
      <w:pPr>
        <w:spacing w:line="480" w:lineRule="auto"/>
        <w:ind w:firstLine="720"/>
      </w:pPr>
      <w:r>
        <w:t>Katılımcıların yaş, cinsiyet ve günlük sosyal medya kullanım süreleri gibi temel demografik bilgilerini toplamak amacıyla araştırmacı tarafından geliştirilen bir form kullanılmıştır.</w:t>
      </w:r>
    </w:p>
    <w:p>
      <w:pPr>
        <w:pStyle w:val="Heading3"/>
      </w:pPr>
      <w:r>
        <w:t>Depresyon, Anksiyete ve Stres Ölçeği (DASS-21)</w:t>
      </w:r>
    </w:p>
    <w:p>
      <w:pPr>
        <w:spacing w:line="480" w:lineRule="auto"/>
        <w:ind w:firstLine="720"/>
      </w:pPr>
      <w:r>
        <w:t>Lovibond ve Lovibond (1995) tarafından geliştirilen Depresyon, Anksiyete ve Stres Ölçeği'nin 21 maddelik kısa formu kullanılmıştır. Ölçek, depresyon (maddeler: 3, 5, 10, 13, 16, 17, 21), anksiyete (maddeler: 2, 4, 7, 9, 15, 19, 20) ve stres (maddeler: 1, 6, 8, 11, 12, 14, 18) olmak üzere üç alt boyuttan oluşmaktadır. Her bir alt boyut 7 madde içermekte olup, maddeler 4'lü Likert tipi (0 = Bana hiç uygun değil, 3 = Bana tamamen uygun) bir ölçekle değerlendirilmektedir. Ölçeğin Türkçe uyarlaması Yılmaz ve arkadaşları (2017) tarafından gerçekleştirilmiştir.</w:t>
      </w:r>
    </w:p>
    <w:p>
      <w:pPr>
        <w:pStyle w:val="Heading3"/>
      </w:pPr>
      <w:r>
        <w:t>Utanç ve Suçluluk Ölçeği</w:t>
      </w:r>
    </w:p>
    <w:p>
      <w:pPr>
        <w:spacing w:line="480" w:lineRule="auto"/>
        <w:ind w:firstLine="720"/>
      </w:pPr>
      <w:r>
        <w:t>Katılımcıların utanç ve suçluluk düzeylerini ölçmek amacıyla kullanılmıştır. Ölçek, utanç (maddeler: 1, 3, 5, 7, 9) ve suçluluk (maddeler: 2, 4, 6, 8, 10) olmak üzere iki alt boyuttan oluşmaktadır. Her bir alt boyut 5 madde içermektedir ve maddeler 5'li Likert tipi bir ölçekle değerlendirilmektedir.</w:t>
      </w:r>
    </w:p>
    <w:p>
      <w:pPr>
        <w:pStyle w:val="Heading3"/>
      </w:pPr>
      <w:r>
        <w:t>Öz-Şefkat Ölçeği</w:t>
      </w:r>
    </w:p>
    <w:p>
      <w:pPr>
        <w:spacing w:line="480" w:lineRule="auto"/>
        <w:ind w:firstLine="720"/>
      </w:pPr>
      <w:r>
        <w:t>Neff (2003) tarafından geliştirilen Öz-Şefkat Ölçeği'nin kısa formu kullanılmıştır. Ölçek, bireylerin kendilerine karşı gösterdikleri şefkat düzeyini değerlendirmektedir ve 10 maddeden oluşmaktadır. Maddeler 5'li Likert tipi bir ölçekle değerlendirilmektedir. Ölçeğin Türkçe geçerlik ve güvenirlik çalışması yapılmıştır.</w:t>
      </w:r>
    </w:p>
    <w:p>
      <w:pPr>
        <w:pStyle w:val="Heading3"/>
      </w:pPr>
      <w:r>
        <w:t>Bergen Sosyal Medya Bağımlılığı Ölçeği</w:t>
      </w:r>
    </w:p>
    <w:p>
      <w:pPr>
        <w:spacing w:line="480" w:lineRule="auto"/>
        <w:ind w:firstLine="720"/>
      </w:pPr>
      <w:r>
        <w:t>Andreassen ve arkadaşları (2012) tarafından geliştirilen Bergen Sosyal Medya Bağımlılığı Ölçeği kullanılmıştır. Ölçek, sosyal medya bağımlılığının temel bileşenlerini (belirginlik, duygudurum değişikliği, tolerans, yoksunluk, çatışma, nüks) ölçen 6 maddeden oluşmaktadır. Her madde 5'li Likert tipi (1 = Çok nadiren, 5 = Çok sık) bir ölçekle değerlendirilmektedir. Ölçeğin Türkçe uyarlaması Demirci (2019) tarafından gerçekleştirilmiştir.</w:t>
      </w:r>
    </w:p>
    <w:p>
      <w:pPr>
        <w:pStyle w:val="Heading3"/>
      </w:pPr>
      <w:r>
        <w:t>Çok Boyutlu Algılanan Sosyal Destek Ölçeği</w:t>
      </w:r>
    </w:p>
    <w:p>
      <w:pPr>
        <w:spacing w:line="480" w:lineRule="auto"/>
        <w:ind w:firstLine="720"/>
      </w:pPr>
      <w:r>
        <w:t>Algılanan sosyal destek düzeyini ölçmek amacıyla kullanılmıştır. Ölçek, aile desteği (maddeler: 1, 2, 3, 4) ve arkadaş desteği (maddeler: 5, 6, 7, 8) olmak üzere iki alt boyuttan oluşmaktadır. Her bir alt boyut 4 madde içermekte olup, maddeler 7'li Likert tipi bir ölçekle değerlendirilmektedir.</w:t>
      </w:r>
    </w:p>
    <w:p>
      <w:pPr>
        <w:pStyle w:val="Heading3"/>
      </w:pPr>
      <w:r>
        <w:t>Siber Mağduriyet Ölçeği</w:t>
      </w:r>
    </w:p>
    <w:p>
      <w:pPr>
        <w:spacing w:line="480" w:lineRule="auto"/>
        <w:ind w:firstLine="720"/>
      </w:pPr>
      <w:r>
        <w:t>Katılımcıların siber mağduriyet deneyimlerini ölçmek amacıyla kullanılmıştır. Ölçek, siber zorbalık ve çevrimiçi mağduriyet yaşantılarını değerlendiren 10 maddeden oluşmaktadır. Maddeler katılımcıların çeşitli siber zorbalık biçimlerine maruz kalma sıklıklarını ölçmektedir.</w:t>
      </w:r>
    </w:p>
    <w:p>
      <w:pPr>
        <w:pStyle w:val="Heading2"/>
      </w:pPr>
      <w:r>
        <w:t>İşlem</w:t>
      </w:r>
    </w:p>
    <w:p>
      <w:pPr>
        <w:spacing w:line="480" w:lineRule="auto"/>
        <w:ind w:firstLine="720"/>
      </w:pPr>
      <w:r>
        <w:t>Veri toplama süreci, çevrimiçi anket platformu aracılığıyla gerçekleştirilmiştir. Katılımcılar, araştırma hakkında bilgilendirildikten ve onam formunu onayladıktan sonra anket formlarını doldurmuşlardır. Araştırmaya katılım ortalama 15-20 dakika sürmüştür. Tüm işlemler Helsinki Bildirgesi'ne uygun olarak yürütülmüş ve ilgili etik kurul onayı alınmıştır.</w:t>
      </w:r>
    </w:p>
    <w:p>
      <w:pPr>
        <w:pStyle w:val="Heading2"/>
      </w:pPr>
      <w:r>
        <w:t>Veri Analizi</w:t>
      </w:r>
    </w:p>
    <w:p>
      <w:pPr>
        <w:spacing w:line="480" w:lineRule="auto"/>
        <w:ind w:firstLine="720"/>
      </w:pPr>
      <w:r>
        <w:t xml:space="preserve">Verilerin analizi için Python programlama dili (Van Rossum &amp; Drake, 2009) ve R istatistik yazılımı (R Core Team, 2023) kullanılmıştır. </w:t>
      </w:r>
    </w:p>
    <w:p>
      <w:pPr>
        <w:spacing w:line="480" w:lineRule="auto"/>
        <w:ind w:firstLine="720"/>
      </w:pPr>
      <w:r>
        <w:rPr>
          <w:b/>
        </w:rPr>
        <w:t xml:space="preserve">Python Paketleri: </w:t>
      </w:r>
      <w:r>
        <w:t>Veri manipülasyonu için pandas kütüphanesi (McKinney, 2010), sayısal hesaplamalar için NumPy (Harris ve ark., 2020), istatistiksel analizler için SciPy (Virtanen ve ark., 2020), ağ analizi için NetworkX (Hagberg ve ark., 2008), Bayesian ağ analizi için pgmpy (Ankan &amp; Panda, 2015), veri görselleştirme için Matplotlib (Hunter, 2007) ve Seaborn (Waskom, 2021) kütüphaneleri kullanılmıştır.</w:t>
      </w:r>
    </w:p>
    <w:p>
      <w:pPr>
        <w:spacing w:line="480" w:lineRule="auto"/>
        <w:ind w:firstLine="720"/>
      </w:pPr>
      <w:r>
        <w:rPr>
          <w:b/>
        </w:rPr>
        <w:t xml:space="preserve">R Paketleri: </w:t>
      </w:r>
      <w:r>
        <w:t>Bayesian ağ yapısı öğrenimi için bnlearn paketi (Scutari, 2010), psikolojik ağ görselleştirmesi ve merkezilik analizi için qgraph paketi (Epskamp ve ark., 2012), betimsel istatistikler için psych paketi (Revelle, 2023), eksik veri analizi için mice paketi (van Buuren &amp; Groothuis-Oudshoorn, 2011), korelasyon görselleştirmesi için corrplot paketi (Wei &amp; Simko, 2021) ve veri görselleştirme için ggplot2 paketi (Wickham, 2016) kullanılmıştır.</w:t>
      </w:r>
    </w:p>
    <w:p>
      <w:pPr>
        <w:pStyle w:val="Heading3"/>
      </w:pPr>
      <w:r>
        <w:t>İstatistiksel Analizler</w:t>
      </w:r>
    </w:p>
    <w:p>
      <w:pPr>
        <w:spacing w:line="480" w:lineRule="auto"/>
        <w:ind w:firstLine="720"/>
      </w:pPr>
      <w:r>
        <w:t>Araştırmada aşağıdaki istatistiksel analizler gerçekleştirilmiştir:</w:t>
      </w:r>
    </w:p>
    <w:p>
      <w:pPr>
        <w:pStyle w:val="ListBullet"/>
      </w:pPr>
      <w:r>
        <w:rPr>
          <w:b/>
        </w:rPr>
        <w:t xml:space="preserve">Betimsel istatistikler: </w:t>
      </w:r>
      <w:r>
        <w:t>Tüm değişkenler için ortalama, standart sapma, çarpıklık ve basıklık değerleri hesaplanmıştır.</w:t>
      </w:r>
    </w:p>
    <w:p>
      <w:pPr>
        <w:pStyle w:val="ListBullet"/>
      </w:pPr>
      <w:r>
        <w:rPr>
          <w:b/>
        </w:rPr>
        <w:t xml:space="preserve">Korelasyon analizi: </w:t>
      </w:r>
      <w:r>
        <w:t>Değişkenler arası ilişkiler Pearson korelasyon katsayıları ile incelenmiştir.</w:t>
      </w:r>
    </w:p>
    <w:p>
      <w:pPr>
        <w:pStyle w:val="ListBullet"/>
      </w:pPr>
      <w:r>
        <w:rPr>
          <w:b/>
        </w:rPr>
        <w:t xml:space="preserve">Bayesian ağ analizi: </w:t>
      </w:r>
      <w:r>
        <w:t>Değişkenler arası nedensel ilişkilerin modellenmesi için Hill-Climbing algoritması (Bayesian Information Criterion skorlama), PC algoritması (constraint-based) ve TABU Search algoritması kullanılmıştır. Model karşılaştırması BIC skorlarına göre yapılmıştır.</w:t>
      </w:r>
    </w:p>
    <w:p>
      <w:pPr>
        <w:pStyle w:val="ListBullet"/>
      </w:pPr>
      <w:r>
        <w:rPr>
          <w:b/>
        </w:rPr>
        <w:t xml:space="preserve">Bootstrap validasyonu: </w:t>
      </w:r>
      <w:r>
        <w:t>Ağ yapısının güvenirliği 500 bootstrap örneklemi ile test edilmiştir. Kenar gücü (edge strength) &gt; 0.50 olan bağlantılar anlamlı kabul edilmiştir.</w:t>
      </w:r>
    </w:p>
    <w:p>
      <w:pPr>
        <w:pStyle w:val="ListBullet"/>
      </w:pPr>
      <w:r>
        <w:rPr>
          <w:b/>
        </w:rPr>
        <w:t xml:space="preserve">Merkezilik (centrality) analizi: </w:t>
      </w:r>
      <w:r>
        <w:t>Ağ düğümlerinin önemini değerlendirmek için strength (güç), betweenness (aracılık), closeness (yakınlık) ve degree (derece) merkezilik indeksleri hesaplanmıştır.</w:t>
      </w:r>
    </w:p>
    <w:p>
      <w:pPr>
        <w:pStyle w:val="ListBullet"/>
      </w:pPr>
      <w:r>
        <w:rPr>
          <w:b/>
        </w:rPr>
        <w:t xml:space="preserve">Cinsiyet karşılaştırması: </w:t>
      </w:r>
      <w:r>
        <w:t>Gruplar arası farklılıklar bağımsız örneklem t-testi ile analiz edilmiştir. Varyans homojenliği Levene testi ile kontrol edilmiş, varsayım karşılanmadığında Welch düzeltmesi uygulanmıştır. Non-parametrik alternatif olarak Mann-Whitney U testi de uygulanmıştır.</w:t>
      </w:r>
    </w:p>
    <w:p>
      <w:pPr>
        <w:pStyle w:val="ListBullet"/>
      </w:pPr>
      <w:r>
        <w:rPr>
          <w:b/>
        </w:rPr>
        <w:t xml:space="preserve">Etki büyüklüğü: </w:t>
      </w:r>
      <w:r>
        <w:t>Grup karşılaştırmaları için Cohen's d hesaplanmıştır. Etki büyüklüğü yorumu Cohen (1988) kriterlerine göre yapılmıştır (d &lt; 0.20: küçük, d &lt; 0.50: orta, d &lt; 0.80: büyük, d ≥ 0.80: çok büyük).</w:t>
      </w:r>
    </w:p>
    <w:p>
      <w:pPr>
        <w:spacing w:line="480" w:lineRule="auto"/>
        <w:ind w:firstLine="720"/>
      </w:pPr>
      <w:r>
        <w:t>Tüm istatistiksel analizlerde anlamlılık düzeyi p &lt; .05 olarak kabul edilmiştir. Çoklu karşılaştırmalarda gerekli düzeltmeler yapılmıştır.</w:t>
      </w:r>
    </w:p>
    <w:p>
      <w:r>
        <w:br w:type="page"/>
      </w:r>
    </w:p>
    <w:p>
      <w:pPr>
        <w:pStyle w:val="Heading1"/>
        <w:jc w:val="center"/>
      </w:pPr>
      <w:r>
        <w:rPr>
          <w:rFonts w:ascii="Times New Roman" w:hAnsi="Times New Roman"/>
          <w:b/>
          <w:sz w:val="24"/>
        </w:rPr>
        <w:t>Kaynakça</w:t>
      </w:r>
    </w:p>
    <w:p>
      <w:pPr>
        <w:spacing w:line="480" w:lineRule="auto"/>
        <w:ind w:left="720" w:hanging="720"/>
      </w:pPr>
      <w:r>
        <w:t>Andreassen, C. S., Torsheim, T., Brunborg, G. S., &amp; Pallesen, S. (2012). Development of a Facebook addiction scale. Psychological Reports, 110(2), 501-517. https://doi.org/10.2466/02.09.18.PR0.110.2.501-517</w:t>
      </w:r>
    </w:p>
    <w:p>
      <w:pPr>
        <w:spacing w:line="480" w:lineRule="auto"/>
        <w:ind w:left="720" w:hanging="720"/>
      </w:pPr>
      <w:r>
        <w:t>Ankan, A., &amp; Panda, A. (2015). pgmpy: Probabilistic graphical models using Python. Proceedings of the 14th Python in Science Conference, 6-11.</w:t>
      </w:r>
    </w:p>
    <w:p>
      <w:pPr>
        <w:spacing w:line="480" w:lineRule="auto"/>
        <w:ind w:left="720" w:hanging="720"/>
      </w:pPr>
      <w:r>
        <w:t>Cohen, J. (1988). Statistical power analysis for the behavioral sciences (2nd ed.). Lawrence Erlbaum Associates.</w:t>
      </w:r>
    </w:p>
    <w:p>
      <w:pPr>
        <w:spacing w:line="480" w:lineRule="auto"/>
        <w:ind w:left="720" w:hanging="720"/>
      </w:pPr>
      <w:r>
        <w:t>Demirci, I. (2019). Bergen Sosyal Medya Bağımlılığı Ölçeği'nin Türkçeye uyarlanması, depresyon ve anksiyete belirtileriyle ilişkisinin değerlendirilmesi. Anadolu Psikiyatri Dergisi, 20, 15-22.</w:t>
      </w:r>
    </w:p>
    <w:p>
      <w:pPr>
        <w:spacing w:line="480" w:lineRule="auto"/>
        <w:ind w:left="720" w:hanging="720"/>
      </w:pPr>
      <w:r>
        <w:t>Epskamp, S., Cramer, A. O. J., Waldorp, L. J., Schmittmann, V. D., &amp; Borsboom, D. (2012). qgraph: Network visualizations of relationships in psychometric data. Journal of Statistical Software, 48(4), 1-18. https://doi.org/10.18637/jss.v048.i04</w:t>
      </w:r>
    </w:p>
    <w:p>
      <w:pPr>
        <w:spacing w:line="480" w:lineRule="auto"/>
        <w:ind w:left="720" w:hanging="720"/>
      </w:pPr>
      <w:r>
        <w:t>Hagberg, A., Swart, P., &amp; Schult, D. (2008). Exploring network structure, dynamics, and function using NetworkX. Proceedings of the 7th Python in Science Conference, 11-15.</w:t>
      </w:r>
    </w:p>
    <w:p>
      <w:pPr>
        <w:spacing w:line="480" w:lineRule="auto"/>
        <w:ind w:left="720" w:hanging="720"/>
      </w:pPr>
      <w:r>
        <w:t>Harris, C. R., Millman, K. J., van der Walt, S. J., Gommers, R., Virtanen, P., Cournapeau, D., ... &amp; Oliphant, T. E. (2020). Array programming with NumPy. Nature, 585(7825), 357-362. https://doi.org/10.1038/s41586-020-2649-2</w:t>
      </w:r>
    </w:p>
    <w:p>
      <w:pPr>
        <w:spacing w:line="480" w:lineRule="auto"/>
        <w:ind w:left="720" w:hanging="720"/>
      </w:pPr>
      <w:r>
        <w:t>Hunter, J. D. (2007). Matplotlib: A 2D graphics environment. Computing in Science &amp; Engineering, 9(3), 90-95. https://doi.org/10.1109/MCSE.2007.55</w:t>
      </w:r>
    </w:p>
    <w:p>
      <w:pPr>
        <w:spacing w:line="480" w:lineRule="auto"/>
        <w:ind w:left="720" w:hanging="720"/>
      </w:pPr>
      <w:r>
        <w:t>Lovibond, P. F., &amp; Lovibond, S. H. (1995). The structure of negative emotional states: Comparison of the Depression Anxiety Stress Scales (DASS) with the Beck Depression and Anxiety Inventories. Behaviour Research and Therapy, 33(3), 335-343. https://doi.org/10.1016/0005-7967(94)00075-U</w:t>
      </w:r>
    </w:p>
    <w:p>
      <w:pPr>
        <w:spacing w:line="480" w:lineRule="auto"/>
        <w:ind w:left="720" w:hanging="720"/>
      </w:pPr>
      <w:r>
        <w:t>McKinney, W. (2010). Data structures for statistical computing in Python. Proceedings of the 9th Python in Science Conference, 51-56.</w:t>
      </w:r>
    </w:p>
    <w:p>
      <w:pPr>
        <w:spacing w:line="480" w:lineRule="auto"/>
        <w:ind w:left="720" w:hanging="720"/>
      </w:pPr>
      <w:r>
        <w:t>Neff, K. D. (2003). The development and validation of a scale to measure self-compassion. Self and Identity, 2(3), 223-250. https://doi.org/10.1080/15298860309027</w:t>
      </w:r>
    </w:p>
    <w:p>
      <w:pPr>
        <w:spacing w:line="480" w:lineRule="auto"/>
        <w:ind w:left="720" w:hanging="720"/>
      </w:pPr>
      <w:r>
        <w:t>R Core Team. (2023). R: A language and environment for statistical computing. R Foundation for Statistical Computing. https://www.R-project.org/</w:t>
      </w:r>
    </w:p>
    <w:p>
      <w:pPr>
        <w:spacing w:line="480" w:lineRule="auto"/>
        <w:ind w:left="720" w:hanging="720"/>
      </w:pPr>
      <w:r>
        <w:t>Revelle, W. (2023). psych: Procedures for psychological, psychometric, and personality research. R package version 2.3.6. Northwestern University. https://CRAN.R-project.org/package=psych</w:t>
      </w:r>
    </w:p>
    <w:p>
      <w:pPr>
        <w:spacing w:line="480" w:lineRule="auto"/>
        <w:ind w:left="720" w:hanging="720"/>
      </w:pPr>
      <w:r>
        <w:t>Scutari, M. (2010). Learning Bayesian networks with the bnlearn R package. Journal of Statistical Software, 35(3), 1-22. https://doi.org/10.18637/jss.v035.i03</w:t>
      </w:r>
    </w:p>
    <w:p>
      <w:pPr>
        <w:spacing w:line="480" w:lineRule="auto"/>
        <w:ind w:left="720" w:hanging="720"/>
      </w:pPr>
      <w:r>
        <w:t>van Buuren, S., &amp; Groothuis-Oudshoorn, K. (2011). mice: Multivariate imputation by chained equations in R. Journal of Statistical Software, 45(3), 1-67. https://doi.org/10.18637/jss.v045.i03</w:t>
      </w:r>
    </w:p>
    <w:p>
      <w:pPr>
        <w:spacing w:line="480" w:lineRule="auto"/>
        <w:ind w:left="720" w:hanging="720"/>
      </w:pPr>
      <w:r>
        <w:t>Van Rossum, G., &amp; Drake, F. L. (2009). Python 3 reference manual. CreateSpace.</w:t>
      </w:r>
    </w:p>
    <w:p>
      <w:pPr>
        <w:spacing w:line="480" w:lineRule="auto"/>
        <w:ind w:left="720" w:hanging="720"/>
      </w:pPr>
      <w:r>
        <w:t>Virtanen, P., Gommers, R., Oliphant, T. E., Haberland, M., Reddy, T., Cournapeau, D., ... &amp; van Mulbregt, P. (2020). SciPy 1.0: Fundamental algorithms for scientific computing in Python. Nature Methods, 17(3), 261-272. https://doi.org/10.1038/s41592-019-0686-2</w:t>
      </w:r>
    </w:p>
    <w:p>
      <w:pPr>
        <w:spacing w:line="480" w:lineRule="auto"/>
        <w:ind w:left="720" w:hanging="720"/>
      </w:pPr>
      <w:r>
        <w:t>Waskom, M. L. (2021). seaborn: Statistical data visualization. Journal of Open Source Software, 6(60), 3021. https://doi.org/10.21105/joss.03021</w:t>
      </w:r>
    </w:p>
    <w:p>
      <w:pPr>
        <w:spacing w:line="480" w:lineRule="auto"/>
        <w:ind w:left="720" w:hanging="720"/>
      </w:pPr>
      <w:r>
        <w:t>Wei, T., &amp; Simko, V. (2021). R package 'corrplot': Visualization of a correlation matrix. R package version 0.92. https://github.com/taiyun/corrplot</w:t>
      </w:r>
    </w:p>
    <w:p>
      <w:pPr>
        <w:spacing w:line="480" w:lineRule="auto"/>
        <w:ind w:left="720" w:hanging="720"/>
      </w:pPr>
      <w:r>
        <w:t>Wickham, H. (2016). ggplot2: Elegant graphics for data analysis (2nd ed.). Springer-Verlag. https://doi.org/10.1007/978-3-319-24277-4</w:t>
      </w:r>
    </w:p>
    <w:p>
      <w:pPr>
        <w:spacing w:line="480" w:lineRule="auto"/>
        <w:ind w:left="720" w:hanging="720"/>
      </w:pPr>
      <w:r>
        <w:t>Yılmaz, Ö., Boz, H., &amp; Arslan, A. (2017). Depresyon Anksiyete Stres Ölçeğinin (DASS-21) Türkçe kısa formunun geçerlilik-güvenilirlik çalışması. Finans Politik &amp; Ekonomik Yorumlar, 54(631), 79-91.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