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016E96">
      <w:pPr>
        <w:spacing w:after="160" w:line="276" w:lineRule="auto"/>
        <w:jc w:val="center"/>
        <w:rPr>
          <w:b w:val="0"/>
          <w:bCs w:val="0"/>
          <w:color w:val="auto"/>
        </w:rPr>
      </w:pPr>
      <w:r>
        <w:rPr>
          <w:rFonts w:ascii="Calibri" w:hAnsi="Calibri" w:eastAsia="Noto Sans CJK SC"/>
          <w:b w:val="0"/>
          <w:bCs w:val="0"/>
          <w:color w:val="auto"/>
          <w:sz w:val="26"/>
        </w:rPr>
        <w:t>CS-202614 赛题方案工作流总结</w:t>
      </w:r>
    </w:p>
    <w:p w14:paraId="170CA1A8">
      <w:pPr>
        <w:spacing w:after="240"/>
        <w:jc w:val="center"/>
        <w:rPr>
          <w:b w:val="0"/>
          <w:bCs w:val="0"/>
          <w:color w:val="auto"/>
        </w:rPr>
      </w:pPr>
      <w:r>
        <w:rPr>
          <w:rFonts w:ascii="Calibri" w:hAnsi="Calibri" w:eastAsia="Noto Sans CJK SC"/>
          <w:b w:val="0"/>
          <w:bCs w:val="0"/>
          <w:color w:val="auto"/>
          <w:sz w:val="48"/>
        </w:rPr>
        <w:t>复杂航空载体电磁辐射空域特性</w:t>
      </w:r>
      <w:r>
        <w:rPr>
          <w:rFonts w:ascii="Calibri" w:hAnsi="Calibri" w:eastAsia="Noto Sans CJK SC"/>
          <w:b w:val="0"/>
          <w:bCs w:val="0"/>
          <w:color w:val="auto"/>
          <w:sz w:val="48"/>
        </w:rPr>
        <w:br w:type="textWrapping"/>
      </w:r>
      <w:r>
        <w:rPr>
          <w:rFonts w:ascii="Calibri" w:hAnsi="Calibri" w:eastAsia="Noto Sans CJK SC"/>
          <w:b w:val="0"/>
          <w:bCs w:val="0"/>
          <w:color w:val="auto"/>
          <w:sz w:val="48"/>
        </w:rPr>
        <w:t>测量技术比赛方案</w:t>
      </w:r>
    </w:p>
    <w:p w14:paraId="70DA0565">
      <w:pPr>
        <w:spacing w:after="360" w:line="276" w:lineRule="auto"/>
        <w:jc w:val="center"/>
        <w:rPr>
          <w:b w:val="0"/>
          <w:bCs w:val="0"/>
          <w:color w:val="auto"/>
        </w:rPr>
      </w:pPr>
      <w:r>
        <w:rPr>
          <w:rFonts w:ascii="Calibri" w:hAnsi="Calibri" w:eastAsia="Noto Sans CJK SC"/>
          <w:b w:val="0"/>
          <w:bCs w:val="0"/>
          <w:color w:val="auto"/>
          <w:sz w:val="36"/>
        </w:rPr>
        <w:t>Workflow 总结文档</w:t>
      </w:r>
    </w:p>
    <w:p w14:paraId="4C272578">
      <w:pPr>
        <w:spacing w:after="60" w:line="276" w:lineRule="auto"/>
        <w:jc w:val="center"/>
        <w:rPr>
          <w:b w:val="0"/>
          <w:bCs w:val="0"/>
          <w:color w:val="auto"/>
        </w:rPr>
      </w:pPr>
      <w:r>
        <w:rPr>
          <w:rFonts w:ascii="Calibri" w:hAnsi="Calibri" w:eastAsia="Noto Sans CJK SC"/>
          <w:b w:val="0"/>
          <w:bCs w:val="0"/>
          <w:color w:val="auto"/>
          <w:sz w:val="21"/>
        </w:rPr>
        <w:t>版本：V0.1 初步执行版</w:t>
      </w:r>
    </w:p>
    <w:p w14:paraId="3AE7FD59">
      <w:pPr>
        <w:spacing w:after="400" w:line="276" w:lineRule="auto"/>
        <w:jc w:val="center"/>
        <w:rPr>
          <w:b w:val="0"/>
          <w:bCs w:val="0"/>
          <w:color w:val="auto"/>
        </w:rPr>
      </w:pPr>
      <w:r>
        <w:rPr>
          <w:rFonts w:ascii="Calibri" w:hAnsi="Calibri" w:eastAsia="Noto Sans CJK SC"/>
          <w:b w:val="0"/>
          <w:bCs w:val="0"/>
          <w:color w:val="auto"/>
          <w:sz w:val="21"/>
        </w:rPr>
        <w:t>用途：团队启动、技术路线统一、任务分工、开题汇报材料准备</w:t>
      </w:r>
    </w:p>
    <w:tbl>
      <w:tblPr>
        <w:tblStyle w:val="32"/>
        <w:tblW w:w="0" w:type="auto"/>
        <w:jc w:val="center"/>
        <w:tblBorders>
          <w:top w:val="single" w:color="9ECAE1" w:sz="4" w:space="0"/>
          <w:left w:val="single" w:color="9ECAE1" w:sz="4" w:space="0"/>
          <w:bottom w:val="single" w:color="9ECAE1" w:sz="4" w:space="0"/>
          <w:right w:val="single" w:color="9ECAE1" w:sz="4" w:space="0"/>
          <w:insideH w:val="single" w:color="9ECAE1" w:sz="4" w:space="0"/>
          <w:insideV w:val="single" w:color="9ECAE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50E7201A">
        <w:tblPrEx>
          <w:tblBorders>
            <w:top w:val="single" w:color="9ECAE1" w:sz="4" w:space="0"/>
            <w:left w:val="single" w:color="9ECAE1" w:sz="4" w:space="0"/>
            <w:bottom w:val="single" w:color="9ECAE1" w:sz="4" w:space="0"/>
            <w:right w:val="single" w:color="9ECAE1" w:sz="4" w:space="0"/>
            <w:insideH w:val="single" w:color="9ECAE1" w:sz="4" w:space="0"/>
            <w:insideV w:val="single" w:color="9ECA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58" w:type="dxa"/>
            <w:shd w:val="clear" w:color="auto" w:fill="D9EAF7"/>
          </w:tcPr>
          <w:p w14:paraId="7F7389F6">
            <w:pPr>
              <w:spacing w:after="60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21"/>
              </w:rPr>
              <w:t>核心判断</w:t>
            </w:r>
          </w:p>
          <w:p w14:paraId="0EC9CD32">
            <w:pPr>
              <w:spacing w:line="276" w:lineRule="auto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9"/>
              </w:rPr>
              <w:t>本赛题应以“CST/FEKO/COMSOL 等电磁仿真生成数据 + Python/MATLAB 完成近远场重建 + 机器学习完成空频特征识别 + PPT/视频完成成果展示”为主线。学生团队若只能选择一个主力电磁仿真软件，建议优先使用 CST；若具备 FEKO 条件，可补充大尺寸平台/安装效应验证。</w:t>
            </w:r>
          </w:p>
        </w:tc>
      </w:tr>
    </w:tbl>
    <w:p w14:paraId="564CDFB3">
      <w:pPr>
        <w:spacing w:after="60"/>
        <w:rPr>
          <w:b w:val="0"/>
          <w:bCs w:val="0"/>
          <w:color w:val="auto"/>
        </w:rPr>
      </w:pPr>
    </w:p>
    <w:p w14:paraId="1F0A09E9">
      <w:pPr>
        <w:spacing w:after="0" w:line="276" w:lineRule="auto"/>
        <w:jc w:val="center"/>
        <w:rPr>
          <w:b w:val="0"/>
          <w:bCs w:val="0"/>
          <w:color w:val="auto"/>
        </w:rPr>
      </w:pPr>
      <w:r>
        <w:rPr>
          <w:rFonts w:ascii="Calibri" w:hAnsi="Calibri" w:eastAsia="Noto Sans CJK SC"/>
          <w:b w:val="0"/>
          <w:bCs w:val="0"/>
          <w:color w:val="auto"/>
          <w:sz w:val="19"/>
        </w:rPr>
        <w:t>编制依据：上传文件《复杂航空载体电磁辐射空域特性测量技术比赛方案.pdf》及赛题讨论记录。</w:t>
      </w:r>
    </w:p>
    <w:p w14:paraId="167B790F">
      <w:pPr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br w:type="page"/>
      </w:r>
    </w:p>
    <w:p w14:paraId="7E9D8879">
      <w:pPr>
        <w:pStyle w:val="3"/>
        <w:rPr>
          <w:b w:val="0"/>
          <w:bCs w:val="0"/>
          <w:color w:val="auto"/>
        </w:rPr>
      </w:pPr>
      <w:r>
        <w:rPr>
          <w:rFonts w:ascii="Calibri" w:hAnsi="Calibri" w:eastAsia="Noto Sans CJK SC"/>
          <w:b w:val="0"/>
          <w:bCs w:val="0"/>
          <w:color w:val="auto"/>
          <w:sz w:val="32"/>
        </w:rPr>
        <w:t>目录</w:t>
      </w:r>
    </w:p>
    <w:p w14:paraId="540E08E0">
      <w:pPr>
        <w:spacing w:after="40" w:line="276" w:lineRule="auto"/>
        <w:rPr>
          <w:b w:val="0"/>
          <w:bCs w:val="0"/>
          <w:color w:val="auto"/>
        </w:rPr>
      </w:pPr>
      <w:r>
        <w:rPr>
          <w:rFonts w:ascii="Calibri" w:hAnsi="Calibri" w:eastAsia="Noto Sans CJK SC"/>
          <w:b w:val="0"/>
          <w:bCs w:val="0"/>
          <w:color w:val="auto"/>
          <w:sz w:val="21"/>
        </w:rPr>
        <w:t>1. 赛题目标与评分牵引</w:t>
      </w:r>
    </w:p>
    <w:p w14:paraId="5D98DF84">
      <w:pPr>
        <w:spacing w:after="40" w:line="276" w:lineRule="auto"/>
        <w:rPr>
          <w:b w:val="0"/>
          <w:bCs w:val="0"/>
          <w:color w:val="auto"/>
        </w:rPr>
      </w:pPr>
      <w:r>
        <w:rPr>
          <w:rFonts w:ascii="Calibri" w:hAnsi="Calibri" w:eastAsia="Noto Sans CJK SC"/>
          <w:b w:val="0"/>
          <w:bCs w:val="0"/>
          <w:color w:val="auto"/>
          <w:sz w:val="21"/>
        </w:rPr>
        <w:t>2. 总体 Workflow 总览</w:t>
      </w:r>
    </w:p>
    <w:p w14:paraId="1161E340">
      <w:pPr>
        <w:spacing w:after="40" w:line="276" w:lineRule="auto"/>
        <w:rPr>
          <w:b w:val="0"/>
          <w:bCs w:val="0"/>
          <w:color w:val="auto"/>
        </w:rPr>
      </w:pPr>
      <w:r>
        <w:rPr>
          <w:rFonts w:ascii="Calibri" w:hAnsi="Calibri" w:eastAsia="Noto Sans CJK SC"/>
          <w:b w:val="0"/>
          <w:bCs w:val="0"/>
          <w:color w:val="auto"/>
          <w:sz w:val="21"/>
        </w:rPr>
        <w:t>3. 推荐工具链与职责边界</w:t>
      </w:r>
    </w:p>
    <w:p w14:paraId="36C16AE2">
      <w:pPr>
        <w:spacing w:after="40" w:line="276" w:lineRule="auto"/>
        <w:rPr>
          <w:b w:val="0"/>
          <w:bCs w:val="0"/>
          <w:color w:val="auto"/>
        </w:rPr>
      </w:pPr>
      <w:r>
        <w:rPr>
          <w:rFonts w:ascii="Calibri" w:hAnsi="Calibri" w:eastAsia="Noto Sans CJK SC"/>
          <w:b w:val="0"/>
          <w:bCs w:val="0"/>
          <w:color w:val="auto"/>
          <w:sz w:val="21"/>
        </w:rPr>
        <w:t>4. 电磁仿真 Workflow</w:t>
      </w:r>
    </w:p>
    <w:p w14:paraId="6D16F4D8">
      <w:pPr>
        <w:spacing w:after="40" w:line="276" w:lineRule="auto"/>
        <w:rPr>
          <w:b w:val="0"/>
          <w:bCs w:val="0"/>
          <w:color w:val="auto"/>
        </w:rPr>
      </w:pPr>
      <w:r>
        <w:rPr>
          <w:rFonts w:ascii="Calibri" w:hAnsi="Calibri" w:eastAsia="Noto Sans CJK SC"/>
          <w:b w:val="0"/>
          <w:bCs w:val="0"/>
          <w:color w:val="auto"/>
          <w:sz w:val="21"/>
        </w:rPr>
        <w:t>5. 近远场重建算法 Workflow</w:t>
      </w:r>
    </w:p>
    <w:p w14:paraId="68AAD163">
      <w:pPr>
        <w:spacing w:after="40" w:line="276" w:lineRule="auto"/>
        <w:rPr>
          <w:b w:val="0"/>
          <w:bCs w:val="0"/>
          <w:color w:val="auto"/>
        </w:rPr>
      </w:pPr>
      <w:r>
        <w:rPr>
          <w:rFonts w:ascii="Calibri" w:hAnsi="Calibri" w:eastAsia="Noto Sans CJK SC"/>
          <w:b w:val="0"/>
          <w:bCs w:val="0"/>
          <w:color w:val="auto"/>
          <w:sz w:val="21"/>
        </w:rPr>
        <w:t>6. 测点数量优化 Workflow</w:t>
      </w:r>
    </w:p>
    <w:p w14:paraId="569D8021">
      <w:pPr>
        <w:spacing w:after="40" w:line="276" w:lineRule="auto"/>
        <w:rPr>
          <w:b w:val="0"/>
          <w:bCs w:val="0"/>
          <w:color w:val="auto"/>
        </w:rPr>
      </w:pPr>
      <w:r>
        <w:rPr>
          <w:rFonts w:ascii="Calibri" w:hAnsi="Calibri" w:eastAsia="Noto Sans CJK SC"/>
          <w:b w:val="0"/>
          <w:bCs w:val="0"/>
          <w:color w:val="auto"/>
          <w:sz w:val="21"/>
        </w:rPr>
        <w:t>7. 空间-频谱特征识别 Workflow</w:t>
      </w:r>
    </w:p>
    <w:p w14:paraId="392F6710">
      <w:pPr>
        <w:spacing w:after="40" w:line="276" w:lineRule="auto"/>
        <w:rPr>
          <w:b w:val="0"/>
          <w:bCs w:val="0"/>
          <w:color w:val="auto"/>
        </w:rPr>
      </w:pPr>
      <w:r>
        <w:rPr>
          <w:rFonts w:ascii="Calibri" w:hAnsi="Calibri" w:eastAsia="Noto Sans CJK SC"/>
          <w:b w:val="0"/>
          <w:bCs w:val="0"/>
          <w:color w:val="auto"/>
          <w:sz w:val="21"/>
        </w:rPr>
        <w:t>8. 项目阶段计划与里程碑</w:t>
      </w:r>
    </w:p>
    <w:p w14:paraId="6E771918">
      <w:pPr>
        <w:spacing w:after="40" w:line="276" w:lineRule="auto"/>
        <w:rPr>
          <w:b w:val="0"/>
          <w:bCs w:val="0"/>
          <w:color w:val="auto"/>
        </w:rPr>
      </w:pPr>
      <w:r>
        <w:rPr>
          <w:rFonts w:ascii="Calibri" w:hAnsi="Calibri" w:eastAsia="Noto Sans CJK SC"/>
          <w:b w:val="0"/>
          <w:bCs w:val="0"/>
          <w:color w:val="auto"/>
          <w:sz w:val="21"/>
        </w:rPr>
        <w:t>9. 团队分工建议</w:t>
      </w:r>
    </w:p>
    <w:p w14:paraId="7FE21FB4">
      <w:pPr>
        <w:spacing w:after="40" w:line="276" w:lineRule="auto"/>
        <w:rPr>
          <w:b w:val="0"/>
          <w:bCs w:val="0"/>
          <w:color w:val="auto"/>
        </w:rPr>
      </w:pPr>
      <w:r>
        <w:rPr>
          <w:rFonts w:ascii="Calibri" w:hAnsi="Calibri" w:eastAsia="Noto Sans CJK SC"/>
          <w:b w:val="0"/>
          <w:bCs w:val="0"/>
          <w:color w:val="auto"/>
          <w:sz w:val="21"/>
        </w:rPr>
        <w:t>10. 风险清单与规避措施</w:t>
      </w:r>
    </w:p>
    <w:p w14:paraId="4F18101B">
      <w:pPr>
        <w:spacing w:after="40" w:line="276" w:lineRule="auto"/>
        <w:rPr>
          <w:b w:val="0"/>
          <w:bCs w:val="0"/>
          <w:color w:val="auto"/>
        </w:rPr>
      </w:pPr>
      <w:r>
        <w:rPr>
          <w:rFonts w:ascii="Calibri" w:hAnsi="Calibri" w:eastAsia="Noto Sans CJK SC"/>
          <w:b w:val="0"/>
          <w:bCs w:val="0"/>
          <w:color w:val="auto"/>
          <w:sz w:val="21"/>
        </w:rPr>
        <w:t>11. 最终交付物 Checklist</w:t>
      </w:r>
    </w:p>
    <w:p w14:paraId="3E669F5F">
      <w:pPr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br w:type="page"/>
      </w:r>
    </w:p>
    <w:p w14:paraId="3A3BFE6E">
      <w:pPr>
        <w:pStyle w:val="3"/>
        <w:rPr>
          <w:b w:val="0"/>
          <w:bCs w:val="0"/>
          <w:color w:val="auto"/>
        </w:rPr>
      </w:pPr>
      <w:r>
        <w:rPr>
          <w:rFonts w:ascii="Calibri" w:hAnsi="Calibri" w:eastAsia="Noto Sans CJK SC"/>
          <w:b w:val="0"/>
          <w:bCs w:val="0"/>
          <w:color w:val="auto"/>
          <w:sz w:val="32"/>
        </w:rPr>
        <w:t>1. 赛题目标与评分牵引</w:t>
      </w:r>
    </w:p>
    <w:p w14:paraId="5FD363B1">
      <w:pPr>
        <w:spacing w:after="120" w:line="276" w:lineRule="auto"/>
        <w:ind w:firstLine="420"/>
        <w:rPr>
          <w:b w:val="0"/>
          <w:bCs w:val="0"/>
          <w:color w:val="auto"/>
        </w:rPr>
      </w:pPr>
      <w:r>
        <w:rPr>
          <w:rFonts w:ascii="Calibri" w:hAnsi="Calibri" w:eastAsia="Noto Sans CJK SC"/>
          <w:b w:val="0"/>
          <w:bCs w:val="0"/>
          <w:color w:val="auto"/>
          <w:sz w:val="21"/>
        </w:rPr>
        <w:t>赛题本质不是单点电磁场测试，而是要求构建一套“空域测量—场域重建—特征识别—结果验证”的完整技术链。应围绕客观评分项组织方案，而不是只停留在测试系统概念设计。</w:t>
      </w:r>
    </w:p>
    <w:tbl>
      <w:tblPr>
        <w:tblStyle w:val="33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6"/>
        <w:gridCol w:w="3286"/>
        <w:gridCol w:w="3286"/>
      </w:tblGrid>
      <w:tr w14:paraId="04795C2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286" w:type="dxa"/>
            <w:shd w:val="clear" w:color="auto" w:fill="1F4E79"/>
            <w:vAlign w:val="center"/>
          </w:tcPr>
          <w:p w14:paraId="405272D2">
            <w:pPr>
              <w:spacing w:after="0" w:line="240" w:lineRule="auto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7"/>
              </w:rPr>
              <w:t>维度</w:t>
            </w:r>
          </w:p>
        </w:tc>
        <w:tc>
          <w:tcPr>
            <w:tcW w:w="3286" w:type="dxa"/>
            <w:shd w:val="clear" w:color="auto" w:fill="1F4E79"/>
            <w:vAlign w:val="center"/>
          </w:tcPr>
          <w:p w14:paraId="7C23A875">
            <w:pPr>
              <w:spacing w:after="0" w:line="240" w:lineRule="auto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7"/>
              </w:rPr>
              <w:t>赛题要求</w:t>
            </w:r>
          </w:p>
        </w:tc>
        <w:tc>
          <w:tcPr>
            <w:tcW w:w="3286" w:type="dxa"/>
            <w:shd w:val="clear" w:color="auto" w:fill="1F4E79"/>
            <w:vAlign w:val="center"/>
          </w:tcPr>
          <w:p w14:paraId="4080F628">
            <w:pPr>
              <w:spacing w:after="0" w:line="240" w:lineRule="auto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7"/>
              </w:rPr>
              <w:t>方案应体现的能力</w:t>
            </w:r>
          </w:p>
        </w:tc>
      </w:tr>
      <w:tr w14:paraId="4948224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6" w:type="dxa"/>
            <w:vAlign w:val="center"/>
          </w:tcPr>
          <w:p w14:paraId="7A73828B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7"/>
              </w:rPr>
              <w:t>测量覆盖</w:t>
            </w:r>
          </w:p>
        </w:tc>
        <w:tc>
          <w:tcPr>
            <w:tcW w:w="3286" w:type="dxa"/>
            <w:vAlign w:val="center"/>
          </w:tcPr>
          <w:p w14:paraId="793997B1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7"/>
              </w:rPr>
              <w:t>多角度、多极化、宽频段，高效采集；覆盖 2π 半柱面或半球面空间；容纳不小于 12 m × 10 m × 8 m 的被测对象</w:t>
            </w:r>
          </w:p>
        </w:tc>
        <w:tc>
          <w:tcPr>
            <w:tcW w:w="3286" w:type="dxa"/>
            <w:vAlign w:val="center"/>
          </w:tcPr>
          <w:p w14:paraId="66B16555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7"/>
              </w:rPr>
              <w:t>给出传感器坐标、极化方向、空间覆盖示意、采样密度设计依据</w:t>
            </w:r>
          </w:p>
        </w:tc>
      </w:tr>
      <w:tr w14:paraId="5182095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6" w:type="dxa"/>
            <w:shd w:val="clear" w:color="auto" w:fill="F2F2F2"/>
            <w:vAlign w:val="center"/>
          </w:tcPr>
          <w:p w14:paraId="2F57EA55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7"/>
              </w:rPr>
              <w:t>三维重建</w:t>
            </w:r>
          </w:p>
        </w:tc>
        <w:tc>
          <w:tcPr>
            <w:tcW w:w="3286" w:type="dxa"/>
            <w:shd w:val="clear" w:color="auto" w:fill="F2F2F2"/>
            <w:vAlign w:val="center"/>
          </w:tcPr>
          <w:p w14:paraId="7A265D86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7"/>
              </w:rPr>
              <w:t>基于电磁传播与等效原理，支撑远区辐射分布有效推算；精度高且测点少</w:t>
            </w:r>
          </w:p>
        </w:tc>
        <w:tc>
          <w:tcPr>
            <w:tcW w:w="3286" w:type="dxa"/>
            <w:shd w:val="clear" w:color="auto" w:fill="F2F2F2"/>
            <w:vAlign w:val="center"/>
          </w:tcPr>
          <w:p w14:paraId="6BDF32C0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7"/>
              </w:rPr>
              <w:t>建立近场—远场传播模型、等效源反演、正则化/稀疏重建、误差指标</w:t>
            </w:r>
          </w:p>
        </w:tc>
      </w:tr>
      <w:tr w14:paraId="51B11A5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6" w:type="dxa"/>
            <w:vAlign w:val="center"/>
          </w:tcPr>
          <w:p w14:paraId="30A4B48A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7"/>
              </w:rPr>
              <w:t>特征辨识</w:t>
            </w:r>
          </w:p>
        </w:tc>
        <w:tc>
          <w:tcPr>
            <w:tcW w:w="3286" w:type="dxa"/>
            <w:vAlign w:val="center"/>
          </w:tcPr>
          <w:p w14:paraId="1C0A78D4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7"/>
              </w:rPr>
              <w:t>提取空间-频谱辐射特征；不同载体及运行状态识别；精度不低于 85%</w:t>
            </w:r>
          </w:p>
        </w:tc>
        <w:tc>
          <w:tcPr>
            <w:tcW w:w="3286" w:type="dxa"/>
            <w:vAlign w:val="center"/>
          </w:tcPr>
          <w:p w14:paraId="4E516D35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7"/>
              </w:rPr>
              <w:t>构造数据集、提取空频极化联合特征、训练分类器、给出混淆矩阵</w:t>
            </w:r>
          </w:p>
        </w:tc>
      </w:tr>
      <w:tr w14:paraId="7F7197A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6" w:type="dxa"/>
            <w:shd w:val="clear" w:color="auto" w:fill="F2F2F2"/>
            <w:vAlign w:val="center"/>
          </w:tcPr>
          <w:p w14:paraId="346D95D0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7"/>
              </w:rPr>
              <w:t>提交材料</w:t>
            </w:r>
          </w:p>
        </w:tc>
        <w:tc>
          <w:tcPr>
            <w:tcW w:w="3286" w:type="dxa"/>
            <w:shd w:val="clear" w:color="auto" w:fill="F2F2F2"/>
            <w:vAlign w:val="center"/>
          </w:tcPr>
          <w:p w14:paraId="04252550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7"/>
              </w:rPr>
              <w:t>方案报告、PPT、视频/录屏、测试用例程序代码等</w:t>
            </w:r>
          </w:p>
        </w:tc>
        <w:tc>
          <w:tcPr>
            <w:tcW w:w="3286" w:type="dxa"/>
            <w:shd w:val="clear" w:color="auto" w:fill="F2F2F2"/>
            <w:vAlign w:val="center"/>
          </w:tcPr>
          <w:p w14:paraId="77B0C4B0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7"/>
              </w:rPr>
              <w:t>形成可复现代码、清晰图表、演示视频和答辩材料</w:t>
            </w:r>
          </w:p>
        </w:tc>
      </w:tr>
    </w:tbl>
    <w:p w14:paraId="79C76F97">
      <w:pPr>
        <w:spacing w:after="80"/>
        <w:rPr>
          <w:b w:val="0"/>
          <w:bCs w:val="0"/>
          <w:color w:val="auto"/>
        </w:rPr>
      </w:pPr>
    </w:p>
    <w:tbl>
      <w:tblPr>
        <w:tblStyle w:val="32"/>
        <w:tblW w:w="0" w:type="auto"/>
        <w:jc w:val="center"/>
        <w:tblBorders>
          <w:top w:val="single" w:color="9ECAE1" w:sz="4" w:space="0"/>
          <w:left w:val="single" w:color="9ECAE1" w:sz="4" w:space="0"/>
          <w:bottom w:val="single" w:color="9ECAE1" w:sz="4" w:space="0"/>
          <w:right w:val="single" w:color="9ECAE1" w:sz="4" w:space="0"/>
          <w:insideH w:val="single" w:color="9ECAE1" w:sz="4" w:space="0"/>
          <w:insideV w:val="single" w:color="9ECAE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78F17E35">
        <w:tblPrEx>
          <w:tblBorders>
            <w:top w:val="single" w:color="9ECAE1" w:sz="4" w:space="0"/>
            <w:left w:val="single" w:color="9ECAE1" w:sz="4" w:space="0"/>
            <w:bottom w:val="single" w:color="9ECAE1" w:sz="4" w:space="0"/>
            <w:right w:val="single" w:color="9ECAE1" w:sz="4" w:space="0"/>
            <w:insideH w:val="single" w:color="9ECAE1" w:sz="4" w:space="0"/>
            <w:insideV w:val="single" w:color="9ECA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58" w:type="dxa"/>
            <w:shd w:val="clear" w:color="auto" w:fill="FFF2CC"/>
          </w:tcPr>
          <w:p w14:paraId="73F4D09D">
            <w:pPr>
              <w:spacing w:after="60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21"/>
              </w:rPr>
              <w:t>拿分导向</w:t>
            </w:r>
          </w:p>
          <w:p w14:paraId="18D4D230">
            <w:pPr>
              <w:spacing w:line="276" w:lineRule="auto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9"/>
              </w:rPr>
              <w:t>优先把“远场重建精度 + 测点数量减少”作为主攻方向，因为这是客观评分中权重最高、最能拉开差距的部分；识别准确率要尽早用可控数据集做出 ≥85% 的基线结果。</w:t>
            </w:r>
          </w:p>
        </w:tc>
      </w:tr>
    </w:tbl>
    <w:p w14:paraId="63A602FD">
      <w:pPr>
        <w:spacing w:after="60"/>
        <w:rPr>
          <w:b w:val="0"/>
          <w:bCs w:val="0"/>
          <w:color w:val="auto"/>
        </w:rPr>
      </w:pPr>
    </w:p>
    <w:p w14:paraId="1167B860">
      <w:pPr>
        <w:pStyle w:val="3"/>
        <w:rPr>
          <w:b w:val="0"/>
          <w:bCs w:val="0"/>
          <w:color w:val="auto"/>
        </w:rPr>
      </w:pPr>
      <w:r>
        <w:rPr>
          <w:rFonts w:ascii="Calibri" w:hAnsi="Calibri" w:eastAsia="Noto Sans CJK SC"/>
          <w:b w:val="0"/>
          <w:bCs w:val="0"/>
          <w:color w:val="auto"/>
          <w:sz w:val="32"/>
        </w:rPr>
        <w:t>2. 总体 Workflow 总览</w:t>
      </w:r>
      <w:bookmarkStart w:id="0" w:name="_GoBack"/>
      <w:bookmarkEnd w:id="0"/>
    </w:p>
    <w:p w14:paraId="60D4085B">
      <w:pPr>
        <w:spacing w:after="120" w:line="276" w:lineRule="auto"/>
        <w:ind w:firstLine="420"/>
        <w:rPr>
          <w:b w:val="0"/>
          <w:bCs w:val="0"/>
          <w:color w:val="auto"/>
        </w:rPr>
      </w:pPr>
      <w:r>
        <w:rPr>
          <w:rFonts w:ascii="Calibri" w:hAnsi="Calibri" w:eastAsia="Noto Sans CJK SC"/>
          <w:b w:val="0"/>
          <w:bCs w:val="0"/>
          <w:color w:val="auto"/>
          <w:sz w:val="21"/>
        </w:rPr>
        <w:t>建议采用由简到繁的闭环流程：先用标准源验证算法，再扩展到多源组合，最后加入简化航空载体结构和不同工作状态。整体流程如下。</w:t>
      </w:r>
    </w:p>
    <w:tbl>
      <w:tblPr>
        <w:tblStyle w:val="33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4"/>
        <w:gridCol w:w="2464"/>
        <w:gridCol w:w="2464"/>
        <w:gridCol w:w="2464"/>
      </w:tblGrid>
      <w:tr w14:paraId="07014BF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464" w:type="dxa"/>
            <w:shd w:val="clear" w:color="auto" w:fill="1F4E79"/>
            <w:vAlign w:val="center"/>
          </w:tcPr>
          <w:p w14:paraId="5E792705">
            <w:pPr>
              <w:spacing w:after="0" w:line="240" w:lineRule="auto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步骤</w:t>
            </w:r>
          </w:p>
        </w:tc>
        <w:tc>
          <w:tcPr>
            <w:tcW w:w="2464" w:type="dxa"/>
            <w:shd w:val="clear" w:color="auto" w:fill="1F4E79"/>
            <w:vAlign w:val="center"/>
          </w:tcPr>
          <w:p w14:paraId="3B973CF6">
            <w:pPr>
              <w:spacing w:after="0" w:line="240" w:lineRule="auto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输入</w:t>
            </w:r>
          </w:p>
        </w:tc>
        <w:tc>
          <w:tcPr>
            <w:tcW w:w="2464" w:type="dxa"/>
            <w:shd w:val="clear" w:color="auto" w:fill="1F4E79"/>
            <w:vAlign w:val="center"/>
          </w:tcPr>
          <w:p w14:paraId="43BA252C">
            <w:pPr>
              <w:spacing w:after="0" w:line="240" w:lineRule="auto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处理</w:t>
            </w:r>
          </w:p>
        </w:tc>
        <w:tc>
          <w:tcPr>
            <w:tcW w:w="2464" w:type="dxa"/>
            <w:shd w:val="clear" w:color="auto" w:fill="1F4E79"/>
            <w:vAlign w:val="center"/>
          </w:tcPr>
          <w:p w14:paraId="01E6140D">
            <w:pPr>
              <w:spacing w:after="0" w:line="240" w:lineRule="auto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输出</w:t>
            </w:r>
          </w:p>
        </w:tc>
      </w:tr>
      <w:tr w14:paraId="589E73A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  <w:vAlign w:val="center"/>
          </w:tcPr>
          <w:p w14:paraId="5E1853A4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1. 需求拆解</w:t>
            </w:r>
          </w:p>
        </w:tc>
        <w:tc>
          <w:tcPr>
            <w:tcW w:w="2464" w:type="dxa"/>
            <w:vAlign w:val="center"/>
          </w:tcPr>
          <w:p w14:paraId="0C938202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赛题文件、评分标准</w:t>
            </w:r>
          </w:p>
        </w:tc>
        <w:tc>
          <w:tcPr>
            <w:tcW w:w="2464" w:type="dxa"/>
            <w:vAlign w:val="center"/>
          </w:tcPr>
          <w:p w14:paraId="456F8E9F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提取硬性指标和高分项</w:t>
            </w:r>
          </w:p>
        </w:tc>
        <w:tc>
          <w:tcPr>
            <w:tcW w:w="2464" w:type="dxa"/>
            <w:vAlign w:val="center"/>
          </w:tcPr>
          <w:p w14:paraId="78C19471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需求矩阵、评分牵引表</w:t>
            </w:r>
          </w:p>
        </w:tc>
      </w:tr>
      <w:tr w14:paraId="04CD234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  <w:shd w:val="clear" w:color="auto" w:fill="F2F2F2"/>
            <w:vAlign w:val="center"/>
          </w:tcPr>
          <w:p w14:paraId="71B83501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2. 文献调研</w:t>
            </w:r>
          </w:p>
        </w:tc>
        <w:tc>
          <w:tcPr>
            <w:tcW w:w="2464" w:type="dxa"/>
            <w:shd w:val="clear" w:color="auto" w:fill="F2F2F2"/>
            <w:vAlign w:val="center"/>
          </w:tcPr>
          <w:p w14:paraId="320A5478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近场测量、等效源、压缩感知、辐射指纹文献</w:t>
            </w:r>
          </w:p>
        </w:tc>
        <w:tc>
          <w:tcPr>
            <w:tcW w:w="2464" w:type="dxa"/>
            <w:shd w:val="clear" w:color="auto" w:fill="F2F2F2"/>
            <w:vAlign w:val="center"/>
          </w:tcPr>
          <w:p w14:paraId="5DAA7C20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比较国内外路线</w:t>
            </w:r>
          </w:p>
        </w:tc>
        <w:tc>
          <w:tcPr>
            <w:tcW w:w="2464" w:type="dxa"/>
            <w:shd w:val="clear" w:color="auto" w:fill="F2F2F2"/>
            <w:vAlign w:val="center"/>
          </w:tcPr>
          <w:p w14:paraId="7DE62F6B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调研章节、创新点</w:t>
            </w:r>
          </w:p>
        </w:tc>
      </w:tr>
      <w:tr w14:paraId="21C2EAF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  <w:vAlign w:val="center"/>
          </w:tcPr>
          <w:p w14:paraId="69705CD7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3. 工具链搭建</w:t>
            </w:r>
          </w:p>
        </w:tc>
        <w:tc>
          <w:tcPr>
            <w:tcW w:w="2464" w:type="dxa"/>
            <w:vAlign w:val="center"/>
          </w:tcPr>
          <w:p w14:paraId="46F3E897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CST/FEKO/COMSOL、Python/MATLAB、Git</w:t>
            </w:r>
          </w:p>
        </w:tc>
        <w:tc>
          <w:tcPr>
            <w:tcW w:w="2464" w:type="dxa"/>
            <w:vAlign w:val="center"/>
          </w:tcPr>
          <w:p w14:paraId="5CDA2F96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确定数据格式和接口</w:t>
            </w:r>
          </w:p>
        </w:tc>
        <w:tc>
          <w:tcPr>
            <w:tcW w:w="2464" w:type="dxa"/>
            <w:vAlign w:val="center"/>
          </w:tcPr>
          <w:p w14:paraId="32D93E20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可复现实验环境</w:t>
            </w:r>
          </w:p>
        </w:tc>
      </w:tr>
      <w:tr w14:paraId="0E5B335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  <w:shd w:val="clear" w:color="auto" w:fill="F2F2F2"/>
            <w:vAlign w:val="center"/>
          </w:tcPr>
          <w:p w14:paraId="4A6D08FD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4. 电磁仿真</w:t>
            </w:r>
          </w:p>
        </w:tc>
        <w:tc>
          <w:tcPr>
            <w:tcW w:w="2464" w:type="dxa"/>
            <w:shd w:val="clear" w:color="auto" w:fill="F2F2F2"/>
            <w:vAlign w:val="center"/>
          </w:tcPr>
          <w:p w14:paraId="74FED565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标准源、多源、简化载体模型</w:t>
            </w:r>
          </w:p>
        </w:tc>
        <w:tc>
          <w:tcPr>
            <w:tcW w:w="2464" w:type="dxa"/>
            <w:shd w:val="clear" w:color="auto" w:fill="F2F2F2"/>
            <w:vAlign w:val="center"/>
          </w:tcPr>
          <w:p w14:paraId="4EC8CF24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扫频、采样、远场计算</w:t>
            </w:r>
          </w:p>
        </w:tc>
        <w:tc>
          <w:tcPr>
            <w:tcW w:w="2464" w:type="dxa"/>
            <w:shd w:val="clear" w:color="auto" w:fill="F2F2F2"/>
            <w:vAlign w:val="center"/>
          </w:tcPr>
          <w:p w14:paraId="6720A551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近场数据、远场真值</w:t>
            </w:r>
          </w:p>
        </w:tc>
      </w:tr>
      <w:tr w14:paraId="25A4D30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  <w:vAlign w:val="center"/>
          </w:tcPr>
          <w:p w14:paraId="58285DE7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5. 近远场重建</w:t>
            </w:r>
          </w:p>
        </w:tc>
        <w:tc>
          <w:tcPr>
            <w:tcW w:w="2464" w:type="dxa"/>
            <w:vAlign w:val="center"/>
          </w:tcPr>
          <w:p w14:paraId="69671D6C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近场采样数据</w:t>
            </w:r>
          </w:p>
        </w:tc>
        <w:tc>
          <w:tcPr>
            <w:tcW w:w="2464" w:type="dxa"/>
            <w:vAlign w:val="center"/>
          </w:tcPr>
          <w:p w14:paraId="071FDBDF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等效源/球面波/正则化反演</w:t>
            </w:r>
          </w:p>
        </w:tc>
        <w:tc>
          <w:tcPr>
            <w:tcW w:w="2464" w:type="dxa"/>
            <w:vAlign w:val="center"/>
          </w:tcPr>
          <w:p w14:paraId="6D3151B9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重建远场、误差指标</w:t>
            </w:r>
          </w:p>
        </w:tc>
      </w:tr>
      <w:tr w14:paraId="01D2163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  <w:shd w:val="clear" w:color="auto" w:fill="F2F2F2"/>
            <w:vAlign w:val="center"/>
          </w:tcPr>
          <w:p w14:paraId="19E0A5D6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6. 测点优化</w:t>
            </w:r>
          </w:p>
        </w:tc>
        <w:tc>
          <w:tcPr>
            <w:tcW w:w="2464" w:type="dxa"/>
            <w:shd w:val="clear" w:color="auto" w:fill="F2F2F2"/>
            <w:vAlign w:val="center"/>
          </w:tcPr>
          <w:p w14:paraId="4D2B0F2A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完整测点集、重建算法</w:t>
            </w:r>
          </w:p>
        </w:tc>
        <w:tc>
          <w:tcPr>
            <w:tcW w:w="2464" w:type="dxa"/>
            <w:shd w:val="clear" w:color="auto" w:fill="F2F2F2"/>
            <w:vAlign w:val="center"/>
          </w:tcPr>
          <w:p w14:paraId="487C5684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抽样、稀疏优化、精度对比</w:t>
            </w:r>
          </w:p>
        </w:tc>
        <w:tc>
          <w:tcPr>
            <w:tcW w:w="2464" w:type="dxa"/>
            <w:shd w:val="clear" w:color="auto" w:fill="F2F2F2"/>
            <w:vAlign w:val="center"/>
          </w:tcPr>
          <w:p w14:paraId="6E29A8E8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最优测点数量与布局</w:t>
            </w:r>
          </w:p>
        </w:tc>
      </w:tr>
      <w:tr w14:paraId="41F487D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  <w:vAlign w:val="center"/>
          </w:tcPr>
          <w:p w14:paraId="0A0355DD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7. 特征识别</w:t>
            </w:r>
          </w:p>
        </w:tc>
        <w:tc>
          <w:tcPr>
            <w:tcW w:w="2464" w:type="dxa"/>
            <w:vAlign w:val="center"/>
          </w:tcPr>
          <w:p w14:paraId="759ACB34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空间-频率-极化数据块</w:t>
            </w:r>
          </w:p>
        </w:tc>
        <w:tc>
          <w:tcPr>
            <w:tcW w:w="2464" w:type="dxa"/>
            <w:vAlign w:val="center"/>
          </w:tcPr>
          <w:p w14:paraId="17A93E35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特征工程、分类模型训练</w:t>
            </w:r>
          </w:p>
        </w:tc>
        <w:tc>
          <w:tcPr>
            <w:tcW w:w="2464" w:type="dxa"/>
            <w:vAlign w:val="center"/>
          </w:tcPr>
          <w:p w14:paraId="17E0E6EC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识别准确率、混淆矩阵</w:t>
            </w:r>
          </w:p>
        </w:tc>
      </w:tr>
      <w:tr w14:paraId="537CB05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  <w:shd w:val="clear" w:color="auto" w:fill="F2F2F2"/>
            <w:vAlign w:val="center"/>
          </w:tcPr>
          <w:p w14:paraId="08E9A02A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8. 成果包装</w:t>
            </w:r>
          </w:p>
        </w:tc>
        <w:tc>
          <w:tcPr>
            <w:tcW w:w="2464" w:type="dxa"/>
            <w:shd w:val="clear" w:color="auto" w:fill="F2F2F2"/>
            <w:vAlign w:val="center"/>
          </w:tcPr>
          <w:p w14:paraId="734AFAC1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图表、代码、实验结论</w:t>
            </w:r>
          </w:p>
        </w:tc>
        <w:tc>
          <w:tcPr>
            <w:tcW w:w="2464" w:type="dxa"/>
            <w:shd w:val="clear" w:color="auto" w:fill="F2F2F2"/>
            <w:vAlign w:val="center"/>
          </w:tcPr>
          <w:p w14:paraId="6BE6439B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报告、PPT、视频制作</w:t>
            </w:r>
          </w:p>
        </w:tc>
        <w:tc>
          <w:tcPr>
            <w:tcW w:w="2464" w:type="dxa"/>
            <w:shd w:val="clear" w:color="auto" w:fill="F2F2F2"/>
            <w:vAlign w:val="center"/>
          </w:tcPr>
          <w:p w14:paraId="1FE681F3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提交压缩包和答辩材料</w:t>
            </w:r>
          </w:p>
        </w:tc>
      </w:tr>
    </w:tbl>
    <w:p w14:paraId="0415CC31">
      <w:pPr>
        <w:spacing w:after="80"/>
        <w:rPr>
          <w:b w:val="0"/>
          <w:bCs w:val="0"/>
          <w:color w:val="auto"/>
        </w:rPr>
      </w:pPr>
    </w:p>
    <w:p w14:paraId="3925C4FD">
      <w:pPr>
        <w:spacing w:after="120" w:line="276" w:lineRule="auto"/>
        <w:ind w:firstLine="420"/>
        <w:rPr>
          <w:b w:val="0"/>
          <w:bCs w:val="0"/>
          <w:color w:val="auto"/>
        </w:rPr>
      </w:pPr>
      <w:r>
        <w:rPr>
          <w:rFonts w:ascii="Calibri" w:hAnsi="Calibri" w:eastAsia="Noto Sans CJK SC"/>
          <w:b w:val="0"/>
          <w:bCs w:val="0"/>
          <w:color w:val="auto"/>
          <w:sz w:val="21"/>
        </w:rPr>
        <w:t>推荐主流程：CST 生成“近场测量数据 + 远场参考真值”，Python/MATLAB 完成“自研重建算法”，再用 scikit-learn/PyTorch 完成“空间-频谱识别”。</w:t>
      </w:r>
    </w:p>
    <w:p w14:paraId="6EAEC9B5">
      <w:pPr>
        <w:pStyle w:val="3"/>
        <w:rPr>
          <w:b w:val="0"/>
          <w:bCs w:val="0"/>
          <w:color w:val="auto"/>
        </w:rPr>
      </w:pPr>
      <w:r>
        <w:rPr>
          <w:rFonts w:ascii="Calibri" w:hAnsi="Calibri" w:eastAsia="Noto Sans CJK SC"/>
          <w:b w:val="0"/>
          <w:bCs w:val="0"/>
          <w:color w:val="auto"/>
          <w:sz w:val="32"/>
        </w:rPr>
        <w:t>3. 推荐工具链与职责边界</w:t>
      </w:r>
    </w:p>
    <w:tbl>
      <w:tblPr>
        <w:tblStyle w:val="33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4"/>
        <w:gridCol w:w="2464"/>
        <w:gridCol w:w="2464"/>
        <w:gridCol w:w="2464"/>
      </w:tblGrid>
      <w:tr w14:paraId="7989432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464" w:type="dxa"/>
            <w:shd w:val="clear" w:color="auto" w:fill="1F4E79"/>
            <w:vAlign w:val="center"/>
          </w:tcPr>
          <w:p w14:paraId="01BD38D3">
            <w:pPr>
              <w:spacing w:after="0" w:line="240" w:lineRule="auto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5"/>
              </w:rPr>
              <w:t>工具/平台</w:t>
            </w:r>
          </w:p>
        </w:tc>
        <w:tc>
          <w:tcPr>
            <w:tcW w:w="2464" w:type="dxa"/>
            <w:shd w:val="clear" w:color="auto" w:fill="1F4E79"/>
            <w:vAlign w:val="center"/>
          </w:tcPr>
          <w:p w14:paraId="0270D4BD">
            <w:pPr>
              <w:spacing w:after="0" w:line="240" w:lineRule="auto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5"/>
              </w:rPr>
              <w:t>推荐程度</w:t>
            </w:r>
          </w:p>
        </w:tc>
        <w:tc>
          <w:tcPr>
            <w:tcW w:w="2464" w:type="dxa"/>
            <w:shd w:val="clear" w:color="auto" w:fill="1F4E79"/>
            <w:vAlign w:val="center"/>
          </w:tcPr>
          <w:p w14:paraId="78BD2CF7">
            <w:pPr>
              <w:spacing w:after="0" w:line="240" w:lineRule="auto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5"/>
              </w:rPr>
              <w:t>负责的任务</w:t>
            </w:r>
          </w:p>
        </w:tc>
        <w:tc>
          <w:tcPr>
            <w:tcW w:w="2464" w:type="dxa"/>
            <w:shd w:val="clear" w:color="auto" w:fill="1F4E79"/>
            <w:vAlign w:val="center"/>
          </w:tcPr>
          <w:p w14:paraId="4A1665D0">
            <w:pPr>
              <w:spacing w:after="0" w:line="240" w:lineRule="auto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5"/>
              </w:rPr>
              <w:t>在本赛题中的作用</w:t>
            </w:r>
          </w:p>
        </w:tc>
      </w:tr>
      <w:tr w14:paraId="339DFA7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  <w:vAlign w:val="center"/>
          </w:tcPr>
          <w:p w14:paraId="397609FF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5"/>
              </w:rPr>
              <w:t>CST Studio Suite</w:t>
            </w:r>
          </w:p>
        </w:tc>
        <w:tc>
          <w:tcPr>
            <w:tcW w:w="2464" w:type="dxa"/>
            <w:vAlign w:val="center"/>
          </w:tcPr>
          <w:p w14:paraId="114BF4EA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5"/>
              </w:rPr>
              <w:t>主力首选</w:t>
            </w:r>
          </w:p>
        </w:tc>
        <w:tc>
          <w:tcPr>
            <w:tcW w:w="2464" w:type="dxa"/>
            <w:vAlign w:val="center"/>
          </w:tcPr>
          <w:p w14:paraId="0117C159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5"/>
              </w:rPr>
              <w:t>标准源、多源、简化载体电磁仿真；导出近场/远场；方向图可视化</w:t>
            </w:r>
          </w:p>
        </w:tc>
        <w:tc>
          <w:tcPr>
            <w:tcW w:w="2464" w:type="dxa"/>
            <w:vAlign w:val="center"/>
          </w:tcPr>
          <w:p w14:paraId="13A992AD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5"/>
              </w:rPr>
              <w:t>适合学生团队建立完整仿真闭环，兼顾宽带、天线、近远场和展示效果</w:t>
            </w:r>
          </w:p>
        </w:tc>
      </w:tr>
      <w:tr w14:paraId="1F2BC99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  <w:shd w:val="clear" w:color="auto" w:fill="F2F2F2"/>
            <w:vAlign w:val="center"/>
          </w:tcPr>
          <w:p w14:paraId="3E11CF53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5"/>
              </w:rPr>
              <w:t>FEKO</w:t>
            </w:r>
          </w:p>
        </w:tc>
        <w:tc>
          <w:tcPr>
            <w:tcW w:w="2464" w:type="dxa"/>
            <w:shd w:val="clear" w:color="auto" w:fill="F2F2F2"/>
            <w:vAlign w:val="center"/>
          </w:tcPr>
          <w:p w14:paraId="472F0B22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5"/>
              </w:rPr>
              <w:t>强补充</w:t>
            </w:r>
          </w:p>
        </w:tc>
        <w:tc>
          <w:tcPr>
            <w:tcW w:w="2464" w:type="dxa"/>
            <w:shd w:val="clear" w:color="auto" w:fill="F2F2F2"/>
            <w:vAlign w:val="center"/>
          </w:tcPr>
          <w:p w14:paraId="3A9E00AC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5"/>
              </w:rPr>
              <w:t>大尺寸平台、机载天线安装效应、平台耦合验证</w:t>
            </w:r>
          </w:p>
        </w:tc>
        <w:tc>
          <w:tcPr>
            <w:tcW w:w="2464" w:type="dxa"/>
            <w:shd w:val="clear" w:color="auto" w:fill="F2F2F2"/>
            <w:vAlign w:val="center"/>
          </w:tcPr>
          <w:p w14:paraId="3A186E4D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5"/>
              </w:rPr>
              <w:t>若学校有授权，可增强“复杂航空载体”工程可信度</w:t>
            </w:r>
          </w:p>
        </w:tc>
      </w:tr>
      <w:tr w14:paraId="4D715CA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  <w:vAlign w:val="center"/>
          </w:tcPr>
          <w:p w14:paraId="6599592D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5"/>
              </w:rPr>
              <w:t>COMSOL RF Module</w:t>
            </w:r>
          </w:p>
        </w:tc>
        <w:tc>
          <w:tcPr>
            <w:tcW w:w="2464" w:type="dxa"/>
            <w:vAlign w:val="center"/>
          </w:tcPr>
          <w:p w14:paraId="3ACEF2AB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5"/>
              </w:rPr>
              <w:t>可用补充</w:t>
            </w:r>
          </w:p>
        </w:tc>
        <w:tc>
          <w:tcPr>
            <w:tcW w:w="2464" w:type="dxa"/>
            <w:vAlign w:val="center"/>
          </w:tcPr>
          <w:p w14:paraId="6B3EF161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5"/>
              </w:rPr>
              <w:t>标准源、局部结构、多物理场耦合、简化模型验证</w:t>
            </w:r>
          </w:p>
        </w:tc>
        <w:tc>
          <w:tcPr>
            <w:tcW w:w="2464" w:type="dxa"/>
            <w:vAlign w:val="center"/>
          </w:tcPr>
          <w:p w14:paraId="2E9E4B66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5"/>
              </w:rPr>
              <w:t>适合生成验证数据，但不建议作为唯一主力平台</w:t>
            </w:r>
          </w:p>
        </w:tc>
      </w:tr>
      <w:tr w14:paraId="56B28F2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  <w:shd w:val="clear" w:color="auto" w:fill="F2F2F2"/>
            <w:vAlign w:val="center"/>
          </w:tcPr>
          <w:p w14:paraId="1E2AD4D6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5"/>
              </w:rPr>
              <w:t>Python</w:t>
            </w:r>
          </w:p>
        </w:tc>
        <w:tc>
          <w:tcPr>
            <w:tcW w:w="2464" w:type="dxa"/>
            <w:shd w:val="clear" w:color="auto" w:fill="F2F2F2"/>
            <w:vAlign w:val="center"/>
          </w:tcPr>
          <w:p w14:paraId="1B55E601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5"/>
              </w:rPr>
              <w:t>核心必备</w:t>
            </w:r>
          </w:p>
        </w:tc>
        <w:tc>
          <w:tcPr>
            <w:tcW w:w="2464" w:type="dxa"/>
            <w:shd w:val="clear" w:color="auto" w:fill="F2F2F2"/>
            <w:vAlign w:val="center"/>
          </w:tcPr>
          <w:p w14:paraId="4FBD5334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5"/>
              </w:rPr>
              <w:t>数据处理、传播矩阵、反演求解、误差评估、机器学习</w:t>
            </w:r>
          </w:p>
        </w:tc>
        <w:tc>
          <w:tcPr>
            <w:tcW w:w="2464" w:type="dxa"/>
            <w:shd w:val="clear" w:color="auto" w:fill="F2F2F2"/>
            <w:vAlign w:val="center"/>
          </w:tcPr>
          <w:p w14:paraId="5AD1ED74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5"/>
              </w:rPr>
              <w:t>项目算法中枢，可形成可复现代码</w:t>
            </w:r>
          </w:p>
        </w:tc>
      </w:tr>
      <w:tr w14:paraId="14BE92F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  <w:vAlign w:val="center"/>
          </w:tcPr>
          <w:p w14:paraId="5DA6ED38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5"/>
              </w:rPr>
              <w:t>MATLAB</w:t>
            </w:r>
          </w:p>
        </w:tc>
        <w:tc>
          <w:tcPr>
            <w:tcW w:w="2464" w:type="dxa"/>
            <w:vAlign w:val="center"/>
          </w:tcPr>
          <w:p w14:paraId="1AF2391A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5"/>
              </w:rPr>
              <w:t>核心推荐</w:t>
            </w:r>
          </w:p>
        </w:tc>
        <w:tc>
          <w:tcPr>
            <w:tcW w:w="2464" w:type="dxa"/>
            <w:vAlign w:val="center"/>
          </w:tcPr>
          <w:p w14:paraId="31B01E1C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5"/>
              </w:rPr>
              <w:t>公式验证、矩阵计算、方向图绘制、信号处理</w:t>
            </w:r>
          </w:p>
        </w:tc>
        <w:tc>
          <w:tcPr>
            <w:tcW w:w="2464" w:type="dxa"/>
            <w:vAlign w:val="center"/>
          </w:tcPr>
          <w:p w14:paraId="02019917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5"/>
              </w:rPr>
              <w:t>适合快速验证近远场变换和生成高质量图表</w:t>
            </w:r>
          </w:p>
        </w:tc>
      </w:tr>
      <w:tr w14:paraId="5EC00A4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  <w:shd w:val="clear" w:color="auto" w:fill="F2F2F2"/>
            <w:vAlign w:val="center"/>
          </w:tcPr>
          <w:p w14:paraId="02179D4E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5"/>
              </w:rPr>
              <w:t>CVXPY / SciPy</w:t>
            </w:r>
          </w:p>
        </w:tc>
        <w:tc>
          <w:tcPr>
            <w:tcW w:w="2464" w:type="dxa"/>
            <w:shd w:val="clear" w:color="auto" w:fill="F2F2F2"/>
            <w:vAlign w:val="center"/>
          </w:tcPr>
          <w:p w14:paraId="68388B75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5"/>
              </w:rPr>
              <w:t>核心推荐</w:t>
            </w:r>
          </w:p>
        </w:tc>
        <w:tc>
          <w:tcPr>
            <w:tcW w:w="2464" w:type="dxa"/>
            <w:shd w:val="clear" w:color="auto" w:fill="F2F2F2"/>
            <w:vAlign w:val="center"/>
          </w:tcPr>
          <w:p w14:paraId="2C5DA335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5"/>
              </w:rPr>
              <w:t>Tikhonov、LASSO、压缩感知、测点优化</w:t>
            </w:r>
          </w:p>
        </w:tc>
        <w:tc>
          <w:tcPr>
            <w:tcW w:w="2464" w:type="dxa"/>
            <w:shd w:val="clear" w:color="auto" w:fill="F2F2F2"/>
            <w:vAlign w:val="center"/>
          </w:tcPr>
          <w:p w14:paraId="5EB6B497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5"/>
              </w:rPr>
              <w:t>支撑“少测点高精度重建”的技术亮点</w:t>
            </w:r>
          </w:p>
        </w:tc>
      </w:tr>
      <w:tr w14:paraId="15DBA37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  <w:vAlign w:val="center"/>
          </w:tcPr>
          <w:p w14:paraId="5D42076A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5"/>
              </w:rPr>
              <w:t>scikit-learn</w:t>
            </w:r>
          </w:p>
        </w:tc>
        <w:tc>
          <w:tcPr>
            <w:tcW w:w="2464" w:type="dxa"/>
            <w:vAlign w:val="center"/>
          </w:tcPr>
          <w:p w14:paraId="5A651BA9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5"/>
              </w:rPr>
              <w:t>核心推荐</w:t>
            </w:r>
          </w:p>
        </w:tc>
        <w:tc>
          <w:tcPr>
            <w:tcW w:w="2464" w:type="dxa"/>
            <w:vAlign w:val="center"/>
          </w:tcPr>
          <w:p w14:paraId="6F5A535C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5"/>
              </w:rPr>
              <w:t>SVM、随机森林、PCA、混淆矩阵</w:t>
            </w:r>
          </w:p>
        </w:tc>
        <w:tc>
          <w:tcPr>
            <w:tcW w:w="2464" w:type="dxa"/>
            <w:vAlign w:val="center"/>
          </w:tcPr>
          <w:p w14:paraId="40B5322D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5"/>
              </w:rPr>
              <w:t>快速实现 ≥85% 识别准确率基线</w:t>
            </w:r>
          </w:p>
        </w:tc>
      </w:tr>
      <w:tr w14:paraId="6ABCE2A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  <w:shd w:val="clear" w:color="auto" w:fill="F2F2F2"/>
            <w:vAlign w:val="center"/>
          </w:tcPr>
          <w:p w14:paraId="6719068F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5"/>
              </w:rPr>
              <w:t>PyTorch</w:t>
            </w:r>
          </w:p>
        </w:tc>
        <w:tc>
          <w:tcPr>
            <w:tcW w:w="2464" w:type="dxa"/>
            <w:shd w:val="clear" w:color="auto" w:fill="F2F2F2"/>
            <w:vAlign w:val="center"/>
          </w:tcPr>
          <w:p w14:paraId="05161477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5"/>
              </w:rPr>
              <w:t>加分项</w:t>
            </w:r>
          </w:p>
        </w:tc>
        <w:tc>
          <w:tcPr>
            <w:tcW w:w="2464" w:type="dxa"/>
            <w:shd w:val="clear" w:color="auto" w:fill="F2F2F2"/>
            <w:vAlign w:val="center"/>
          </w:tcPr>
          <w:p w14:paraId="578A469A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5"/>
              </w:rPr>
              <w:t>CNN/Autoencoder 等深度学习识别</w:t>
            </w:r>
          </w:p>
        </w:tc>
        <w:tc>
          <w:tcPr>
            <w:tcW w:w="2464" w:type="dxa"/>
            <w:shd w:val="clear" w:color="auto" w:fill="F2F2F2"/>
            <w:vAlign w:val="center"/>
          </w:tcPr>
          <w:p w14:paraId="2307FC56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5"/>
              </w:rPr>
              <w:t>用于增强识别效果和展示技术深度</w:t>
            </w:r>
          </w:p>
        </w:tc>
      </w:tr>
      <w:tr w14:paraId="1470A25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  <w:vAlign w:val="center"/>
          </w:tcPr>
          <w:p w14:paraId="38972437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5"/>
              </w:rPr>
              <w:t>HDF5 / npz / CSV</w:t>
            </w:r>
          </w:p>
        </w:tc>
        <w:tc>
          <w:tcPr>
            <w:tcW w:w="2464" w:type="dxa"/>
            <w:vAlign w:val="center"/>
          </w:tcPr>
          <w:p w14:paraId="757D3026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5"/>
              </w:rPr>
              <w:t>必备</w:t>
            </w:r>
          </w:p>
        </w:tc>
        <w:tc>
          <w:tcPr>
            <w:tcW w:w="2464" w:type="dxa"/>
            <w:vAlign w:val="center"/>
          </w:tcPr>
          <w:p w14:paraId="25DF8132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5"/>
              </w:rPr>
              <w:t>存储多频点、多角度、多极化复数场数据</w:t>
            </w:r>
          </w:p>
        </w:tc>
        <w:tc>
          <w:tcPr>
            <w:tcW w:w="2464" w:type="dxa"/>
            <w:vAlign w:val="center"/>
          </w:tcPr>
          <w:p w14:paraId="52649CAC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5"/>
              </w:rPr>
              <w:t>保证数据可复现、可追踪</w:t>
            </w:r>
          </w:p>
        </w:tc>
      </w:tr>
      <w:tr w14:paraId="0153CAD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  <w:shd w:val="clear" w:color="auto" w:fill="F2F2F2"/>
            <w:vAlign w:val="center"/>
          </w:tcPr>
          <w:p w14:paraId="200E59DB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5"/>
              </w:rPr>
              <w:t>Plotly / Blender / PowerPoint</w:t>
            </w:r>
          </w:p>
        </w:tc>
        <w:tc>
          <w:tcPr>
            <w:tcW w:w="2464" w:type="dxa"/>
            <w:shd w:val="clear" w:color="auto" w:fill="F2F2F2"/>
            <w:vAlign w:val="center"/>
          </w:tcPr>
          <w:p w14:paraId="4327BF73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5"/>
              </w:rPr>
              <w:t>展示必备</w:t>
            </w:r>
          </w:p>
        </w:tc>
        <w:tc>
          <w:tcPr>
            <w:tcW w:w="2464" w:type="dxa"/>
            <w:shd w:val="clear" w:color="auto" w:fill="F2F2F2"/>
            <w:vAlign w:val="center"/>
          </w:tcPr>
          <w:p w14:paraId="134F18B9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5"/>
              </w:rPr>
              <w:t>三维测点、方向图、流程图、视频动画</w:t>
            </w:r>
          </w:p>
        </w:tc>
        <w:tc>
          <w:tcPr>
            <w:tcW w:w="2464" w:type="dxa"/>
            <w:shd w:val="clear" w:color="auto" w:fill="F2F2F2"/>
            <w:vAlign w:val="center"/>
          </w:tcPr>
          <w:p w14:paraId="680A2638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5"/>
              </w:rPr>
              <w:t>提升答辩表现和作品完成度</w:t>
            </w:r>
          </w:p>
        </w:tc>
      </w:tr>
      <w:tr w14:paraId="61B6C85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  <w:vAlign w:val="center"/>
          </w:tcPr>
          <w:p w14:paraId="5CFA0C7D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5"/>
              </w:rPr>
              <w:t>Git / Conda / VS Code</w:t>
            </w:r>
          </w:p>
        </w:tc>
        <w:tc>
          <w:tcPr>
            <w:tcW w:w="2464" w:type="dxa"/>
            <w:vAlign w:val="center"/>
          </w:tcPr>
          <w:p w14:paraId="02E70932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5"/>
              </w:rPr>
              <w:t>协作必备</w:t>
            </w:r>
          </w:p>
        </w:tc>
        <w:tc>
          <w:tcPr>
            <w:tcW w:w="2464" w:type="dxa"/>
            <w:vAlign w:val="center"/>
          </w:tcPr>
          <w:p w14:paraId="7B328839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5"/>
              </w:rPr>
              <w:t>代码版本、环境管理、团队协同</w:t>
            </w:r>
          </w:p>
        </w:tc>
        <w:tc>
          <w:tcPr>
            <w:tcW w:w="2464" w:type="dxa"/>
            <w:vAlign w:val="center"/>
          </w:tcPr>
          <w:p w14:paraId="0D8CBBC2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5"/>
              </w:rPr>
              <w:t>避免代码不可运行和版本混乱</w:t>
            </w:r>
          </w:p>
        </w:tc>
      </w:tr>
    </w:tbl>
    <w:p w14:paraId="3C71C9DA">
      <w:pPr>
        <w:spacing w:after="80"/>
        <w:rPr>
          <w:b w:val="0"/>
          <w:bCs w:val="0"/>
          <w:color w:val="auto"/>
        </w:rPr>
      </w:pPr>
    </w:p>
    <w:p w14:paraId="6F482E62">
      <w:pPr>
        <w:pStyle w:val="3"/>
        <w:rPr>
          <w:b w:val="0"/>
          <w:bCs w:val="0"/>
          <w:color w:val="auto"/>
        </w:rPr>
      </w:pPr>
      <w:r>
        <w:rPr>
          <w:rFonts w:ascii="Calibri" w:hAnsi="Calibri" w:eastAsia="Noto Sans CJK SC"/>
          <w:b w:val="0"/>
          <w:bCs w:val="0"/>
          <w:color w:val="auto"/>
          <w:sz w:val="32"/>
        </w:rPr>
        <w:t>4. 电磁仿真 Workflow</w:t>
      </w:r>
    </w:p>
    <w:p w14:paraId="356AF0FA">
      <w:pPr>
        <w:spacing w:after="120" w:line="276" w:lineRule="auto"/>
        <w:ind w:firstLine="420"/>
        <w:rPr>
          <w:b w:val="0"/>
          <w:bCs w:val="0"/>
          <w:color w:val="auto"/>
        </w:rPr>
      </w:pPr>
      <w:r>
        <w:rPr>
          <w:rFonts w:ascii="Calibri" w:hAnsi="Calibri" w:eastAsia="Noto Sans CJK SC"/>
          <w:b w:val="0"/>
          <w:bCs w:val="0"/>
          <w:color w:val="auto"/>
          <w:sz w:val="21"/>
        </w:rPr>
        <w:t>电磁仿真阶段的目标是生成可用于算法验证的“虚拟测量数据”。不要一开始就建完整飞机，应先以标准源建立可信闭环，再逐步加入复杂性。</w:t>
      </w:r>
    </w:p>
    <w:p w14:paraId="58B4E4B4">
      <w:pPr>
        <w:pStyle w:val="4"/>
        <w:rPr>
          <w:b w:val="0"/>
          <w:bCs w:val="0"/>
          <w:color w:val="auto"/>
        </w:rPr>
      </w:pPr>
      <w:r>
        <w:rPr>
          <w:rFonts w:ascii="Calibri" w:hAnsi="Calibri" w:eastAsia="Noto Sans CJK SC"/>
          <w:b w:val="0"/>
          <w:bCs w:val="0"/>
          <w:color w:val="auto"/>
          <w:sz w:val="26"/>
        </w:rPr>
        <w:t>4.1 仿真对象分级</w:t>
      </w:r>
    </w:p>
    <w:tbl>
      <w:tblPr>
        <w:tblStyle w:val="33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4"/>
        <w:gridCol w:w="2464"/>
        <w:gridCol w:w="2464"/>
        <w:gridCol w:w="2464"/>
      </w:tblGrid>
      <w:tr w14:paraId="75A91E1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464" w:type="dxa"/>
            <w:shd w:val="clear" w:color="auto" w:fill="1F4E79"/>
            <w:vAlign w:val="center"/>
          </w:tcPr>
          <w:p w14:paraId="6CE1EBF5">
            <w:pPr>
              <w:spacing w:after="0" w:line="240" w:lineRule="auto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7"/>
              </w:rPr>
              <w:t>级别</w:t>
            </w:r>
          </w:p>
        </w:tc>
        <w:tc>
          <w:tcPr>
            <w:tcW w:w="2464" w:type="dxa"/>
            <w:shd w:val="clear" w:color="auto" w:fill="1F4E79"/>
            <w:vAlign w:val="center"/>
          </w:tcPr>
          <w:p w14:paraId="76F8BC5A">
            <w:pPr>
              <w:spacing w:after="0" w:line="240" w:lineRule="auto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7"/>
              </w:rPr>
              <w:t>模型</w:t>
            </w:r>
          </w:p>
        </w:tc>
        <w:tc>
          <w:tcPr>
            <w:tcW w:w="2464" w:type="dxa"/>
            <w:shd w:val="clear" w:color="auto" w:fill="1F4E79"/>
            <w:vAlign w:val="center"/>
          </w:tcPr>
          <w:p w14:paraId="16348B3E">
            <w:pPr>
              <w:spacing w:after="0" w:line="240" w:lineRule="auto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7"/>
              </w:rPr>
              <w:t>目的</w:t>
            </w:r>
          </w:p>
        </w:tc>
        <w:tc>
          <w:tcPr>
            <w:tcW w:w="2464" w:type="dxa"/>
            <w:shd w:val="clear" w:color="auto" w:fill="1F4E79"/>
            <w:vAlign w:val="center"/>
          </w:tcPr>
          <w:p w14:paraId="01FBC763">
            <w:pPr>
              <w:spacing w:after="0" w:line="240" w:lineRule="auto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7"/>
              </w:rPr>
              <w:t>建议工具</w:t>
            </w:r>
          </w:p>
        </w:tc>
      </w:tr>
      <w:tr w14:paraId="4272205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  <w:vAlign w:val="center"/>
          </w:tcPr>
          <w:p w14:paraId="13C7B2CA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7"/>
              </w:rPr>
              <w:t>Level 1</w:t>
            </w:r>
          </w:p>
        </w:tc>
        <w:tc>
          <w:tcPr>
            <w:tcW w:w="2464" w:type="dxa"/>
            <w:vAlign w:val="center"/>
          </w:tcPr>
          <w:p w14:paraId="36F71063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7"/>
              </w:rPr>
              <w:t>短偶极子、半波振子、小环天线</w:t>
            </w:r>
          </w:p>
        </w:tc>
        <w:tc>
          <w:tcPr>
            <w:tcW w:w="2464" w:type="dxa"/>
            <w:vAlign w:val="center"/>
          </w:tcPr>
          <w:p w14:paraId="4CBC4273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7"/>
              </w:rPr>
              <w:t>验证理论方向图和近远场重建正确性</w:t>
            </w:r>
          </w:p>
        </w:tc>
        <w:tc>
          <w:tcPr>
            <w:tcW w:w="2464" w:type="dxa"/>
            <w:vAlign w:val="center"/>
          </w:tcPr>
          <w:p w14:paraId="24B1A035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7"/>
              </w:rPr>
              <w:t>CST / MATLAB / Python 解析模型</w:t>
            </w:r>
          </w:p>
        </w:tc>
      </w:tr>
      <w:tr w14:paraId="14E96B2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  <w:shd w:val="clear" w:color="auto" w:fill="F2F2F2"/>
            <w:vAlign w:val="center"/>
          </w:tcPr>
          <w:p w14:paraId="15DBC2DC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7"/>
              </w:rPr>
              <w:t>Level 2</w:t>
            </w:r>
          </w:p>
        </w:tc>
        <w:tc>
          <w:tcPr>
            <w:tcW w:w="2464" w:type="dxa"/>
            <w:shd w:val="clear" w:color="auto" w:fill="F2F2F2"/>
            <w:vAlign w:val="center"/>
          </w:tcPr>
          <w:p w14:paraId="109C040A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7"/>
              </w:rPr>
              <w:t>多偶极子、多频源、不同极化组合</w:t>
            </w:r>
          </w:p>
        </w:tc>
        <w:tc>
          <w:tcPr>
            <w:tcW w:w="2464" w:type="dxa"/>
            <w:shd w:val="clear" w:color="auto" w:fill="F2F2F2"/>
            <w:vAlign w:val="center"/>
          </w:tcPr>
          <w:p w14:paraId="1E13804A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7"/>
              </w:rPr>
              <w:t>模拟航空载体多源协同工作</w:t>
            </w:r>
          </w:p>
        </w:tc>
        <w:tc>
          <w:tcPr>
            <w:tcW w:w="2464" w:type="dxa"/>
            <w:shd w:val="clear" w:color="auto" w:fill="F2F2F2"/>
            <w:vAlign w:val="center"/>
          </w:tcPr>
          <w:p w14:paraId="5795F581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7"/>
              </w:rPr>
              <w:t>CST / FEKO / openEMS</w:t>
            </w:r>
          </w:p>
        </w:tc>
      </w:tr>
      <w:tr w14:paraId="7CF7505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  <w:vAlign w:val="center"/>
          </w:tcPr>
          <w:p w14:paraId="3AEA5E99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7"/>
              </w:rPr>
              <w:t>Level 3</w:t>
            </w:r>
          </w:p>
        </w:tc>
        <w:tc>
          <w:tcPr>
            <w:tcW w:w="2464" w:type="dxa"/>
            <w:vAlign w:val="center"/>
          </w:tcPr>
          <w:p w14:paraId="5606360F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7"/>
              </w:rPr>
              <w:t>金属圆柱机身 + 平板机翼 + 多天线</w:t>
            </w:r>
          </w:p>
        </w:tc>
        <w:tc>
          <w:tcPr>
            <w:tcW w:w="2464" w:type="dxa"/>
            <w:vAlign w:val="center"/>
          </w:tcPr>
          <w:p w14:paraId="755C1BFA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7"/>
              </w:rPr>
              <w:t>体现载体结构遮挡、散射、安装位置影响</w:t>
            </w:r>
          </w:p>
        </w:tc>
        <w:tc>
          <w:tcPr>
            <w:tcW w:w="2464" w:type="dxa"/>
            <w:vAlign w:val="center"/>
          </w:tcPr>
          <w:p w14:paraId="7B33CC8F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7"/>
              </w:rPr>
              <w:t>CST / FEKO</w:t>
            </w:r>
          </w:p>
        </w:tc>
      </w:tr>
      <w:tr w14:paraId="0F60A9D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  <w:shd w:val="clear" w:color="auto" w:fill="F2F2F2"/>
            <w:vAlign w:val="center"/>
          </w:tcPr>
          <w:p w14:paraId="0511EF3F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7"/>
              </w:rPr>
              <w:t>Level 4</w:t>
            </w:r>
          </w:p>
        </w:tc>
        <w:tc>
          <w:tcPr>
            <w:tcW w:w="2464" w:type="dxa"/>
            <w:shd w:val="clear" w:color="auto" w:fill="F2F2F2"/>
            <w:vAlign w:val="center"/>
          </w:tcPr>
          <w:p w14:paraId="2EB9B00F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7"/>
              </w:rPr>
              <w:t>不同运行状态：通信源开/关、雷达源开/关、多源同时工作</w:t>
            </w:r>
          </w:p>
        </w:tc>
        <w:tc>
          <w:tcPr>
            <w:tcW w:w="2464" w:type="dxa"/>
            <w:shd w:val="clear" w:color="auto" w:fill="F2F2F2"/>
            <w:vAlign w:val="center"/>
          </w:tcPr>
          <w:p w14:paraId="477195A1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7"/>
              </w:rPr>
              <w:t>构造空间-频谱识别数据集</w:t>
            </w:r>
          </w:p>
        </w:tc>
        <w:tc>
          <w:tcPr>
            <w:tcW w:w="2464" w:type="dxa"/>
            <w:shd w:val="clear" w:color="auto" w:fill="F2F2F2"/>
            <w:vAlign w:val="center"/>
          </w:tcPr>
          <w:p w14:paraId="271E8D2A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7"/>
              </w:rPr>
              <w:t>CST + Python 数据管理</w:t>
            </w:r>
          </w:p>
        </w:tc>
      </w:tr>
    </w:tbl>
    <w:p w14:paraId="29022424">
      <w:pPr>
        <w:spacing w:after="80"/>
        <w:rPr>
          <w:b w:val="0"/>
          <w:bCs w:val="0"/>
          <w:color w:val="auto"/>
        </w:rPr>
      </w:pPr>
    </w:p>
    <w:p w14:paraId="2E7A6387">
      <w:pPr>
        <w:pStyle w:val="4"/>
        <w:rPr>
          <w:b w:val="0"/>
          <w:bCs w:val="0"/>
          <w:color w:val="auto"/>
        </w:rPr>
      </w:pPr>
      <w:r>
        <w:rPr>
          <w:rFonts w:ascii="Calibri" w:hAnsi="Calibri" w:eastAsia="Noto Sans CJK SC"/>
          <w:b w:val="0"/>
          <w:bCs w:val="0"/>
          <w:color w:val="auto"/>
          <w:sz w:val="26"/>
        </w:rPr>
        <w:t>4.2 CST 推荐仿真流程</w:t>
      </w:r>
    </w:p>
    <w:p w14:paraId="37743B55">
      <w:pPr>
        <w:pStyle w:val="14"/>
        <w:spacing w:after="40" w:line="276" w:lineRule="auto"/>
        <w:rPr>
          <w:b w:val="0"/>
          <w:bCs w:val="0"/>
          <w:color w:val="auto"/>
        </w:rPr>
      </w:pPr>
      <w:r>
        <w:rPr>
          <w:rFonts w:ascii="Calibri" w:hAnsi="Calibri" w:eastAsia="Noto Sans CJK SC"/>
          <w:b w:val="0"/>
          <w:bCs w:val="0"/>
          <w:color w:val="auto"/>
          <w:sz w:val="20"/>
        </w:rPr>
        <w:t>建立标准辐射源或简化载体几何模型。</w:t>
      </w:r>
    </w:p>
    <w:p w14:paraId="0FE1EB4B">
      <w:pPr>
        <w:pStyle w:val="14"/>
        <w:spacing w:after="40" w:line="276" w:lineRule="auto"/>
        <w:rPr>
          <w:b w:val="0"/>
          <w:bCs w:val="0"/>
          <w:color w:val="auto"/>
        </w:rPr>
      </w:pPr>
      <w:r>
        <w:rPr>
          <w:rFonts w:ascii="Calibri" w:hAnsi="Calibri" w:eastAsia="Noto Sans CJK SC"/>
          <w:b w:val="0"/>
          <w:bCs w:val="0"/>
          <w:color w:val="auto"/>
          <w:sz w:val="20"/>
        </w:rPr>
        <w:t>设置材料、端口、激励频率范围和边界条件。</w:t>
      </w:r>
    </w:p>
    <w:p w14:paraId="0F411007">
      <w:pPr>
        <w:pStyle w:val="14"/>
        <w:spacing w:after="40" w:line="276" w:lineRule="auto"/>
        <w:rPr>
          <w:b w:val="0"/>
          <w:bCs w:val="0"/>
          <w:color w:val="auto"/>
        </w:rPr>
      </w:pPr>
      <w:r>
        <w:rPr>
          <w:rFonts w:ascii="Calibri" w:hAnsi="Calibri" w:eastAsia="Noto Sans CJK SC"/>
          <w:b w:val="0"/>
          <w:bCs w:val="0"/>
          <w:color w:val="auto"/>
          <w:sz w:val="20"/>
        </w:rPr>
        <w:t>设置近场采样面：半球面或半柱面，记录 Ex、Ey、Ez 的复数值。</w:t>
      </w:r>
    </w:p>
    <w:p w14:paraId="1CD3702F">
      <w:pPr>
        <w:pStyle w:val="14"/>
        <w:spacing w:after="40" w:line="276" w:lineRule="auto"/>
        <w:rPr>
          <w:b w:val="0"/>
          <w:bCs w:val="0"/>
          <w:color w:val="auto"/>
        </w:rPr>
      </w:pPr>
      <w:r>
        <w:rPr>
          <w:rFonts w:ascii="Calibri" w:hAnsi="Calibri" w:eastAsia="Noto Sans CJK SC"/>
          <w:b w:val="0"/>
          <w:bCs w:val="0"/>
          <w:color w:val="auto"/>
          <w:sz w:val="20"/>
        </w:rPr>
        <w:t>设置远场监视器，输出参考远场方向图作为算法真值。</w:t>
      </w:r>
    </w:p>
    <w:p w14:paraId="02AC1C64">
      <w:pPr>
        <w:pStyle w:val="14"/>
        <w:spacing w:after="40" w:line="276" w:lineRule="auto"/>
        <w:rPr>
          <w:b w:val="0"/>
          <w:bCs w:val="0"/>
          <w:color w:val="auto"/>
        </w:rPr>
      </w:pPr>
      <w:r>
        <w:rPr>
          <w:rFonts w:ascii="Calibri" w:hAnsi="Calibri" w:eastAsia="Noto Sans CJK SC"/>
          <w:b w:val="0"/>
          <w:bCs w:val="0"/>
          <w:color w:val="auto"/>
          <w:sz w:val="20"/>
        </w:rPr>
        <w:t>批量导出不同频点、不同状态、不同源位置的数据。</w:t>
      </w:r>
    </w:p>
    <w:p w14:paraId="1AC0B83A">
      <w:pPr>
        <w:pStyle w:val="14"/>
        <w:spacing w:after="40" w:line="276" w:lineRule="auto"/>
        <w:rPr>
          <w:b w:val="0"/>
          <w:bCs w:val="0"/>
          <w:color w:val="auto"/>
        </w:rPr>
      </w:pPr>
      <w:r>
        <w:rPr>
          <w:rFonts w:ascii="Calibri" w:hAnsi="Calibri" w:eastAsia="Noto Sans CJK SC"/>
          <w:b w:val="0"/>
          <w:bCs w:val="0"/>
          <w:color w:val="auto"/>
          <w:sz w:val="20"/>
        </w:rPr>
        <w:t>将导出数据统一转换为 HDF5 / npz / CSV 格式，供 Python/MATLAB 调用。</w:t>
      </w:r>
    </w:p>
    <w:tbl>
      <w:tblPr>
        <w:tblStyle w:val="32"/>
        <w:tblW w:w="0" w:type="auto"/>
        <w:jc w:val="center"/>
        <w:tblBorders>
          <w:top w:val="single" w:color="9ECAE1" w:sz="4" w:space="0"/>
          <w:left w:val="single" w:color="9ECAE1" w:sz="4" w:space="0"/>
          <w:bottom w:val="single" w:color="9ECAE1" w:sz="4" w:space="0"/>
          <w:right w:val="single" w:color="9ECAE1" w:sz="4" w:space="0"/>
          <w:insideH w:val="single" w:color="9ECAE1" w:sz="4" w:space="0"/>
          <w:insideV w:val="single" w:color="9ECAE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57509F86">
        <w:tblPrEx>
          <w:tblBorders>
            <w:top w:val="single" w:color="9ECAE1" w:sz="4" w:space="0"/>
            <w:left w:val="single" w:color="9ECAE1" w:sz="4" w:space="0"/>
            <w:bottom w:val="single" w:color="9ECAE1" w:sz="4" w:space="0"/>
            <w:right w:val="single" w:color="9ECAE1" w:sz="4" w:space="0"/>
            <w:insideH w:val="single" w:color="9ECAE1" w:sz="4" w:space="0"/>
            <w:insideV w:val="single" w:color="9ECA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58" w:type="dxa"/>
            <w:shd w:val="clear" w:color="auto" w:fill="E2F0D9"/>
          </w:tcPr>
          <w:p w14:paraId="7E5A1A01">
            <w:pPr>
              <w:spacing w:after="60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21"/>
              </w:rPr>
              <w:t>数据字段建议</w:t>
            </w:r>
          </w:p>
          <w:p w14:paraId="28FE55F2">
            <w:pPr>
              <w:spacing w:line="276" w:lineRule="auto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9"/>
              </w:rPr>
              <w:t>每条采样记录建议包含：sensor_id、x、y、z、theta、phi、frequency、polarization、Ex_real、Ex_imag、Ey_real、Ey_imag、Ez_real、Ez_imag、source_type、working_state。</w:t>
            </w:r>
          </w:p>
        </w:tc>
      </w:tr>
    </w:tbl>
    <w:p w14:paraId="5660FB82">
      <w:pPr>
        <w:spacing w:after="60"/>
        <w:rPr>
          <w:b w:val="0"/>
          <w:bCs w:val="0"/>
          <w:color w:val="auto"/>
        </w:rPr>
      </w:pPr>
    </w:p>
    <w:p w14:paraId="09E45E5C">
      <w:pPr>
        <w:pStyle w:val="3"/>
        <w:rPr>
          <w:b w:val="0"/>
          <w:bCs w:val="0"/>
          <w:color w:val="auto"/>
        </w:rPr>
      </w:pPr>
      <w:r>
        <w:rPr>
          <w:rFonts w:ascii="Calibri" w:hAnsi="Calibri" w:eastAsia="Noto Sans CJK SC"/>
          <w:b w:val="0"/>
          <w:bCs w:val="0"/>
          <w:color w:val="auto"/>
          <w:sz w:val="32"/>
        </w:rPr>
        <w:t>5. 近远场重建算法 Workflow</w:t>
      </w:r>
    </w:p>
    <w:p w14:paraId="755F3424">
      <w:pPr>
        <w:spacing w:after="120" w:line="276" w:lineRule="auto"/>
        <w:ind w:firstLine="420"/>
        <w:rPr>
          <w:b w:val="0"/>
          <w:bCs w:val="0"/>
          <w:color w:val="auto"/>
        </w:rPr>
      </w:pPr>
      <w:r>
        <w:rPr>
          <w:rFonts w:ascii="Calibri" w:hAnsi="Calibri" w:eastAsia="Noto Sans CJK SC"/>
          <w:b w:val="0"/>
          <w:bCs w:val="0"/>
          <w:color w:val="auto"/>
          <w:sz w:val="21"/>
        </w:rPr>
        <w:t>近远场重建是本项目的核心算法模块。应避免只调用仿真软件自带 Far-field 功能，而要实现自研重建流程，并用仿真软件远场作为真值进行对比。</w:t>
      </w:r>
    </w:p>
    <w:tbl>
      <w:tblPr>
        <w:tblStyle w:val="33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4"/>
        <w:gridCol w:w="2464"/>
        <w:gridCol w:w="2464"/>
        <w:gridCol w:w="2464"/>
      </w:tblGrid>
      <w:tr w14:paraId="15B3FCF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</w:tblPrEx>
        <w:trPr>
          <w:tblHeader/>
          <w:jc w:val="center"/>
        </w:trPr>
        <w:tc>
          <w:tcPr>
            <w:tcW w:w="2464" w:type="dxa"/>
            <w:shd w:val="clear" w:color="auto" w:fill="1F4E79"/>
            <w:vAlign w:val="center"/>
          </w:tcPr>
          <w:p w14:paraId="021CF25B">
            <w:pPr>
              <w:spacing w:after="0" w:line="240" w:lineRule="auto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步骤</w:t>
            </w:r>
          </w:p>
        </w:tc>
        <w:tc>
          <w:tcPr>
            <w:tcW w:w="2464" w:type="dxa"/>
            <w:shd w:val="clear" w:color="auto" w:fill="1F4E79"/>
            <w:vAlign w:val="center"/>
          </w:tcPr>
          <w:p w14:paraId="1294F383">
            <w:pPr>
              <w:spacing w:after="0" w:line="240" w:lineRule="auto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任务</w:t>
            </w:r>
          </w:p>
        </w:tc>
        <w:tc>
          <w:tcPr>
            <w:tcW w:w="2464" w:type="dxa"/>
            <w:shd w:val="clear" w:color="auto" w:fill="1F4E79"/>
            <w:vAlign w:val="center"/>
          </w:tcPr>
          <w:p w14:paraId="2565B201">
            <w:pPr>
              <w:spacing w:after="0" w:line="240" w:lineRule="auto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关键方法</w:t>
            </w:r>
          </w:p>
        </w:tc>
        <w:tc>
          <w:tcPr>
            <w:tcW w:w="2464" w:type="dxa"/>
            <w:shd w:val="clear" w:color="auto" w:fill="1F4E79"/>
            <w:vAlign w:val="center"/>
          </w:tcPr>
          <w:p w14:paraId="6D315E37">
            <w:pPr>
              <w:spacing w:after="0" w:line="240" w:lineRule="auto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输出</w:t>
            </w:r>
          </w:p>
        </w:tc>
      </w:tr>
      <w:tr w14:paraId="5A09627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  <w:vAlign w:val="center"/>
          </w:tcPr>
          <w:p w14:paraId="7708C3FF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1. 数据预处理</w:t>
            </w:r>
          </w:p>
        </w:tc>
        <w:tc>
          <w:tcPr>
            <w:tcW w:w="2464" w:type="dxa"/>
            <w:vAlign w:val="center"/>
          </w:tcPr>
          <w:p w14:paraId="2440FDB4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读取近场复数数据，统一坐标和极化分量</w:t>
            </w:r>
          </w:p>
        </w:tc>
        <w:tc>
          <w:tcPr>
            <w:tcW w:w="2464" w:type="dxa"/>
            <w:vAlign w:val="center"/>
          </w:tcPr>
          <w:p w14:paraId="37F3E5EF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坐标变换、幅相归一化、噪声模拟</w:t>
            </w:r>
          </w:p>
        </w:tc>
        <w:tc>
          <w:tcPr>
            <w:tcW w:w="2464" w:type="dxa"/>
            <w:vAlign w:val="center"/>
          </w:tcPr>
          <w:p w14:paraId="1F972263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标准化近场数据矩阵</w:t>
            </w:r>
          </w:p>
        </w:tc>
      </w:tr>
      <w:tr w14:paraId="61708C8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  <w:shd w:val="clear" w:color="auto" w:fill="F2F2F2"/>
            <w:vAlign w:val="center"/>
          </w:tcPr>
          <w:p w14:paraId="107394ED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2. 建立传播模型</w:t>
            </w:r>
          </w:p>
        </w:tc>
        <w:tc>
          <w:tcPr>
            <w:tcW w:w="2464" w:type="dxa"/>
            <w:shd w:val="clear" w:color="auto" w:fill="F2F2F2"/>
            <w:vAlign w:val="center"/>
          </w:tcPr>
          <w:p w14:paraId="1C026B01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建立测点与等效源之间的传播关系</w:t>
            </w:r>
          </w:p>
        </w:tc>
        <w:tc>
          <w:tcPr>
            <w:tcW w:w="2464" w:type="dxa"/>
            <w:shd w:val="clear" w:color="auto" w:fill="F2F2F2"/>
            <w:vAlign w:val="center"/>
          </w:tcPr>
          <w:p w14:paraId="04479FE3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Green 函数、Huygens 面、等效偶极子阵列</w:t>
            </w:r>
          </w:p>
        </w:tc>
        <w:tc>
          <w:tcPr>
            <w:tcW w:w="2464" w:type="dxa"/>
            <w:shd w:val="clear" w:color="auto" w:fill="F2F2F2"/>
            <w:vAlign w:val="center"/>
          </w:tcPr>
          <w:p w14:paraId="43E08168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传播矩阵 G</w:t>
            </w:r>
          </w:p>
        </w:tc>
      </w:tr>
      <w:tr w14:paraId="325E5B3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  <w:vAlign w:val="center"/>
          </w:tcPr>
          <w:p w14:paraId="6899F46F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3. 反演等效源</w:t>
            </w:r>
          </w:p>
        </w:tc>
        <w:tc>
          <w:tcPr>
            <w:tcW w:w="2464" w:type="dxa"/>
            <w:vAlign w:val="center"/>
          </w:tcPr>
          <w:p w14:paraId="456C8ED6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从测量场求解等效电流/等效源强度</w:t>
            </w:r>
          </w:p>
        </w:tc>
        <w:tc>
          <w:tcPr>
            <w:tcW w:w="2464" w:type="dxa"/>
            <w:vAlign w:val="center"/>
          </w:tcPr>
          <w:p w14:paraId="7953CC7C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最小二乘、Tikhonov、LASSO、SVD 截断</w:t>
            </w:r>
          </w:p>
        </w:tc>
        <w:tc>
          <w:tcPr>
            <w:tcW w:w="2464" w:type="dxa"/>
            <w:vAlign w:val="center"/>
          </w:tcPr>
          <w:p w14:paraId="1DF89556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等效源向量 J</w:t>
            </w:r>
          </w:p>
        </w:tc>
      </w:tr>
      <w:tr w14:paraId="671E2D1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  <w:shd w:val="clear" w:color="auto" w:fill="F2F2F2"/>
            <w:vAlign w:val="center"/>
          </w:tcPr>
          <w:p w14:paraId="65C176F1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4. 远场外推</w:t>
            </w:r>
          </w:p>
        </w:tc>
        <w:tc>
          <w:tcPr>
            <w:tcW w:w="2464" w:type="dxa"/>
            <w:shd w:val="clear" w:color="auto" w:fill="F2F2F2"/>
            <w:vAlign w:val="center"/>
          </w:tcPr>
          <w:p w14:paraId="601F6489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由等效源计算远场方向图</w:t>
            </w:r>
          </w:p>
        </w:tc>
        <w:tc>
          <w:tcPr>
            <w:tcW w:w="2464" w:type="dxa"/>
            <w:shd w:val="clear" w:color="auto" w:fill="F2F2F2"/>
            <w:vAlign w:val="center"/>
          </w:tcPr>
          <w:p w14:paraId="2BA6CEA4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远场 Green 函数、球坐标投影</w:t>
            </w:r>
          </w:p>
        </w:tc>
        <w:tc>
          <w:tcPr>
            <w:tcW w:w="2464" w:type="dxa"/>
            <w:shd w:val="clear" w:color="auto" w:fill="F2F2F2"/>
            <w:vAlign w:val="center"/>
          </w:tcPr>
          <w:p w14:paraId="43462757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重建远场 E_rec</w:t>
            </w:r>
          </w:p>
        </w:tc>
      </w:tr>
      <w:tr w14:paraId="7023A1F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  <w:vAlign w:val="center"/>
          </w:tcPr>
          <w:p w14:paraId="0E01AED3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5. 精度评估</w:t>
            </w:r>
          </w:p>
        </w:tc>
        <w:tc>
          <w:tcPr>
            <w:tcW w:w="2464" w:type="dxa"/>
            <w:vAlign w:val="center"/>
          </w:tcPr>
          <w:p w14:paraId="63912CB0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与 CST/FEKO 远场真值比较</w:t>
            </w:r>
          </w:p>
        </w:tc>
        <w:tc>
          <w:tcPr>
            <w:tcW w:w="2464" w:type="dxa"/>
            <w:vAlign w:val="center"/>
          </w:tcPr>
          <w:p w14:paraId="39E76FC6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NMSE、相关系数、主瓣方向误差、峰值误差</w:t>
            </w:r>
          </w:p>
        </w:tc>
        <w:tc>
          <w:tcPr>
            <w:tcW w:w="2464" w:type="dxa"/>
            <w:vAlign w:val="center"/>
          </w:tcPr>
          <w:p w14:paraId="5A3C6D9D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误差表和方向图对比</w:t>
            </w:r>
          </w:p>
        </w:tc>
      </w:tr>
      <w:tr w14:paraId="45406A0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  <w:shd w:val="clear" w:color="auto" w:fill="F2F2F2"/>
            <w:vAlign w:val="center"/>
          </w:tcPr>
          <w:p w14:paraId="0B17DA6D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6. 鲁棒性测试</w:t>
            </w:r>
          </w:p>
        </w:tc>
        <w:tc>
          <w:tcPr>
            <w:tcW w:w="2464" w:type="dxa"/>
            <w:shd w:val="clear" w:color="auto" w:fill="F2F2F2"/>
            <w:vAlign w:val="center"/>
          </w:tcPr>
          <w:p w14:paraId="2DA98AEF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加入噪声、减少测点、改变频点</w:t>
            </w:r>
          </w:p>
        </w:tc>
        <w:tc>
          <w:tcPr>
            <w:tcW w:w="2464" w:type="dxa"/>
            <w:shd w:val="clear" w:color="auto" w:fill="F2F2F2"/>
            <w:vAlign w:val="center"/>
          </w:tcPr>
          <w:p w14:paraId="6A6AF5F9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Monte Carlo、参数扫描</w:t>
            </w:r>
          </w:p>
        </w:tc>
        <w:tc>
          <w:tcPr>
            <w:tcW w:w="2464" w:type="dxa"/>
            <w:shd w:val="clear" w:color="auto" w:fill="F2F2F2"/>
            <w:vAlign w:val="center"/>
          </w:tcPr>
          <w:p w14:paraId="05161DA9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算法稳定性结论</w:t>
            </w:r>
          </w:p>
        </w:tc>
      </w:tr>
    </w:tbl>
    <w:p w14:paraId="4FD68815">
      <w:pPr>
        <w:spacing w:after="80"/>
        <w:rPr>
          <w:b w:val="0"/>
          <w:bCs w:val="0"/>
          <w:color w:val="auto"/>
        </w:rPr>
      </w:pPr>
    </w:p>
    <w:p w14:paraId="4778C926">
      <w:pPr>
        <w:spacing w:after="80" w:line="276" w:lineRule="auto"/>
        <w:rPr>
          <w:b w:val="0"/>
          <w:bCs w:val="0"/>
          <w:color w:val="auto"/>
        </w:rPr>
      </w:pPr>
      <w:r>
        <w:rPr>
          <w:rFonts w:ascii="Calibri" w:hAnsi="Calibri" w:eastAsia="Noto Sans CJK SC"/>
          <w:b w:val="0"/>
          <w:bCs w:val="0"/>
          <w:color w:val="auto"/>
          <w:sz w:val="21"/>
        </w:rPr>
        <w:t>推荐基础数学表达：</w:t>
      </w:r>
    </w:p>
    <w:p w14:paraId="7F258C2D">
      <w:pPr>
        <w:spacing w:after="120" w:line="276" w:lineRule="auto"/>
        <w:ind w:firstLine="420"/>
        <w:rPr>
          <w:b w:val="0"/>
          <w:bCs w:val="0"/>
          <w:color w:val="auto"/>
        </w:rPr>
      </w:pPr>
      <w:r>
        <w:rPr>
          <w:rFonts w:ascii="Calibri" w:hAnsi="Calibri" w:eastAsia="Noto Sans CJK SC"/>
          <w:b w:val="0"/>
          <w:bCs w:val="0"/>
          <w:color w:val="auto"/>
          <w:sz w:val="21"/>
        </w:rPr>
        <w:t>E_meas = GJ，其中 E_meas 表示测点近场数据，G 表示传播矩阵，J 表示待求等效源。可采用带正则项的反演：min ||GJ - E_meas||² + λ||J||²；若强调少测点，可进一步采用 L1 稀疏约束。</w:t>
      </w:r>
    </w:p>
    <w:p w14:paraId="1545878B">
      <w:pPr>
        <w:pStyle w:val="3"/>
        <w:rPr>
          <w:b w:val="0"/>
          <w:bCs w:val="0"/>
          <w:color w:val="auto"/>
        </w:rPr>
      </w:pPr>
      <w:r>
        <w:rPr>
          <w:rFonts w:ascii="Calibri" w:hAnsi="Calibri" w:eastAsia="Noto Sans CJK SC"/>
          <w:b w:val="0"/>
          <w:bCs w:val="0"/>
          <w:color w:val="auto"/>
          <w:sz w:val="32"/>
        </w:rPr>
        <w:t>6. 测点数量优化 Workflow</w:t>
      </w:r>
    </w:p>
    <w:p w14:paraId="2F9874B0">
      <w:pPr>
        <w:spacing w:after="120" w:line="276" w:lineRule="auto"/>
        <w:ind w:firstLine="420"/>
        <w:rPr>
          <w:b w:val="0"/>
          <w:bCs w:val="0"/>
          <w:color w:val="auto"/>
        </w:rPr>
      </w:pPr>
      <w:r>
        <w:rPr>
          <w:rFonts w:ascii="Calibri" w:hAnsi="Calibri" w:eastAsia="Noto Sans CJK SC"/>
          <w:b w:val="0"/>
          <w:bCs w:val="0"/>
          <w:color w:val="auto"/>
          <w:sz w:val="21"/>
        </w:rPr>
        <w:t>测点优化的目标是在满足重建精度的前提下减少采样点数量，突出“高效获取”的工程价值。建议把这部分做成清晰的对比实验。</w:t>
      </w:r>
    </w:p>
    <w:tbl>
      <w:tblPr>
        <w:tblStyle w:val="33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4"/>
        <w:gridCol w:w="2464"/>
        <w:gridCol w:w="2464"/>
        <w:gridCol w:w="2464"/>
      </w:tblGrid>
      <w:tr w14:paraId="4285FDD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464" w:type="dxa"/>
            <w:shd w:val="clear" w:color="auto" w:fill="1F4E79"/>
            <w:vAlign w:val="center"/>
          </w:tcPr>
          <w:p w14:paraId="1F125D24">
            <w:pPr>
              <w:spacing w:after="0" w:line="240" w:lineRule="auto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7"/>
              </w:rPr>
              <w:t>实验组</w:t>
            </w:r>
          </w:p>
        </w:tc>
        <w:tc>
          <w:tcPr>
            <w:tcW w:w="2464" w:type="dxa"/>
            <w:shd w:val="clear" w:color="auto" w:fill="1F4E79"/>
            <w:vAlign w:val="center"/>
          </w:tcPr>
          <w:p w14:paraId="3DA7DD82">
            <w:pPr>
              <w:spacing w:after="0" w:line="240" w:lineRule="auto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7"/>
              </w:rPr>
              <w:t>测点比例</w:t>
            </w:r>
          </w:p>
        </w:tc>
        <w:tc>
          <w:tcPr>
            <w:tcW w:w="2464" w:type="dxa"/>
            <w:shd w:val="clear" w:color="auto" w:fill="1F4E79"/>
            <w:vAlign w:val="center"/>
          </w:tcPr>
          <w:p w14:paraId="40958C79">
            <w:pPr>
              <w:spacing w:after="0" w:line="240" w:lineRule="auto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7"/>
              </w:rPr>
              <w:t>目标</w:t>
            </w:r>
          </w:p>
        </w:tc>
        <w:tc>
          <w:tcPr>
            <w:tcW w:w="2464" w:type="dxa"/>
            <w:shd w:val="clear" w:color="auto" w:fill="1F4E79"/>
            <w:vAlign w:val="center"/>
          </w:tcPr>
          <w:p w14:paraId="38AC3796">
            <w:pPr>
              <w:spacing w:after="0" w:line="240" w:lineRule="auto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7"/>
              </w:rPr>
              <w:t>评价指标</w:t>
            </w:r>
          </w:p>
        </w:tc>
      </w:tr>
      <w:tr w14:paraId="7E09988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  <w:vAlign w:val="center"/>
          </w:tcPr>
          <w:p w14:paraId="17049810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7"/>
              </w:rPr>
              <w:t>Baseline</w:t>
            </w:r>
          </w:p>
        </w:tc>
        <w:tc>
          <w:tcPr>
            <w:tcW w:w="2464" w:type="dxa"/>
            <w:vAlign w:val="center"/>
          </w:tcPr>
          <w:p w14:paraId="1F612AD6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7"/>
              </w:rPr>
              <w:t>100%</w:t>
            </w:r>
          </w:p>
        </w:tc>
        <w:tc>
          <w:tcPr>
            <w:tcW w:w="2464" w:type="dxa"/>
            <w:vAlign w:val="center"/>
          </w:tcPr>
          <w:p w14:paraId="7D917977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7"/>
              </w:rPr>
              <w:t>作为全测点参考结果</w:t>
            </w:r>
          </w:p>
        </w:tc>
        <w:tc>
          <w:tcPr>
            <w:tcW w:w="2464" w:type="dxa"/>
            <w:vAlign w:val="center"/>
          </w:tcPr>
          <w:p w14:paraId="4AC2ABE6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7"/>
              </w:rPr>
              <w:t>NMSE、相关系数、主瓣误差</w:t>
            </w:r>
          </w:p>
        </w:tc>
      </w:tr>
      <w:tr w14:paraId="7FB650D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  <w:shd w:val="clear" w:color="auto" w:fill="F2F2F2"/>
            <w:vAlign w:val="center"/>
          </w:tcPr>
          <w:p w14:paraId="6C32F144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7"/>
              </w:rPr>
              <w:t>Group A</w:t>
            </w:r>
          </w:p>
        </w:tc>
        <w:tc>
          <w:tcPr>
            <w:tcW w:w="2464" w:type="dxa"/>
            <w:shd w:val="clear" w:color="auto" w:fill="F2F2F2"/>
            <w:vAlign w:val="center"/>
          </w:tcPr>
          <w:p w14:paraId="6069F02F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7"/>
              </w:rPr>
              <w:t>75%</w:t>
            </w:r>
          </w:p>
        </w:tc>
        <w:tc>
          <w:tcPr>
            <w:tcW w:w="2464" w:type="dxa"/>
            <w:shd w:val="clear" w:color="auto" w:fill="F2F2F2"/>
            <w:vAlign w:val="center"/>
          </w:tcPr>
          <w:p w14:paraId="42C3A75F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7"/>
              </w:rPr>
              <w:t>观察轻度稀疏采样影响</w:t>
            </w:r>
          </w:p>
        </w:tc>
        <w:tc>
          <w:tcPr>
            <w:tcW w:w="2464" w:type="dxa"/>
            <w:shd w:val="clear" w:color="auto" w:fill="F2F2F2"/>
            <w:vAlign w:val="center"/>
          </w:tcPr>
          <w:p w14:paraId="24C567C1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7"/>
              </w:rPr>
              <w:t>精度下降是否可接受</w:t>
            </w:r>
          </w:p>
        </w:tc>
      </w:tr>
      <w:tr w14:paraId="5165163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  <w:vAlign w:val="center"/>
          </w:tcPr>
          <w:p w14:paraId="7178D409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7"/>
              </w:rPr>
              <w:t>Group B</w:t>
            </w:r>
          </w:p>
        </w:tc>
        <w:tc>
          <w:tcPr>
            <w:tcW w:w="2464" w:type="dxa"/>
            <w:vAlign w:val="center"/>
          </w:tcPr>
          <w:p w14:paraId="63FDB56D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7"/>
              </w:rPr>
              <w:t>50%</w:t>
            </w:r>
          </w:p>
        </w:tc>
        <w:tc>
          <w:tcPr>
            <w:tcW w:w="2464" w:type="dxa"/>
            <w:vAlign w:val="center"/>
          </w:tcPr>
          <w:p w14:paraId="0C57B580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7"/>
              </w:rPr>
              <w:t>寻找工程可用折中点</w:t>
            </w:r>
          </w:p>
        </w:tc>
        <w:tc>
          <w:tcPr>
            <w:tcW w:w="2464" w:type="dxa"/>
            <w:vAlign w:val="center"/>
          </w:tcPr>
          <w:p w14:paraId="4EFA99FA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7"/>
              </w:rPr>
              <w:t>重建精度与效率平衡</w:t>
            </w:r>
          </w:p>
        </w:tc>
      </w:tr>
      <w:tr w14:paraId="3A06B15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  <w:shd w:val="clear" w:color="auto" w:fill="F2F2F2"/>
            <w:vAlign w:val="center"/>
          </w:tcPr>
          <w:p w14:paraId="73F6786B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7"/>
              </w:rPr>
              <w:t>Group C</w:t>
            </w:r>
          </w:p>
        </w:tc>
        <w:tc>
          <w:tcPr>
            <w:tcW w:w="2464" w:type="dxa"/>
            <w:shd w:val="clear" w:color="auto" w:fill="F2F2F2"/>
            <w:vAlign w:val="center"/>
          </w:tcPr>
          <w:p w14:paraId="1A1F90E8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7"/>
              </w:rPr>
              <w:t>25%</w:t>
            </w:r>
          </w:p>
        </w:tc>
        <w:tc>
          <w:tcPr>
            <w:tcW w:w="2464" w:type="dxa"/>
            <w:shd w:val="clear" w:color="auto" w:fill="F2F2F2"/>
            <w:vAlign w:val="center"/>
          </w:tcPr>
          <w:p w14:paraId="3EAEA565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7"/>
              </w:rPr>
              <w:t>验证极限压缩能力</w:t>
            </w:r>
          </w:p>
        </w:tc>
        <w:tc>
          <w:tcPr>
            <w:tcW w:w="2464" w:type="dxa"/>
            <w:shd w:val="clear" w:color="auto" w:fill="F2F2F2"/>
            <w:vAlign w:val="center"/>
          </w:tcPr>
          <w:p w14:paraId="6D075976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7"/>
              </w:rPr>
              <w:t>是否仍可识别主瓣和主要副瓣</w:t>
            </w:r>
          </w:p>
        </w:tc>
      </w:tr>
      <w:tr w14:paraId="0EFE07B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  <w:vAlign w:val="center"/>
          </w:tcPr>
          <w:p w14:paraId="70BDDD00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7"/>
              </w:rPr>
              <w:t>Optimized</w:t>
            </w:r>
          </w:p>
        </w:tc>
        <w:tc>
          <w:tcPr>
            <w:tcW w:w="2464" w:type="dxa"/>
            <w:vAlign w:val="center"/>
          </w:tcPr>
          <w:p w14:paraId="310311D8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7"/>
              </w:rPr>
              <w:t>自适应选择</w:t>
            </w:r>
          </w:p>
        </w:tc>
        <w:tc>
          <w:tcPr>
            <w:tcW w:w="2464" w:type="dxa"/>
            <w:vAlign w:val="center"/>
          </w:tcPr>
          <w:p w14:paraId="0EF0155D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7"/>
              </w:rPr>
              <w:t>用贪心/稀疏优化选择关键测点</w:t>
            </w:r>
          </w:p>
        </w:tc>
        <w:tc>
          <w:tcPr>
            <w:tcW w:w="2464" w:type="dxa"/>
            <w:vAlign w:val="center"/>
          </w:tcPr>
          <w:p w14:paraId="5A46AB4B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7"/>
              </w:rPr>
              <w:t>同等测点下是否优于随机抽样</w:t>
            </w:r>
          </w:p>
        </w:tc>
      </w:tr>
    </w:tbl>
    <w:p w14:paraId="71FAE4DC">
      <w:pPr>
        <w:spacing w:after="80"/>
        <w:rPr>
          <w:b w:val="0"/>
          <w:bCs w:val="0"/>
          <w:color w:val="auto"/>
        </w:rPr>
      </w:pPr>
    </w:p>
    <w:p w14:paraId="49FB6DCB">
      <w:pPr>
        <w:pStyle w:val="4"/>
        <w:rPr>
          <w:b w:val="0"/>
          <w:bCs w:val="0"/>
          <w:color w:val="auto"/>
        </w:rPr>
      </w:pPr>
      <w:r>
        <w:rPr>
          <w:rFonts w:ascii="Calibri" w:hAnsi="Calibri" w:eastAsia="Noto Sans CJK SC"/>
          <w:b w:val="0"/>
          <w:bCs w:val="0"/>
          <w:color w:val="auto"/>
          <w:sz w:val="26"/>
        </w:rPr>
        <w:t>6.1 推荐测点布局</w:t>
      </w:r>
    </w:p>
    <w:p w14:paraId="756B9099">
      <w:pPr>
        <w:pStyle w:val="16"/>
        <w:spacing w:after="40" w:line="276" w:lineRule="auto"/>
        <w:rPr>
          <w:b w:val="0"/>
          <w:bCs w:val="0"/>
          <w:color w:val="auto"/>
        </w:rPr>
      </w:pPr>
      <w:r>
        <w:rPr>
          <w:rFonts w:ascii="Calibri" w:hAnsi="Calibri" w:eastAsia="Noto Sans CJK SC"/>
          <w:b w:val="0"/>
          <w:bCs w:val="0"/>
          <w:color w:val="auto"/>
          <w:sz w:val="20"/>
        </w:rPr>
        <w:t>主方案：半柱面测量布局，更符合大尺寸航空载体工程布设场景。</w:t>
      </w:r>
    </w:p>
    <w:p w14:paraId="0140B282">
      <w:pPr>
        <w:pStyle w:val="16"/>
        <w:spacing w:after="40" w:line="276" w:lineRule="auto"/>
        <w:rPr>
          <w:b w:val="0"/>
          <w:bCs w:val="0"/>
          <w:color w:val="auto"/>
        </w:rPr>
      </w:pPr>
      <w:r>
        <w:rPr>
          <w:rFonts w:ascii="Calibri" w:hAnsi="Calibri" w:eastAsia="Noto Sans CJK SC"/>
          <w:b w:val="0"/>
          <w:bCs w:val="0"/>
          <w:color w:val="auto"/>
          <w:sz w:val="20"/>
        </w:rPr>
        <w:t>备选方案：半球面测量布局，空间覆盖更直观，适合展示 2π 空间立体角覆盖。</w:t>
      </w:r>
    </w:p>
    <w:p w14:paraId="14A415E1">
      <w:pPr>
        <w:pStyle w:val="16"/>
        <w:spacing w:after="40" w:line="276" w:lineRule="auto"/>
        <w:rPr>
          <w:b w:val="0"/>
          <w:bCs w:val="0"/>
          <w:color w:val="auto"/>
        </w:rPr>
      </w:pPr>
      <w:r>
        <w:rPr>
          <w:rFonts w:ascii="Calibri" w:hAnsi="Calibri" w:eastAsia="Noto Sans CJK SC"/>
          <w:b w:val="0"/>
          <w:bCs w:val="0"/>
          <w:color w:val="auto"/>
          <w:sz w:val="20"/>
        </w:rPr>
        <w:t>多极化方案：每个采样位置至少考虑水平/垂直两个正交极化，增强识别稳定性。</w:t>
      </w:r>
    </w:p>
    <w:p w14:paraId="24EA538B">
      <w:pPr>
        <w:pStyle w:val="16"/>
        <w:spacing w:after="40" w:line="276" w:lineRule="auto"/>
        <w:rPr>
          <w:b w:val="0"/>
          <w:bCs w:val="0"/>
          <w:color w:val="auto"/>
        </w:rPr>
      </w:pPr>
      <w:r>
        <w:rPr>
          <w:rFonts w:ascii="Calibri" w:hAnsi="Calibri" w:eastAsia="Noto Sans CJK SC"/>
          <w:b w:val="0"/>
          <w:bCs w:val="0"/>
          <w:color w:val="auto"/>
          <w:sz w:val="20"/>
        </w:rPr>
        <w:t>稀疏优化方案：先规则采样，再用误差贡献、互信息、贪心选择或 L1 稀疏策略减少点数。</w:t>
      </w:r>
    </w:p>
    <w:p w14:paraId="69E81D85">
      <w:pPr>
        <w:pStyle w:val="3"/>
        <w:rPr>
          <w:b w:val="0"/>
          <w:bCs w:val="0"/>
          <w:color w:val="auto"/>
        </w:rPr>
      </w:pPr>
      <w:r>
        <w:rPr>
          <w:rFonts w:ascii="Calibri" w:hAnsi="Calibri" w:eastAsia="Noto Sans CJK SC"/>
          <w:b w:val="0"/>
          <w:bCs w:val="0"/>
          <w:color w:val="auto"/>
          <w:sz w:val="32"/>
        </w:rPr>
        <w:t>7. 空间-频谱特征识别 Workflow</w:t>
      </w:r>
    </w:p>
    <w:p w14:paraId="2FAB048D">
      <w:pPr>
        <w:spacing w:after="120" w:line="276" w:lineRule="auto"/>
        <w:ind w:firstLine="420"/>
        <w:rPr>
          <w:b w:val="0"/>
          <w:bCs w:val="0"/>
          <w:color w:val="auto"/>
        </w:rPr>
      </w:pPr>
      <w:r>
        <w:rPr>
          <w:rFonts w:ascii="Calibri" w:hAnsi="Calibri" w:eastAsia="Noto Sans CJK SC"/>
          <w:b w:val="0"/>
          <w:bCs w:val="0"/>
          <w:color w:val="auto"/>
          <w:sz w:val="21"/>
        </w:rPr>
        <w:t>识别模块要服务于赛题中“不同载体及其运行状态有效区分”的要求。建议先做传统机器学习基线，再考虑深度学习加分。</w:t>
      </w:r>
    </w:p>
    <w:tbl>
      <w:tblPr>
        <w:tblStyle w:val="33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6"/>
        <w:gridCol w:w="3286"/>
        <w:gridCol w:w="3286"/>
      </w:tblGrid>
      <w:tr w14:paraId="61F1E58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286" w:type="dxa"/>
            <w:shd w:val="clear" w:color="auto" w:fill="1F4E79"/>
            <w:vAlign w:val="center"/>
          </w:tcPr>
          <w:p w14:paraId="62EE6AA2">
            <w:pPr>
              <w:spacing w:after="0" w:line="240" w:lineRule="auto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环节</w:t>
            </w:r>
          </w:p>
        </w:tc>
        <w:tc>
          <w:tcPr>
            <w:tcW w:w="3286" w:type="dxa"/>
            <w:shd w:val="clear" w:color="auto" w:fill="1F4E79"/>
            <w:vAlign w:val="center"/>
          </w:tcPr>
          <w:p w14:paraId="7D441A76">
            <w:pPr>
              <w:spacing w:after="0" w:line="240" w:lineRule="auto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具体做法</w:t>
            </w:r>
          </w:p>
        </w:tc>
        <w:tc>
          <w:tcPr>
            <w:tcW w:w="3286" w:type="dxa"/>
            <w:shd w:val="clear" w:color="auto" w:fill="1F4E79"/>
            <w:vAlign w:val="center"/>
          </w:tcPr>
          <w:p w14:paraId="15E00FBA">
            <w:pPr>
              <w:spacing w:after="0" w:line="240" w:lineRule="auto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推荐工具</w:t>
            </w:r>
          </w:p>
        </w:tc>
      </w:tr>
      <w:tr w14:paraId="22D02A9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6" w:type="dxa"/>
            <w:vAlign w:val="center"/>
          </w:tcPr>
          <w:p w14:paraId="5F203A54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数据集构建</w:t>
            </w:r>
          </w:p>
        </w:tc>
        <w:tc>
          <w:tcPr>
            <w:tcW w:w="3286" w:type="dxa"/>
            <w:vAlign w:val="center"/>
          </w:tcPr>
          <w:p w14:paraId="73719ED6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按源类型、安装位置、运行状态、频点、极化建立标签</w:t>
            </w:r>
          </w:p>
        </w:tc>
        <w:tc>
          <w:tcPr>
            <w:tcW w:w="3286" w:type="dxa"/>
            <w:vAlign w:val="center"/>
          </w:tcPr>
          <w:p w14:paraId="228E64A8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Python + HDF5</w:t>
            </w:r>
          </w:p>
        </w:tc>
      </w:tr>
      <w:tr w14:paraId="6E06718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6" w:type="dxa"/>
            <w:shd w:val="clear" w:color="auto" w:fill="F2F2F2"/>
            <w:vAlign w:val="center"/>
          </w:tcPr>
          <w:p w14:paraId="2083FF55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特征提取</w:t>
            </w:r>
          </w:p>
        </w:tc>
        <w:tc>
          <w:tcPr>
            <w:tcW w:w="3286" w:type="dxa"/>
            <w:shd w:val="clear" w:color="auto" w:fill="F2F2F2"/>
            <w:vAlign w:val="center"/>
          </w:tcPr>
          <w:p w14:paraId="7AB83432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主瓣方向、副瓣数量、方向图熵、频谱峰值、极化比、空频相关性</w:t>
            </w:r>
          </w:p>
        </w:tc>
        <w:tc>
          <w:tcPr>
            <w:tcW w:w="3286" w:type="dxa"/>
            <w:shd w:val="clear" w:color="auto" w:fill="F2F2F2"/>
            <w:vAlign w:val="center"/>
          </w:tcPr>
          <w:p w14:paraId="03428843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NumPy / SciPy</w:t>
            </w:r>
          </w:p>
        </w:tc>
      </w:tr>
      <w:tr w14:paraId="789E054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6" w:type="dxa"/>
            <w:vAlign w:val="center"/>
          </w:tcPr>
          <w:p w14:paraId="181567EB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降维分析</w:t>
            </w:r>
          </w:p>
        </w:tc>
        <w:tc>
          <w:tcPr>
            <w:tcW w:w="3286" w:type="dxa"/>
            <w:vAlign w:val="center"/>
          </w:tcPr>
          <w:p w14:paraId="01BC6279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PCA、t-SNE、UMAP 展示不同状态可分性</w:t>
            </w:r>
          </w:p>
        </w:tc>
        <w:tc>
          <w:tcPr>
            <w:tcW w:w="3286" w:type="dxa"/>
            <w:vAlign w:val="center"/>
          </w:tcPr>
          <w:p w14:paraId="7D14615F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scikit-learn</w:t>
            </w:r>
          </w:p>
        </w:tc>
      </w:tr>
      <w:tr w14:paraId="6945581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6" w:type="dxa"/>
            <w:shd w:val="clear" w:color="auto" w:fill="F2F2F2"/>
            <w:vAlign w:val="center"/>
          </w:tcPr>
          <w:p w14:paraId="6562F588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分类基线</w:t>
            </w:r>
          </w:p>
        </w:tc>
        <w:tc>
          <w:tcPr>
            <w:tcW w:w="3286" w:type="dxa"/>
            <w:shd w:val="clear" w:color="auto" w:fill="F2F2F2"/>
            <w:vAlign w:val="center"/>
          </w:tcPr>
          <w:p w14:paraId="41372D22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SVM、Random Forest、XGBoost</w:t>
            </w:r>
          </w:p>
        </w:tc>
        <w:tc>
          <w:tcPr>
            <w:tcW w:w="3286" w:type="dxa"/>
            <w:shd w:val="clear" w:color="auto" w:fill="F2F2F2"/>
            <w:vAlign w:val="center"/>
          </w:tcPr>
          <w:p w14:paraId="26ACD4E9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scikit-learn</w:t>
            </w:r>
          </w:p>
        </w:tc>
      </w:tr>
      <w:tr w14:paraId="3E01B52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6" w:type="dxa"/>
            <w:vAlign w:val="center"/>
          </w:tcPr>
          <w:p w14:paraId="2261468A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深度模型</w:t>
            </w:r>
          </w:p>
        </w:tc>
        <w:tc>
          <w:tcPr>
            <w:tcW w:w="3286" w:type="dxa"/>
            <w:vAlign w:val="center"/>
          </w:tcPr>
          <w:p w14:paraId="02981AEC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方向图热力图输入 CNN，自编码器提取辐射指纹</w:t>
            </w:r>
          </w:p>
        </w:tc>
        <w:tc>
          <w:tcPr>
            <w:tcW w:w="3286" w:type="dxa"/>
            <w:vAlign w:val="center"/>
          </w:tcPr>
          <w:p w14:paraId="27E8225E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PyTorch</w:t>
            </w:r>
          </w:p>
        </w:tc>
      </w:tr>
      <w:tr w14:paraId="5229A89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6" w:type="dxa"/>
            <w:shd w:val="clear" w:color="auto" w:fill="F2F2F2"/>
            <w:vAlign w:val="center"/>
          </w:tcPr>
          <w:p w14:paraId="3BFB7A1F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评价指标</w:t>
            </w:r>
          </w:p>
        </w:tc>
        <w:tc>
          <w:tcPr>
            <w:tcW w:w="3286" w:type="dxa"/>
            <w:shd w:val="clear" w:color="auto" w:fill="F2F2F2"/>
            <w:vAlign w:val="center"/>
          </w:tcPr>
          <w:p w14:paraId="04251700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Accuracy、Precision、Recall、F1、混淆矩阵</w:t>
            </w:r>
          </w:p>
        </w:tc>
        <w:tc>
          <w:tcPr>
            <w:tcW w:w="3286" w:type="dxa"/>
            <w:shd w:val="clear" w:color="auto" w:fill="F2F2F2"/>
            <w:vAlign w:val="center"/>
          </w:tcPr>
          <w:p w14:paraId="33F4FDE8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scikit-learn / Matplotlib</w:t>
            </w:r>
          </w:p>
        </w:tc>
      </w:tr>
    </w:tbl>
    <w:p w14:paraId="717A49B0">
      <w:pPr>
        <w:spacing w:after="80"/>
        <w:rPr>
          <w:b w:val="0"/>
          <w:bCs w:val="0"/>
          <w:color w:val="auto"/>
        </w:rPr>
      </w:pPr>
    </w:p>
    <w:tbl>
      <w:tblPr>
        <w:tblStyle w:val="32"/>
        <w:tblW w:w="0" w:type="auto"/>
        <w:jc w:val="center"/>
        <w:tblBorders>
          <w:top w:val="single" w:color="9ECAE1" w:sz="4" w:space="0"/>
          <w:left w:val="single" w:color="9ECAE1" w:sz="4" w:space="0"/>
          <w:bottom w:val="single" w:color="9ECAE1" w:sz="4" w:space="0"/>
          <w:right w:val="single" w:color="9ECAE1" w:sz="4" w:space="0"/>
          <w:insideH w:val="single" w:color="9ECAE1" w:sz="4" w:space="0"/>
          <w:insideV w:val="single" w:color="9ECAE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5235BCD6">
        <w:tblPrEx>
          <w:tblBorders>
            <w:top w:val="single" w:color="9ECAE1" w:sz="4" w:space="0"/>
            <w:left w:val="single" w:color="9ECAE1" w:sz="4" w:space="0"/>
            <w:bottom w:val="single" w:color="9ECAE1" w:sz="4" w:space="0"/>
            <w:right w:val="single" w:color="9ECAE1" w:sz="4" w:space="0"/>
            <w:insideH w:val="single" w:color="9ECAE1" w:sz="4" w:space="0"/>
            <w:insideV w:val="single" w:color="9ECA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58" w:type="dxa"/>
            <w:shd w:val="clear" w:color="auto" w:fill="FFF2CC"/>
          </w:tcPr>
          <w:p w14:paraId="39F04D8F">
            <w:pPr>
              <w:spacing w:after="60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21"/>
              </w:rPr>
              <w:t>识别目标</w:t>
            </w:r>
          </w:p>
          <w:p w14:paraId="314A2CEC">
            <w:pPr>
              <w:spacing w:line="276" w:lineRule="auto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9"/>
              </w:rPr>
              <w:t>先确保传统特征 + SVM/随机森林能达到或超过 85% 准确率，再考虑 CNN/Autoencoder。比赛报告中应给出混淆矩阵和不同状态样本的空间-频谱指纹图。</w:t>
            </w:r>
          </w:p>
        </w:tc>
      </w:tr>
    </w:tbl>
    <w:p w14:paraId="5B7ABF30">
      <w:pPr>
        <w:spacing w:after="60"/>
        <w:rPr>
          <w:b w:val="0"/>
          <w:bCs w:val="0"/>
          <w:color w:val="auto"/>
        </w:rPr>
      </w:pPr>
    </w:p>
    <w:p w14:paraId="5EDB5D5A">
      <w:pPr>
        <w:pStyle w:val="3"/>
        <w:rPr>
          <w:b w:val="0"/>
          <w:bCs w:val="0"/>
          <w:color w:val="auto"/>
        </w:rPr>
      </w:pPr>
      <w:r>
        <w:rPr>
          <w:rFonts w:ascii="Calibri" w:hAnsi="Calibri" w:eastAsia="Noto Sans CJK SC"/>
          <w:b w:val="0"/>
          <w:bCs w:val="0"/>
          <w:color w:val="auto"/>
          <w:sz w:val="32"/>
        </w:rPr>
        <w:t>8. 项目阶段计划与里程碑</w:t>
      </w:r>
    </w:p>
    <w:p w14:paraId="7E4799C0">
      <w:pPr>
        <w:spacing w:after="120" w:line="276" w:lineRule="auto"/>
        <w:ind w:firstLine="420"/>
        <w:rPr>
          <w:b w:val="0"/>
          <w:bCs w:val="0"/>
          <w:color w:val="auto"/>
        </w:rPr>
      </w:pPr>
      <w:r>
        <w:rPr>
          <w:rFonts w:ascii="Calibri" w:hAnsi="Calibri" w:eastAsia="Noto Sans CJK SC"/>
          <w:b w:val="0"/>
          <w:bCs w:val="0"/>
          <w:color w:val="auto"/>
          <w:sz w:val="21"/>
        </w:rPr>
        <w:t>以 2026 年 9 月 15 日前提交作品为目标，建议倒排四个阶段。每个阶段都必须有可展示产出，避免最后只剩概念方案。</w:t>
      </w:r>
    </w:p>
    <w:tbl>
      <w:tblPr>
        <w:tblStyle w:val="33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4"/>
        <w:gridCol w:w="2464"/>
        <w:gridCol w:w="2464"/>
        <w:gridCol w:w="2464"/>
      </w:tblGrid>
      <w:tr w14:paraId="6754F8C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464" w:type="dxa"/>
            <w:shd w:val="clear" w:color="auto" w:fill="1F4E79"/>
            <w:vAlign w:val="center"/>
          </w:tcPr>
          <w:p w14:paraId="6EC41BC5">
            <w:pPr>
              <w:spacing w:after="0" w:line="240" w:lineRule="auto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阶段</w:t>
            </w:r>
          </w:p>
        </w:tc>
        <w:tc>
          <w:tcPr>
            <w:tcW w:w="2464" w:type="dxa"/>
            <w:shd w:val="clear" w:color="auto" w:fill="1F4E79"/>
            <w:vAlign w:val="center"/>
          </w:tcPr>
          <w:p w14:paraId="457689B4">
            <w:pPr>
              <w:spacing w:after="0" w:line="240" w:lineRule="auto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建议周期</w:t>
            </w:r>
          </w:p>
        </w:tc>
        <w:tc>
          <w:tcPr>
            <w:tcW w:w="2464" w:type="dxa"/>
            <w:shd w:val="clear" w:color="auto" w:fill="1F4E79"/>
            <w:vAlign w:val="center"/>
          </w:tcPr>
          <w:p w14:paraId="2D65C288">
            <w:pPr>
              <w:spacing w:after="0" w:line="240" w:lineRule="auto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主要任务</w:t>
            </w:r>
          </w:p>
        </w:tc>
        <w:tc>
          <w:tcPr>
            <w:tcW w:w="2464" w:type="dxa"/>
            <w:shd w:val="clear" w:color="auto" w:fill="1F4E79"/>
            <w:vAlign w:val="center"/>
          </w:tcPr>
          <w:p w14:paraId="509EE6E0">
            <w:pPr>
              <w:spacing w:after="0" w:line="240" w:lineRule="auto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阶段交付物</w:t>
            </w:r>
          </w:p>
        </w:tc>
      </w:tr>
      <w:tr w14:paraId="22EA954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  <w:vAlign w:val="center"/>
          </w:tcPr>
          <w:p w14:paraId="7B4AF1CD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阶段 1：需求与调研</w:t>
            </w:r>
          </w:p>
        </w:tc>
        <w:tc>
          <w:tcPr>
            <w:tcW w:w="2464" w:type="dxa"/>
            <w:vAlign w:val="center"/>
          </w:tcPr>
          <w:p w14:paraId="7B15B1BE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第 1–2 周</w:t>
            </w:r>
          </w:p>
        </w:tc>
        <w:tc>
          <w:tcPr>
            <w:tcW w:w="2464" w:type="dxa"/>
            <w:vAlign w:val="center"/>
          </w:tcPr>
          <w:p w14:paraId="55DEBB7E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拆解赛题、调研近远场测量和辐射指纹、确定主技术路线</w:t>
            </w:r>
          </w:p>
        </w:tc>
        <w:tc>
          <w:tcPr>
            <w:tcW w:w="2464" w:type="dxa"/>
            <w:vAlign w:val="center"/>
          </w:tcPr>
          <w:p w14:paraId="04627F2F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需求矩阵、文献调研表、总体流程图</w:t>
            </w:r>
          </w:p>
        </w:tc>
      </w:tr>
      <w:tr w14:paraId="5EB2D3F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  <w:shd w:val="clear" w:color="auto" w:fill="F2F2F2"/>
            <w:vAlign w:val="center"/>
          </w:tcPr>
          <w:p w14:paraId="7516E5DE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阶段 2：仿真闭环</w:t>
            </w:r>
          </w:p>
        </w:tc>
        <w:tc>
          <w:tcPr>
            <w:tcW w:w="2464" w:type="dxa"/>
            <w:shd w:val="clear" w:color="auto" w:fill="F2F2F2"/>
            <w:vAlign w:val="center"/>
          </w:tcPr>
          <w:p w14:paraId="07CA1820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第 3–6 周</w:t>
            </w:r>
          </w:p>
        </w:tc>
        <w:tc>
          <w:tcPr>
            <w:tcW w:w="2464" w:type="dxa"/>
            <w:shd w:val="clear" w:color="auto" w:fill="F2F2F2"/>
            <w:vAlign w:val="center"/>
          </w:tcPr>
          <w:p w14:paraId="46E3ED9D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CST/解析模型建立标准源，导出近场和远场，完成数据格式定义</w:t>
            </w:r>
          </w:p>
        </w:tc>
        <w:tc>
          <w:tcPr>
            <w:tcW w:w="2464" w:type="dxa"/>
            <w:shd w:val="clear" w:color="auto" w:fill="F2F2F2"/>
            <w:vAlign w:val="center"/>
          </w:tcPr>
          <w:p w14:paraId="219205FA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标准源数据集、测点布局图、远场真值图</w:t>
            </w:r>
          </w:p>
        </w:tc>
      </w:tr>
      <w:tr w14:paraId="497629C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  <w:vAlign w:val="center"/>
          </w:tcPr>
          <w:p w14:paraId="29E87045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阶段 3：重建与优化</w:t>
            </w:r>
          </w:p>
        </w:tc>
        <w:tc>
          <w:tcPr>
            <w:tcW w:w="2464" w:type="dxa"/>
            <w:vAlign w:val="center"/>
          </w:tcPr>
          <w:p w14:paraId="1BD9D075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第 7–11 周</w:t>
            </w:r>
          </w:p>
        </w:tc>
        <w:tc>
          <w:tcPr>
            <w:tcW w:w="2464" w:type="dxa"/>
            <w:vAlign w:val="center"/>
          </w:tcPr>
          <w:p w14:paraId="48B6F55D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实现等效源反演、近远场重建、测点稀疏化对比</w:t>
            </w:r>
          </w:p>
        </w:tc>
        <w:tc>
          <w:tcPr>
            <w:tcW w:w="2464" w:type="dxa"/>
            <w:vAlign w:val="center"/>
          </w:tcPr>
          <w:p w14:paraId="58A8182E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重建方向图、误差曲线、测点优化结论</w:t>
            </w:r>
          </w:p>
        </w:tc>
      </w:tr>
      <w:tr w14:paraId="6E76D99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  <w:shd w:val="clear" w:color="auto" w:fill="F2F2F2"/>
            <w:vAlign w:val="center"/>
          </w:tcPr>
          <w:p w14:paraId="5FD49A77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阶段 4：识别与包装</w:t>
            </w:r>
          </w:p>
        </w:tc>
        <w:tc>
          <w:tcPr>
            <w:tcW w:w="2464" w:type="dxa"/>
            <w:shd w:val="clear" w:color="auto" w:fill="F2F2F2"/>
            <w:vAlign w:val="center"/>
          </w:tcPr>
          <w:p w14:paraId="32E45059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第 12–15 周</w:t>
            </w:r>
          </w:p>
        </w:tc>
        <w:tc>
          <w:tcPr>
            <w:tcW w:w="2464" w:type="dxa"/>
            <w:shd w:val="clear" w:color="auto" w:fill="F2F2F2"/>
            <w:vAlign w:val="center"/>
          </w:tcPr>
          <w:p w14:paraId="4DE9E92D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构造多状态数据集，训练分类模型，制作报告/PPT/视频</w:t>
            </w:r>
          </w:p>
        </w:tc>
        <w:tc>
          <w:tcPr>
            <w:tcW w:w="2464" w:type="dxa"/>
            <w:shd w:val="clear" w:color="auto" w:fill="F2F2F2"/>
            <w:vAlign w:val="center"/>
          </w:tcPr>
          <w:p w14:paraId="0D9CB57A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准确率报告、混淆矩阵、提交材料初稿</w:t>
            </w:r>
          </w:p>
        </w:tc>
      </w:tr>
      <w:tr w14:paraId="276D293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  <w:vAlign w:val="center"/>
          </w:tcPr>
          <w:p w14:paraId="661DA4EA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阶段 5：终稿打磨</w:t>
            </w:r>
          </w:p>
        </w:tc>
        <w:tc>
          <w:tcPr>
            <w:tcW w:w="2464" w:type="dxa"/>
            <w:vAlign w:val="center"/>
          </w:tcPr>
          <w:p w14:paraId="2B3B21BC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提交前 1–2 周</w:t>
            </w:r>
          </w:p>
        </w:tc>
        <w:tc>
          <w:tcPr>
            <w:tcW w:w="2464" w:type="dxa"/>
            <w:vAlign w:val="center"/>
          </w:tcPr>
          <w:p w14:paraId="0A3BC771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统一图表风格、检查代码可运行性、录屏演示、模拟答辩</w:t>
            </w:r>
          </w:p>
        </w:tc>
        <w:tc>
          <w:tcPr>
            <w:tcW w:w="2464" w:type="dxa"/>
            <w:vAlign w:val="center"/>
          </w:tcPr>
          <w:p w14:paraId="1FB38CBA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最终压缩包、答辩 PPT、演示视频</w:t>
            </w:r>
          </w:p>
        </w:tc>
      </w:tr>
    </w:tbl>
    <w:p w14:paraId="7572EA26">
      <w:pPr>
        <w:spacing w:after="80"/>
        <w:rPr>
          <w:b w:val="0"/>
          <w:bCs w:val="0"/>
          <w:color w:val="auto"/>
        </w:rPr>
      </w:pPr>
    </w:p>
    <w:p w14:paraId="2FBE10CE">
      <w:pPr>
        <w:pStyle w:val="3"/>
        <w:rPr>
          <w:b w:val="0"/>
          <w:bCs w:val="0"/>
          <w:color w:val="auto"/>
        </w:rPr>
      </w:pPr>
      <w:r>
        <w:rPr>
          <w:rFonts w:ascii="Calibri" w:hAnsi="Calibri" w:eastAsia="Noto Sans CJK SC"/>
          <w:b w:val="0"/>
          <w:bCs w:val="0"/>
          <w:color w:val="auto"/>
          <w:sz w:val="32"/>
        </w:rPr>
        <w:t>9. 团队分工建议</w:t>
      </w:r>
    </w:p>
    <w:tbl>
      <w:tblPr>
        <w:tblStyle w:val="33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4"/>
        <w:gridCol w:w="2464"/>
        <w:gridCol w:w="2464"/>
        <w:gridCol w:w="2464"/>
      </w:tblGrid>
      <w:tr w14:paraId="42042F2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</w:tblPrEx>
        <w:trPr>
          <w:tblHeader/>
          <w:jc w:val="center"/>
        </w:trPr>
        <w:tc>
          <w:tcPr>
            <w:tcW w:w="2464" w:type="dxa"/>
            <w:shd w:val="clear" w:color="auto" w:fill="1F4E79"/>
            <w:vAlign w:val="center"/>
          </w:tcPr>
          <w:p w14:paraId="1D22BE8E">
            <w:pPr>
              <w:spacing w:after="0" w:line="240" w:lineRule="auto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角色</w:t>
            </w:r>
          </w:p>
        </w:tc>
        <w:tc>
          <w:tcPr>
            <w:tcW w:w="2464" w:type="dxa"/>
            <w:shd w:val="clear" w:color="auto" w:fill="1F4E79"/>
            <w:vAlign w:val="center"/>
          </w:tcPr>
          <w:p w14:paraId="30C6FCAD">
            <w:pPr>
              <w:spacing w:after="0" w:line="240" w:lineRule="auto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人数建议</w:t>
            </w:r>
          </w:p>
        </w:tc>
        <w:tc>
          <w:tcPr>
            <w:tcW w:w="2464" w:type="dxa"/>
            <w:shd w:val="clear" w:color="auto" w:fill="1F4E79"/>
            <w:vAlign w:val="center"/>
          </w:tcPr>
          <w:p w14:paraId="4513508A">
            <w:pPr>
              <w:spacing w:after="0" w:line="240" w:lineRule="auto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核心任务</w:t>
            </w:r>
          </w:p>
        </w:tc>
        <w:tc>
          <w:tcPr>
            <w:tcW w:w="2464" w:type="dxa"/>
            <w:shd w:val="clear" w:color="auto" w:fill="1F4E79"/>
            <w:vAlign w:val="center"/>
          </w:tcPr>
          <w:p w14:paraId="4C7722F1">
            <w:pPr>
              <w:spacing w:after="0" w:line="240" w:lineRule="auto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主要交付物</w:t>
            </w:r>
          </w:p>
        </w:tc>
      </w:tr>
      <w:tr w14:paraId="3D2CB8C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  <w:vAlign w:val="center"/>
          </w:tcPr>
          <w:p w14:paraId="6A51C389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总体负责人</w:t>
            </w:r>
          </w:p>
        </w:tc>
        <w:tc>
          <w:tcPr>
            <w:tcW w:w="2464" w:type="dxa"/>
            <w:vAlign w:val="center"/>
          </w:tcPr>
          <w:p w14:paraId="089E129A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1</w:t>
            </w:r>
          </w:p>
        </w:tc>
        <w:tc>
          <w:tcPr>
            <w:tcW w:w="2464" w:type="dxa"/>
            <w:vAlign w:val="center"/>
          </w:tcPr>
          <w:p w14:paraId="06653C7A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把控赛题理解、技术路线、进度、答辩逻辑</w:t>
            </w:r>
          </w:p>
        </w:tc>
        <w:tc>
          <w:tcPr>
            <w:tcW w:w="2464" w:type="dxa"/>
            <w:vAlign w:val="center"/>
          </w:tcPr>
          <w:p w14:paraId="50B61172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总体方案、PPT 主线</w:t>
            </w:r>
          </w:p>
        </w:tc>
      </w:tr>
      <w:tr w14:paraId="01E10B8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  <w:shd w:val="clear" w:color="auto" w:fill="F2F2F2"/>
            <w:vAlign w:val="center"/>
          </w:tcPr>
          <w:p w14:paraId="4C549DE3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电磁建模组</w:t>
            </w:r>
          </w:p>
        </w:tc>
        <w:tc>
          <w:tcPr>
            <w:tcW w:w="2464" w:type="dxa"/>
            <w:shd w:val="clear" w:color="auto" w:fill="F2F2F2"/>
            <w:vAlign w:val="center"/>
          </w:tcPr>
          <w:p w14:paraId="4EE5802E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1–2</w:t>
            </w:r>
          </w:p>
        </w:tc>
        <w:tc>
          <w:tcPr>
            <w:tcW w:w="2464" w:type="dxa"/>
            <w:shd w:val="clear" w:color="auto" w:fill="F2F2F2"/>
            <w:vAlign w:val="center"/>
          </w:tcPr>
          <w:p w14:paraId="43307E24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CST/FEKO/COMSOL 建模，生成近场/远场数据</w:t>
            </w:r>
          </w:p>
        </w:tc>
        <w:tc>
          <w:tcPr>
            <w:tcW w:w="2464" w:type="dxa"/>
            <w:shd w:val="clear" w:color="auto" w:fill="F2F2F2"/>
            <w:vAlign w:val="center"/>
          </w:tcPr>
          <w:p w14:paraId="2023F411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仿真模型、方向图、数据导出脚本</w:t>
            </w:r>
          </w:p>
        </w:tc>
      </w:tr>
      <w:tr w14:paraId="3AA7FCB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  <w:vAlign w:val="center"/>
          </w:tcPr>
          <w:p w14:paraId="6ACF9DB2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算法重建组</w:t>
            </w:r>
          </w:p>
        </w:tc>
        <w:tc>
          <w:tcPr>
            <w:tcW w:w="2464" w:type="dxa"/>
            <w:vAlign w:val="center"/>
          </w:tcPr>
          <w:p w14:paraId="2DE250CE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2</w:t>
            </w:r>
          </w:p>
        </w:tc>
        <w:tc>
          <w:tcPr>
            <w:tcW w:w="2464" w:type="dxa"/>
            <w:vAlign w:val="center"/>
          </w:tcPr>
          <w:p w14:paraId="4C426AB1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等效源反演、近远场变换、误差评估</w:t>
            </w:r>
          </w:p>
        </w:tc>
        <w:tc>
          <w:tcPr>
            <w:tcW w:w="2464" w:type="dxa"/>
            <w:vAlign w:val="center"/>
          </w:tcPr>
          <w:p w14:paraId="756177AD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重建代码、误差曲线、算法章节</w:t>
            </w:r>
          </w:p>
        </w:tc>
      </w:tr>
      <w:tr w14:paraId="50DA3C5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  <w:shd w:val="clear" w:color="auto" w:fill="F2F2F2"/>
            <w:vAlign w:val="center"/>
          </w:tcPr>
          <w:p w14:paraId="6993E171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测点优化组</w:t>
            </w:r>
          </w:p>
        </w:tc>
        <w:tc>
          <w:tcPr>
            <w:tcW w:w="2464" w:type="dxa"/>
            <w:shd w:val="clear" w:color="auto" w:fill="F2F2F2"/>
            <w:vAlign w:val="center"/>
          </w:tcPr>
          <w:p w14:paraId="58770E47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1</w:t>
            </w:r>
          </w:p>
        </w:tc>
        <w:tc>
          <w:tcPr>
            <w:tcW w:w="2464" w:type="dxa"/>
            <w:shd w:val="clear" w:color="auto" w:fill="F2F2F2"/>
            <w:vAlign w:val="center"/>
          </w:tcPr>
          <w:p w14:paraId="3C5F8456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半柱面/半球面布局、稀疏采样、测点数量对比</w:t>
            </w:r>
          </w:p>
        </w:tc>
        <w:tc>
          <w:tcPr>
            <w:tcW w:w="2464" w:type="dxa"/>
            <w:shd w:val="clear" w:color="auto" w:fill="F2F2F2"/>
            <w:vAlign w:val="center"/>
          </w:tcPr>
          <w:p w14:paraId="32E8F791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测点坐标表、优化实验结果</w:t>
            </w:r>
          </w:p>
        </w:tc>
      </w:tr>
      <w:tr w14:paraId="28C4B96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  <w:vAlign w:val="center"/>
          </w:tcPr>
          <w:p w14:paraId="1A69F443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识别算法组</w:t>
            </w:r>
          </w:p>
        </w:tc>
        <w:tc>
          <w:tcPr>
            <w:tcW w:w="2464" w:type="dxa"/>
            <w:vAlign w:val="center"/>
          </w:tcPr>
          <w:p w14:paraId="526D199A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1–2</w:t>
            </w:r>
          </w:p>
        </w:tc>
        <w:tc>
          <w:tcPr>
            <w:tcW w:w="2464" w:type="dxa"/>
            <w:vAlign w:val="center"/>
          </w:tcPr>
          <w:p w14:paraId="324BC834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特征提取、分类器训练、准确率评估</w:t>
            </w:r>
          </w:p>
        </w:tc>
        <w:tc>
          <w:tcPr>
            <w:tcW w:w="2464" w:type="dxa"/>
            <w:vAlign w:val="center"/>
          </w:tcPr>
          <w:p w14:paraId="7D020569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识别模型、混淆矩阵、准确率报告</w:t>
            </w:r>
          </w:p>
        </w:tc>
      </w:tr>
      <w:tr w14:paraId="276EB9C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  <w:shd w:val="clear" w:color="auto" w:fill="F2F2F2"/>
            <w:vAlign w:val="center"/>
          </w:tcPr>
          <w:p w14:paraId="4557DC87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材料与展示组</w:t>
            </w:r>
          </w:p>
        </w:tc>
        <w:tc>
          <w:tcPr>
            <w:tcW w:w="2464" w:type="dxa"/>
            <w:shd w:val="clear" w:color="auto" w:fill="F2F2F2"/>
            <w:vAlign w:val="center"/>
          </w:tcPr>
          <w:p w14:paraId="1C50FEB2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1–2</w:t>
            </w:r>
          </w:p>
        </w:tc>
        <w:tc>
          <w:tcPr>
            <w:tcW w:w="2464" w:type="dxa"/>
            <w:shd w:val="clear" w:color="auto" w:fill="F2F2F2"/>
            <w:vAlign w:val="center"/>
          </w:tcPr>
          <w:p w14:paraId="1C0C3EA1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报告、PPT、视频、三维图、流程图</w:t>
            </w:r>
          </w:p>
        </w:tc>
        <w:tc>
          <w:tcPr>
            <w:tcW w:w="2464" w:type="dxa"/>
            <w:shd w:val="clear" w:color="auto" w:fill="F2F2F2"/>
            <w:vAlign w:val="center"/>
          </w:tcPr>
          <w:p w14:paraId="3211B7A3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提交文档、答辩材料、演示视频</w:t>
            </w:r>
          </w:p>
        </w:tc>
      </w:tr>
    </w:tbl>
    <w:p w14:paraId="3CDC1E3A">
      <w:pPr>
        <w:spacing w:after="80"/>
        <w:rPr>
          <w:b w:val="0"/>
          <w:bCs w:val="0"/>
          <w:color w:val="auto"/>
        </w:rPr>
      </w:pPr>
    </w:p>
    <w:p w14:paraId="0A3B7E64">
      <w:pPr>
        <w:pStyle w:val="3"/>
        <w:rPr>
          <w:b w:val="0"/>
          <w:bCs w:val="0"/>
          <w:color w:val="auto"/>
        </w:rPr>
      </w:pPr>
      <w:r>
        <w:rPr>
          <w:rFonts w:ascii="Calibri" w:hAnsi="Calibri" w:eastAsia="Noto Sans CJK SC"/>
          <w:b w:val="0"/>
          <w:bCs w:val="0"/>
          <w:color w:val="auto"/>
          <w:sz w:val="32"/>
        </w:rPr>
        <w:t>10. 风险清单与规避措施</w:t>
      </w:r>
    </w:p>
    <w:tbl>
      <w:tblPr>
        <w:tblStyle w:val="33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6"/>
        <w:gridCol w:w="3286"/>
        <w:gridCol w:w="3286"/>
      </w:tblGrid>
      <w:tr w14:paraId="14E1F31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286" w:type="dxa"/>
            <w:shd w:val="clear" w:color="auto" w:fill="1F4E79"/>
            <w:vAlign w:val="center"/>
          </w:tcPr>
          <w:p w14:paraId="6569E52A">
            <w:pPr>
              <w:spacing w:after="0" w:line="240" w:lineRule="auto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风险</w:t>
            </w:r>
          </w:p>
        </w:tc>
        <w:tc>
          <w:tcPr>
            <w:tcW w:w="3286" w:type="dxa"/>
            <w:shd w:val="clear" w:color="auto" w:fill="1F4E79"/>
            <w:vAlign w:val="center"/>
          </w:tcPr>
          <w:p w14:paraId="7ABFAE64">
            <w:pPr>
              <w:spacing w:after="0" w:line="240" w:lineRule="auto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表现</w:t>
            </w:r>
          </w:p>
        </w:tc>
        <w:tc>
          <w:tcPr>
            <w:tcW w:w="3286" w:type="dxa"/>
            <w:shd w:val="clear" w:color="auto" w:fill="1F4E79"/>
            <w:vAlign w:val="center"/>
          </w:tcPr>
          <w:p w14:paraId="44E03F59">
            <w:pPr>
              <w:spacing w:after="0" w:line="240" w:lineRule="auto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规避措施</w:t>
            </w:r>
          </w:p>
        </w:tc>
      </w:tr>
      <w:tr w14:paraId="57E94B5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6" w:type="dxa"/>
            <w:vAlign w:val="center"/>
          </w:tcPr>
          <w:p w14:paraId="00C875D3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仿真模型过大</w:t>
            </w:r>
          </w:p>
        </w:tc>
        <w:tc>
          <w:tcPr>
            <w:tcW w:w="3286" w:type="dxa"/>
            <w:vAlign w:val="center"/>
          </w:tcPr>
          <w:p w14:paraId="7A766412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CST/COMSOL 计算时间长、内存爆炸</w:t>
            </w:r>
          </w:p>
        </w:tc>
        <w:tc>
          <w:tcPr>
            <w:tcW w:w="3286" w:type="dxa"/>
            <w:vAlign w:val="center"/>
          </w:tcPr>
          <w:p w14:paraId="1D16729F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先做标准源和简化载体；控制频率；优先参数化小模型</w:t>
            </w:r>
          </w:p>
        </w:tc>
      </w:tr>
      <w:tr w14:paraId="7319803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6" w:type="dxa"/>
            <w:shd w:val="clear" w:color="auto" w:fill="F2F2F2"/>
            <w:vAlign w:val="center"/>
          </w:tcPr>
          <w:p w14:paraId="71C2CF32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只会用软件自带远场</w:t>
            </w:r>
          </w:p>
        </w:tc>
        <w:tc>
          <w:tcPr>
            <w:tcW w:w="3286" w:type="dxa"/>
            <w:shd w:val="clear" w:color="auto" w:fill="F2F2F2"/>
            <w:vAlign w:val="center"/>
          </w:tcPr>
          <w:p w14:paraId="6B0356DF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缺少自研算法，难以体现重建能力</w:t>
            </w:r>
          </w:p>
        </w:tc>
        <w:tc>
          <w:tcPr>
            <w:tcW w:w="3286" w:type="dxa"/>
            <w:shd w:val="clear" w:color="auto" w:fill="F2F2F2"/>
            <w:vAlign w:val="center"/>
          </w:tcPr>
          <w:p w14:paraId="31108004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必须导出近场数据，自主实现近远场重建并对比真值</w:t>
            </w:r>
          </w:p>
        </w:tc>
      </w:tr>
      <w:tr w14:paraId="4BECBBB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6" w:type="dxa"/>
            <w:vAlign w:val="center"/>
          </w:tcPr>
          <w:p w14:paraId="3C481448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测点优化没有说服力</w:t>
            </w:r>
          </w:p>
        </w:tc>
        <w:tc>
          <w:tcPr>
            <w:tcW w:w="3286" w:type="dxa"/>
            <w:vAlign w:val="center"/>
          </w:tcPr>
          <w:p w14:paraId="008C5C97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只是随机删点，缺乏规律和指标</w:t>
            </w:r>
          </w:p>
        </w:tc>
        <w:tc>
          <w:tcPr>
            <w:tcW w:w="3286" w:type="dxa"/>
            <w:vAlign w:val="center"/>
          </w:tcPr>
          <w:p w14:paraId="3D06AD9E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设计多组测点比例，给出 NMSE/相关系数/主瓣误差曲线</w:t>
            </w:r>
          </w:p>
        </w:tc>
      </w:tr>
      <w:tr w14:paraId="31153C8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6" w:type="dxa"/>
            <w:shd w:val="clear" w:color="auto" w:fill="F2F2F2"/>
            <w:vAlign w:val="center"/>
          </w:tcPr>
          <w:p w14:paraId="26DE58DC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识别准确率不足</w:t>
            </w:r>
          </w:p>
        </w:tc>
        <w:tc>
          <w:tcPr>
            <w:tcW w:w="3286" w:type="dxa"/>
            <w:shd w:val="clear" w:color="auto" w:fill="F2F2F2"/>
            <w:vAlign w:val="center"/>
          </w:tcPr>
          <w:p w14:paraId="27C7F7A0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样本少、状态差异不明显</w:t>
            </w:r>
          </w:p>
        </w:tc>
        <w:tc>
          <w:tcPr>
            <w:tcW w:w="3286" w:type="dxa"/>
            <w:shd w:val="clear" w:color="auto" w:fill="F2F2F2"/>
            <w:vAlign w:val="center"/>
          </w:tcPr>
          <w:p w14:paraId="73C4BEB4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先构造可控差异的数据集，再逐步增加噪声和复杂性</w:t>
            </w:r>
          </w:p>
        </w:tc>
      </w:tr>
      <w:tr w14:paraId="4016B00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6" w:type="dxa"/>
            <w:vAlign w:val="center"/>
          </w:tcPr>
          <w:p w14:paraId="219B05D2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工具链混乱</w:t>
            </w:r>
          </w:p>
        </w:tc>
        <w:tc>
          <w:tcPr>
            <w:tcW w:w="3286" w:type="dxa"/>
            <w:vAlign w:val="center"/>
          </w:tcPr>
          <w:p w14:paraId="4BF542FF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代码不可复现，数据版本混乱</w:t>
            </w:r>
          </w:p>
        </w:tc>
        <w:tc>
          <w:tcPr>
            <w:tcW w:w="3286" w:type="dxa"/>
            <w:vAlign w:val="center"/>
          </w:tcPr>
          <w:p w14:paraId="07F77E12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统一 Conda 环境、Git 管理、HDF5 数据格式和命名规范</w:t>
            </w:r>
          </w:p>
        </w:tc>
      </w:tr>
      <w:tr w14:paraId="2171869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6" w:type="dxa"/>
            <w:shd w:val="clear" w:color="auto" w:fill="F2F2F2"/>
            <w:vAlign w:val="center"/>
          </w:tcPr>
          <w:p w14:paraId="63E54CA4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报告像概念书</w:t>
            </w:r>
          </w:p>
        </w:tc>
        <w:tc>
          <w:tcPr>
            <w:tcW w:w="3286" w:type="dxa"/>
            <w:shd w:val="clear" w:color="auto" w:fill="F2F2F2"/>
            <w:vAlign w:val="center"/>
          </w:tcPr>
          <w:p w14:paraId="04E5ED54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缺少量化结果和图表</w:t>
            </w:r>
          </w:p>
        </w:tc>
        <w:tc>
          <w:tcPr>
            <w:tcW w:w="3286" w:type="dxa"/>
            <w:shd w:val="clear" w:color="auto" w:fill="F2F2F2"/>
            <w:vAlign w:val="center"/>
          </w:tcPr>
          <w:p w14:paraId="7695A1EA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每个技术模块至少给出一张图、一张表、一个指标</w:t>
            </w:r>
          </w:p>
        </w:tc>
      </w:tr>
    </w:tbl>
    <w:p w14:paraId="0C554ADD">
      <w:pPr>
        <w:spacing w:after="80"/>
        <w:rPr>
          <w:b w:val="0"/>
          <w:bCs w:val="0"/>
          <w:color w:val="auto"/>
        </w:rPr>
      </w:pPr>
    </w:p>
    <w:p w14:paraId="7C5C60AF">
      <w:pPr>
        <w:pStyle w:val="3"/>
        <w:rPr>
          <w:b w:val="0"/>
          <w:bCs w:val="0"/>
          <w:color w:val="auto"/>
        </w:rPr>
      </w:pPr>
      <w:r>
        <w:rPr>
          <w:rFonts w:ascii="Calibri" w:hAnsi="Calibri" w:eastAsia="Noto Sans CJK SC"/>
          <w:b w:val="0"/>
          <w:bCs w:val="0"/>
          <w:color w:val="auto"/>
          <w:sz w:val="32"/>
        </w:rPr>
        <w:t>11. 最终交付物 Checklist</w:t>
      </w:r>
    </w:p>
    <w:p w14:paraId="11398E3D">
      <w:pPr>
        <w:spacing w:after="120" w:line="276" w:lineRule="auto"/>
        <w:ind w:firstLine="420"/>
        <w:rPr>
          <w:b w:val="0"/>
          <w:bCs w:val="0"/>
          <w:color w:val="auto"/>
        </w:rPr>
      </w:pPr>
      <w:r>
        <w:rPr>
          <w:rFonts w:ascii="Calibri" w:hAnsi="Calibri" w:eastAsia="Noto Sans CJK SC"/>
          <w:b w:val="0"/>
          <w:bCs w:val="0"/>
          <w:color w:val="auto"/>
          <w:sz w:val="21"/>
        </w:rPr>
        <w:t>提交前建议逐项检查以下内容，确保作品从“想法”变成“可验证系统”。</w:t>
      </w:r>
    </w:p>
    <w:tbl>
      <w:tblPr>
        <w:tblStyle w:val="33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6"/>
        <w:gridCol w:w="3286"/>
        <w:gridCol w:w="3286"/>
      </w:tblGrid>
      <w:tr w14:paraId="3B3BD4D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286" w:type="dxa"/>
            <w:shd w:val="clear" w:color="auto" w:fill="1F4E79"/>
            <w:vAlign w:val="center"/>
          </w:tcPr>
          <w:p w14:paraId="4C446981">
            <w:pPr>
              <w:spacing w:after="0" w:line="240" w:lineRule="auto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类别</w:t>
            </w:r>
          </w:p>
        </w:tc>
        <w:tc>
          <w:tcPr>
            <w:tcW w:w="3286" w:type="dxa"/>
            <w:shd w:val="clear" w:color="auto" w:fill="1F4E79"/>
            <w:vAlign w:val="center"/>
          </w:tcPr>
          <w:p w14:paraId="1DFF61E1">
            <w:pPr>
              <w:spacing w:after="0" w:line="240" w:lineRule="auto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交付物</w:t>
            </w:r>
          </w:p>
        </w:tc>
        <w:tc>
          <w:tcPr>
            <w:tcW w:w="3286" w:type="dxa"/>
            <w:shd w:val="clear" w:color="auto" w:fill="1F4E79"/>
            <w:vAlign w:val="center"/>
          </w:tcPr>
          <w:p w14:paraId="2837BE8D">
            <w:pPr>
              <w:spacing w:after="0" w:line="240" w:lineRule="auto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是否完成</w:t>
            </w:r>
          </w:p>
        </w:tc>
      </w:tr>
      <w:tr w14:paraId="3FDB189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6" w:type="dxa"/>
            <w:vAlign w:val="center"/>
          </w:tcPr>
          <w:p w14:paraId="5BF88311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方案报告</w:t>
            </w:r>
          </w:p>
        </w:tc>
        <w:tc>
          <w:tcPr>
            <w:tcW w:w="3286" w:type="dxa"/>
            <w:vAlign w:val="center"/>
          </w:tcPr>
          <w:p w14:paraId="4C8741D0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背景调研、需求分析、技术路线、系统设计、算法设计、仿真结果、误差分析、识别结果</w:t>
            </w:r>
          </w:p>
        </w:tc>
        <w:tc>
          <w:tcPr>
            <w:tcW w:w="3286" w:type="dxa"/>
            <w:vAlign w:val="center"/>
          </w:tcPr>
          <w:p w14:paraId="5ED6D69A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□</w:t>
            </w:r>
          </w:p>
        </w:tc>
      </w:tr>
      <w:tr w14:paraId="1DBF551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6" w:type="dxa"/>
            <w:shd w:val="clear" w:color="auto" w:fill="F2F2F2"/>
            <w:vAlign w:val="center"/>
          </w:tcPr>
          <w:p w14:paraId="2B10B901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PPT</w:t>
            </w:r>
          </w:p>
        </w:tc>
        <w:tc>
          <w:tcPr>
            <w:tcW w:w="3286" w:type="dxa"/>
            <w:shd w:val="clear" w:color="auto" w:fill="F2F2F2"/>
            <w:vAlign w:val="center"/>
          </w:tcPr>
          <w:p w14:paraId="38CCBA86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10–15 页答辩版：问题背景、总体方案、核心算法、结果、创新点、计划</w:t>
            </w:r>
          </w:p>
        </w:tc>
        <w:tc>
          <w:tcPr>
            <w:tcW w:w="3286" w:type="dxa"/>
            <w:shd w:val="clear" w:color="auto" w:fill="F2F2F2"/>
            <w:vAlign w:val="center"/>
          </w:tcPr>
          <w:p w14:paraId="0D7B982E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□</w:t>
            </w:r>
          </w:p>
        </w:tc>
      </w:tr>
      <w:tr w14:paraId="629530A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6" w:type="dxa"/>
            <w:vAlign w:val="center"/>
          </w:tcPr>
          <w:p w14:paraId="2705B7A3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视频/录屏</w:t>
            </w:r>
          </w:p>
        </w:tc>
        <w:tc>
          <w:tcPr>
            <w:tcW w:w="3286" w:type="dxa"/>
            <w:vAlign w:val="center"/>
          </w:tcPr>
          <w:p w14:paraId="106744C4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2–3 分钟展示：仿真模型、测点布局、重建过程、识别结果</w:t>
            </w:r>
          </w:p>
        </w:tc>
        <w:tc>
          <w:tcPr>
            <w:tcW w:w="3286" w:type="dxa"/>
            <w:vAlign w:val="center"/>
          </w:tcPr>
          <w:p w14:paraId="5E52F548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□</w:t>
            </w:r>
          </w:p>
        </w:tc>
      </w:tr>
      <w:tr w14:paraId="6F7DF50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6" w:type="dxa"/>
            <w:shd w:val="clear" w:color="auto" w:fill="F2F2F2"/>
            <w:vAlign w:val="center"/>
          </w:tcPr>
          <w:p w14:paraId="35543C38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仿真数据</w:t>
            </w:r>
          </w:p>
        </w:tc>
        <w:tc>
          <w:tcPr>
            <w:tcW w:w="3286" w:type="dxa"/>
            <w:shd w:val="clear" w:color="auto" w:fill="F2F2F2"/>
            <w:vAlign w:val="center"/>
          </w:tcPr>
          <w:p w14:paraId="78AF23BA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近场数据、远场真值、不同状态数据集、测点坐标表</w:t>
            </w:r>
          </w:p>
        </w:tc>
        <w:tc>
          <w:tcPr>
            <w:tcW w:w="3286" w:type="dxa"/>
            <w:shd w:val="clear" w:color="auto" w:fill="F2F2F2"/>
            <w:vAlign w:val="center"/>
          </w:tcPr>
          <w:p w14:paraId="6E9454AE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□</w:t>
            </w:r>
          </w:p>
        </w:tc>
      </w:tr>
      <w:tr w14:paraId="7E6BF5F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6" w:type="dxa"/>
            <w:vAlign w:val="center"/>
          </w:tcPr>
          <w:p w14:paraId="60D1F0B8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测试代码</w:t>
            </w:r>
          </w:p>
        </w:tc>
        <w:tc>
          <w:tcPr>
            <w:tcW w:w="3286" w:type="dxa"/>
            <w:vAlign w:val="center"/>
          </w:tcPr>
          <w:p w14:paraId="57F0059E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数据读取、近远场重建、测点优化、识别训练与评估脚本</w:t>
            </w:r>
          </w:p>
        </w:tc>
        <w:tc>
          <w:tcPr>
            <w:tcW w:w="3286" w:type="dxa"/>
            <w:vAlign w:val="center"/>
          </w:tcPr>
          <w:p w14:paraId="45218DC6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□</w:t>
            </w:r>
          </w:p>
        </w:tc>
      </w:tr>
      <w:tr w14:paraId="455C809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6" w:type="dxa"/>
            <w:shd w:val="clear" w:color="auto" w:fill="F2F2F2"/>
            <w:vAlign w:val="center"/>
          </w:tcPr>
          <w:p w14:paraId="002ADD88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结果图表</w:t>
            </w:r>
          </w:p>
        </w:tc>
        <w:tc>
          <w:tcPr>
            <w:tcW w:w="3286" w:type="dxa"/>
            <w:shd w:val="clear" w:color="auto" w:fill="F2F2F2"/>
            <w:vAlign w:val="center"/>
          </w:tcPr>
          <w:p w14:paraId="68BDA37D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传感器布局图、方向图对比、误差热力图、测点数-精度曲线、混淆矩阵</w:t>
            </w:r>
          </w:p>
        </w:tc>
        <w:tc>
          <w:tcPr>
            <w:tcW w:w="3286" w:type="dxa"/>
            <w:shd w:val="clear" w:color="auto" w:fill="F2F2F2"/>
            <w:vAlign w:val="center"/>
          </w:tcPr>
          <w:p w14:paraId="06286E4A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□</w:t>
            </w:r>
          </w:p>
        </w:tc>
      </w:tr>
      <w:tr w14:paraId="22D9FC5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6" w:type="dxa"/>
            <w:vAlign w:val="center"/>
          </w:tcPr>
          <w:p w14:paraId="4B29B7EA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复现说明</w:t>
            </w:r>
          </w:p>
        </w:tc>
        <w:tc>
          <w:tcPr>
            <w:tcW w:w="3286" w:type="dxa"/>
            <w:vAlign w:val="center"/>
          </w:tcPr>
          <w:p w14:paraId="5C778E4C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环境配置、运行顺序、数据格式说明、主要参数说明</w:t>
            </w:r>
          </w:p>
        </w:tc>
        <w:tc>
          <w:tcPr>
            <w:tcW w:w="3286" w:type="dxa"/>
            <w:vAlign w:val="center"/>
          </w:tcPr>
          <w:p w14:paraId="20CA3565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6"/>
              </w:rPr>
              <w:t>□</w:t>
            </w:r>
          </w:p>
        </w:tc>
      </w:tr>
    </w:tbl>
    <w:p w14:paraId="55669EF0">
      <w:pPr>
        <w:spacing w:after="80"/>
        <w:rPr>
          <w:b w:val="0"/>
          <w:bCs w:val="0"/>
          <w:color w:val="auto"/>
        </w:rPr>
      </w:pPr>
    </w:p>
    <w:tbl>
      <w:tblPr>
        <w:tblStyle w:val="32"/>
        <w:tblW w:w="0" w:type="auto"/>
        <w:jc w:val="center"/>
        <w:tblBorders>
          <w:top w:val="single" w:color="9ECAE1" w:sz="4" w:space="0"/>
          <w:left w:val="single" w:color="9ECAE1" w:sz="4" w:space="0"/>
          <w:bottom w:val="single" w:color="9ECAE1" w:sz="4" w:space="0"/>
          <w:right w:val="single" w:color="9ECAE1" w:sz="4" w:space="0"/>
          <w:insideH w:val="single" w:color="9ECAE1" w:sz="4" w:space="0"/>
          <w:insideV w:val="single" w:color="9ECAE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2003C6D7">
        <w:tblPrEx>
          <w:tblBorders>
            <w:top w:val="single" w:color="9ECAE1" w:sz="4" w:space="0"/>
            <w:left w:val="single" w:color="9ECAE1" w:sz="4" w:space="0"/>
            <w:bottom w:val="single" w:color="9ECAE1" w:sz="4" w:space="0"/>
            <w:right w:val="single" w:color="9ECAE1" w:sz="4" w:space="0"/>
            <w:insideH w:val="single" w:color="9ECAE1" w:sz="4" w:space="0"/>
            <w:insideV w:val="single" w:color="9ECA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58" w:type="dxa"/>
            <w:shd w:val="clear" w:color="auto" w:fill="FCE4D6"/>
          </w:tcPr>
          <w:p w14:paraId="57580567">
            <w:pPr>
              <w:spacing w:after="60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21"/>
              </w:rPr>
              <w:t>最终建议</w:t>
            </w:r>
          </w:p>
          <w:p w14:paraId="798F931A">
            <w:pPr>
              <w:spacing w:line="276" w:lineRule="auto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9"/>
              </w:rPr>
              <w:t>不要把工作流做成“CST 仿真截图集合”。真正高质量的作品应体现：有电磁物理依据、有自研近远场重建算法、有测点数量优化、有识别准确率、有可复现实验代码。</w:t>
            </w:r>
          </w:p>
        </w:tc>
      </w:tr>
    </w:tbl>
    <w:p w14:paraId="5A98A58E">
      <w:pPr>
        <w:spacing w:after="60"/>
        <w:rPr>
          <w:b w:val="0"/>
          <w:bCs w:val="0"/>
          <w:color w:val="auto"/>
        </w:rPr>
      </w:pPr>
    </w:p>
    <w:p w14:paraId="65B9EB6A">
      <w:pPr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br w:type="page"/>
      </w:r>
    </w:p>
    <w:p w14:paraId="5932365A">
      <w:pPr>
        <w:pStyle w:val="3"/>
        <w:rPr>
          <w:b w:val="0"/>
          <w:bCs w:val="0"/>
          <w:color w:val="auto"/>
        </w:rPr>
      </w:pPr>
      <w:r>
        <w:rPr>
          <w:rFonts w:ascii="Calibri" w:hAnsi="Calibri" w:eastAsia="Noto Sans CJK SC"/>
          <w:b w:val="0"/>
          <w:bCs w:val="0"/>
          <w:color w:val="auto"/>
          <w:sz w:val="32"/>
        </w:rPr>
        <w:t>附录：推荐最小启动清单</w:t>
      </w:r>
    </w:p>
    <w:tbl>
      <w:tblPr>
        <w:tblStyle w:val="33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6"/>
        <w:gridCol w:w="3286"/>
        <w:gridCol w:w="3286"/>
      </w:tblGrid>
      <w:tr w14:paraId="5C04390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286" w:type="dxa"/>
            <w:shd w:val="clear" w:color="auto" w:fill="1F4E79"/>
            <w:vAlign w:val="center"/>
          </w:tcPr>
          <w:p w14:paraId="5E2A8260">
            <w:pPr>
              <w:spacing w:after="0" w:line="240" w:lineRule="auto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7"/>
              </w:rPr>
              <w:t>模块</w:t>
            </w:r>
          </w:p>
        </w:tc>
        <w:tc>
          <w:tcPr>
            <w:tcW w:w="3286" w:type="dxa"/>
            <w:shd w:val="clear" w:color="auto" w:fill="1F4E79"/>
            <w:vAlign w:val="center"/>
          </w:tcPr>
          <w:p w14:paraId="14E369FF">
            <w:pPr>
              <w:spacing w:after="0" w:line="240" w:lineRule="auto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7"/>
              </w:rPr>
              <w:t>最低可用配置</w:t>
            </w:r>
          </w:p>
        </w:tc>
        <w:tc>
          <w:tcPr>
            <w:tcW w:w="3286" w:type="dxa"/>
            <w:shd w:val="clear" w:color="auto" w:fill="1F4E79"/>
            <w:vAlign w:val="center"/>
          </w:tcPr>
          <w:p w14:paraId="07685544">
            <w:pPr>
              <w:spacing w:after="0" w:line="240" w:lineRule="auto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7"/>
              </w:rPr>
              <w:t>升级配置</w:t>
            </w:r>
          </w:p>
        </w:tc>
      </w:tr>
      <w:tr w14:paraId="5BA2364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6" w:type="dxa"/>
            <w:vAlign w:val="center"/>
          </w:tcPr>
          <w:p w14:paraId="4301F8A7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7"/>
              </w:rPr>
              <w:t>电磁仿真</w:t>
            </w:r>
          </w:p>
        </w:tc>
        <w:tc>
          <w:tcPr>
            <w:tcW w:w="3286" w:type="dxa"/>
            <w:vAlign w:val="center"/>
          </w:tcPr>
          <w:p w14:paraId="537B8717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7"/>
              </w:rPr>
              <w:t>CST 或 openEMS/NEC2</w:t>
            </w:r>
          </w:p>
        </w:tc>
        <w:tc>
          <w:tcPr>
            <w:tcW w:w="3286" w:type="dxa"/>
            <w:vAlign w:val="center"/>
          </w:tcPr>
          <w:p w14:paraId="14DE025F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7"/>
              </w:rPr>
              <w:t>CST + FEKO 对照验证</w:t>
            </w:r>
          </w:p>
        </w:tc>
      </w:tr>
      <w:tr w14:paraId="5B451F6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6" w:type="dxa"/>
            <w:shd w:val="clear" w:color="auto" w:fill="F2F2F2"/>
            <w:vAlign w:val="center"/>
          </w:tcPr>
          <w:p w14:paraId="1601E7E4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7"/>
              </w:rPr>
              <w:t>算法开发</w:t>
            </w:r>
          </w:p>
        </w:tc>
        <w:tc>
          <w:tcPr>
            <w:tcW w:w="3286" w:type="dxa"/>
            <w:shd w:val="clear" w:color="auto" w:fill="F2F2F2"/>
            <w:vAlign w:val="center"/>
          </w:tcPr>
          <w:p w14:paraId="64CB93BD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7"/>
              </w:rPr>
              <w:t>Python + NumPy + SciPy</w:t>
            </w:r>
          </w:p>
        </w:tc>
        <w:tc>
          <w:tcPr>
            <w:tcW w:w="3286" w:type="dxa"/>
            <w:shd w:val="clear" w:color="auto" w:fill="F2F2F2"/>
            <w:vAlign w:val="center"/>
          </w:tcPr>
          <w:p w14:paraId="3A9C7BFC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7"/>
              </w:rPr>
              <w:t>Python + MATLAB 双平台验证</w:t>
            </w:r>
          </w:p>
        </w:tc>
      </w:tr>
      <w:tr w14:paraId="2F6C638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6" w:type="dxa"/>
            <w:vAlign w:val="center"/>
          </w:tcPr>
          <w:p w14:paraId="10335259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7"/>
              </w:rPr>
              <w:t>反演优化</w:t>
            </w:r>
          </w:p>
        </w:tc>
        <w:tc>
          <w:tcPr>
            <w:tcW w:w="3286" w:type="dxa"/>
            <w:vAlign w:val="center"/>
          </w:tcPr>
          <w:p w14:paraId="19DB0F85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7"/>
              </w:rPr>
              <w:t>SciPy 最小二乘/Tikhonov</w:t>
            </w:r>
          </w:p>
        </w:tc>
        <w:tc>
          <w:tcPr>
            <w:tcW w:w="3286" w:type="dxa"/>
            <w:vAlign w:val="center"/>
          </w:tcPr>
          <w:p w14:paraId="11AA1F9A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7"/>
              </w:rPr>
              <w:t>CVXPY LASSO / 压缩感知</w:t>
            </w:r>
          </w:p>
        </w:tc>
      </w:tr>
      <w:tr w14:paraId="0DBBD64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6" w:type="dxa"/>
            <w:shd w:val="clear" w:color="auto" w:fill="F2F2F2"/>
            <w:vAlign w:val="center"/>
          </w:tcPr>
          <w:p w14:paraId="1B9045EA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7"/>
              </w:rPr>
              <w:t>识别分类</w:t>
            </w:r>
          </w:p>
        </w:tc>
        <w:tc>
          <w:tcPr>
            <w:tcW w:w="3286" w:type="dxa"/>
            <w:shd w:val="clear" w:color="auto" w:fill="F2F2F2"/>
            <w:vAlign w:val="center"/>
          </w:tcPr>
          <w:p w14:paraId="52520061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7"/>
              </w:rPr>
              <w:t>scikit-learn SVM/随机森林</w:t>
            </w:r>
          </w:p>
        </w:tc>
        <w:tc>
          <w:tcPr>
            <w:tcW w:w="3286" w:type="dxa"/>
            <w:shd w:val="clear" w:color="auto" w:fill="F2F2F2"/>
            <w:vAlign w:val="center"/>
          </w:tcPr>
          <w:p w14:paraId="47E48467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7"/>
              </w:rPr>
              <w:t>PyTorch CNN/Autoencoder</w:t>
            </w:r>
          </w:p>
        </w:tc>
      </w:tr>
      <w:tr w14:paraId="0A1493A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6" w:type="dxa"/>
            <w:vAlign w:val="center"/>
          </w:tcPr>
          <w:p w14:paraId="43D736F9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7"/>
              </w:rPr>
              <w:t>数据存储</w:t>
            </w:r>
          </w:p>
        </w:tc>
        <w:tc>
          <w:tcPr>
            <w:tcW w:w="3286" w:type="dxa"/>
            <w:vAlign w:val="center"/>
          </w:tcPr>
          <w:p w14:paraId="4F9DA3BB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7"/>
              </w:rPr>
              <w:t>CSV / npz</w:t>
            </w:r>
          </w:p>
        </w:tc>
        <w:tc>
          <w:tcPr>
            <w:tcW w:w="3286" w:type="dxa"/>
            <w:vAlign w:val="center"/>
          </w:tcPr>
          <w:p w14:paraId="4BD2307D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7"/>
              </w:rPr>
              <w:t>HDF5 + 数据字典</w:t>
            </w:r>
          </w:p>
        </w:tc>
      </w:tr>
      <w:tr w14:paraId="10A6BC8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6" w:type="dxa"/>
            <w:shd w:val="clear" w:color="auto" w:fill="F2F2F2"/>
            <w:vAlign w:val="center"/>
          </w:tcPr>
          <w:p w14:paraId="47F4D374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7"/>
              </w:rPr>
              <w:t>展示</w:t>
            </w:r>
          </w:p>
        </w:tc>
        <w:tc>
          <w:tcPr>
            <w:tcW w:w="3286" w:type="dxa"/>
            <w:shd w:val="clear" w:color="auto" w:fill="F2F2F2"/>
            <w:vAlign w:val="center"/>
          </w:tcPr>
          <w:p w14:paraId="663A1A3D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7"/>
              </w:rPr>
              <w:t>Matplotlib + PowerPoint</w:t>
            </w:r>
          </w:p>
        </w:tc>
        <w:tc>
          <w:tcPr>
            <w:tcW w:w="3286" w:type="dxa"/>
            <w:shd w:val="clear" w:color="auto" w:fill="F2F2F2"/>
            <w:vAlign w:val="center"/>
          </w:tcPr>
          <w:p w14:paraId="76C955FD">
            <w:pPr>
              <w:spacing w:after="0" w:line="240" w:lineRule="auto"/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Calibri" w:hAnsi="Calibri" w:eastAsia="Noto Sans CJK SC"/>
                <w:b w:val="0"/>
                <w:bCs w:val="0"/>
                <w:color w:val="auto"/>
                <w:sz w:val="17"/>
              </w:rPr>
              <w:t>Plotly + Blender + OBS 视频</w:t>
            </w:r>
          </w:p>
        </w:tc>
      </w:tr>
    </w:tbl>
    <w:p w14:paraId="12E9CA9A">
      <w:pPr>
        <w:spacing w:after="80"/>
        <w:rPr>
          <w:b w:val="0"/>
          <w:bCs w:val="0"/>
          <w:color w:val="auto"/>
        </w:rPr>
      </w:pPr>
    </w:p>
    <w:p w14:paraId="2DAE668B">
      <w:pPr>
        <w:spacing w:after="120" w:line="276" w:lineRule="auto"/>
        <w:ind w:firstLine="420"/>
        <w:rPr>
          <w:b w:val="0"/>
          <w:bCs w:val="0"/>
          <w:color w:val="auto"/>
        </w:rPr>
      </w:pPr>
      <w:r>
        <w:rPr>
          <w:rFonts w:ascii="Calibri" w:hAnsi="Calibri" w:eastAsia="Noto Sans CJK SC"/>
          <w:b w:val="0"/>
          <w:bCs w:val="0"/>
          <w:color w:val="auto"/>
          <w:sz w:val="21"/>
        </w:rPr>
        <w:t>建议第一周立即完成：① 建立 Git 仓库；② 确定 CST 或替代仿真工具；③ 写出半球面/半柱面测点生成脚本；④ 用短偶极子完成第一版近场数据生成；⑤ 用 Python/MATLAB 画出第一张方向图。</w:t>
      </w:r>
    </w:p>
    <w:sectPr>
      <w:headerReference r:id="rId5" w:type="default"/>
      <w:footerReference r:id="rId6" w:type="default"/>
      <w:pgSz w:w="12240" w:h="15840"/>
      <w:pgMar w:top="1191" w:right="1191" w:bottom="1020" w:left="119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Kozuka Mincho Pr6N R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D28558">
    <w:pPr>
      <w:pStyle w:val="24"/>
      <w:jc w:val="center"/>
    </w:pPr>
    <w:r>
      <w:rPr>
        <w:rFonts w:ascii="Calibri" w:hAnsi="Calibri" w:eastAsia="Noto Sans CJK SC"/>
        <w:color w:val="666666"/>
        <w:sz w:val="17"/>
      </w:rPr>
      <w:t>内部方案讨论稿｜建议结合学校设备条件进一步细化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165DC2">
    <w:pPr>
      <w:pStyle w:val="25"/>
      <w:jc w:val="right"/>
    </w:pPr>
    <w:r>
      <w:rPr>
        <w:rFonts w:ascii="Calibri" w:hAnsi="Calibri" w:eastAsia="Noto Sans CJK SC"/>
        <w:color w:val="666666"/>
        <w:sz w:val="17"/>
      </w:rPr>
      <w:t>复杂航空载体电磁辐射空域特性测量技术 · Workflow 总结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314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9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F1F1F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F1F1F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  <w:rPr>
      <w:rFonts w:ascii="Calibri" w:hAnsi="Calibri" w:eastAsia="Noto Sans CJK SC"/>
      <w:sz w:val="21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rFonts w:ascii="Calibri" w:hAnsi="Calibri" w:eastAsia="Noto Sans CJK SC"/>
      <w:sz w:val="21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  <w:rPr>
      <w:rFonts w:ascii="Calibri" w:hAnsi="Calibri" w:eastAsia="Noto Sans CJK SC"/>
      <w:sz w:val="21"/>
    </w:r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4495</Words>
  <Characters>5545</Characters>
  <Lines>0</Lines>
  <Paragraphs>0</Paragraphs>
  <TotalTime>5</TotalTime>
  <ScaleCrop>false</ScaleCrop>
  <LinksUpToDate>false</LinksUpToDate>
  <CharactersWithSpaces>5809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Yuenkoku.</cp:lastModifiedBy>
  <dcterms:modified xsi:type="dcterms:W3CDTF">2026-05-14T05:16:06Z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eyJoZGlkIjoiNGYyMGQwYmEwMTkyYjJkYTM5ZTk4YjRiZGNlNzAyMjYiLCJ1c2VySWQiOiIxNjE2NjYxMTU2In0=</vt:lpwstr>
  </property>
  <property fmtid="{D5CDD505-2E9C-101B-9397-08002B2CF9AE}" pid="3" name="KSOProductBuildVer">
    <vt:lpwstr>2052-12.1.0.23542</vt:lpwstr>
  </property>
  <property fmtid="{D5CDD505-2E9C-101B-9397-08002B2CF9AE}" pid="4" name="ICV">
    <vt:lpwstr>C2A8496CD5CA4D97B982D64957CDE5A4_12</vt:lpwstr>
  </property>
</Properties>
</file>