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11491113"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DF3FA1">
            <w:pPr>
              <w:pStyle w:val="ListParagraph"/>
              <w:numPr>
                <w:ilvl w:val="0"/>
                <w:numId w:val="1"/>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DF3FA1">
            <w:pPr>
              <w:pStyle w:val="ListParagraph"/>
              <w:numPr>
                <w:ilvl w:val="1"/>
                <w:numId w:val="1"/>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DF3FA1">
            <w:pPr>
              <w:pStyle w:val="ListParagraph"/>
              <w:numPr>
                <w:ilvl w:val="1"/>
                <w:numId w:val="1"/>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DF3FA1">
            <w:pPr>
              <w:pStyle w:val="ListParagraph"/>
              <w:numPr>
                <w:ilvl w:val="0"/>
                <w:numId w:val="1"/>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1DFE06E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w:t>
      </w:r>
      <w:r w:rsidR="00E56BE8">
        <w:t>all</w:t>
      </w:r>
      <w:r w:rsidR="00781D1A">
        <w:t xml:space="preserv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DF3FA1">
      <w:pPr>
        <w:pStyle w:val="ListParagraph"/>
        <w:numPr>
          <w:ilvl w:val="0"/>
          <w:numId w:val="2"/>
        </w:numPr>
        <w:spacing w:after="120" w:line="240" w:lineRule="auto"/>
        <w:rPr>
          <w:rFonts w:cstheme="minorHAnsi"/>
        </w:rPr>
      </w:pPr>
      <w:r>
        <w:rPr>
          <w:rFonts w:cstheme="minorHAnsi"/>
        </w:rPr>
        <w:t>Find or simulate public sector data (e.g. open data or census plus generated data); formulate a problem for which ML is applicable; build a model; analyze the model including applicability, accuracy</w:t>
      </w:r>
    </w:p>
    <w:p w14:paraId="6E669036" w14:textId="1B4A996B" w:rsidR="009A0FA6" w:rsidRPr="009A0FA6" w:rsidRDefault="005B1610" w:rsidP="00DF3FA1">
      <w:pPr>
        <w:pStyle w:val="ListParagraph"/>
        <w:numPr>
          <w:ilvl w:val="0"/>
          <w:numId w:val="2"/>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r w:rsidR="00F81BC9" w:rsidRPr="00FA44AB">
              <w:rPr>
                <w:rFonts w:cstheme="minorHAnsi"/>
              </w:rPr>
              <w:t xml:space="preserve">a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12FA1F0E" w14:textId="77777777" w:rsidR="00B94D94" w:rsidRPr="00B94D94" w:rsidRDefault="00B94D94" w:rsidP="00B94D94">
            <w:pPr>
              <w:rPr>
                <w:rFonts w:cstheme="minorHAnsi"/>
                <w:b/>
                <w:sz w:val="32"/>
                <w:szCs w:val="32"/>
              </w:rPr>
            </w:pPr>
            <w:r w:rsidRPr="00B94D94">
              <w:rPr>
                <w:rFonts w:cstheme="minorHAnsi"/>
                <w:sz w:val="32"/>
                <w:szCs w:val="32"/>
              </w:rPr>
              <w:t xml:space="preserve">The most updated schedule can be found at </w:t>
            </w:r>
            <w:bookmarkStart w:id="1" w:name="_Hlk92290098"/>
            <w:r w:rsidRPr="00B94D94">
              <w:rPr>
                <w:rFonts w:cstheme="minorHAnsi"/>
                <w:b/>
                <w:sz w:val="32"/>
                <w:szCs w:val="32"/>
              </w:rPr>
              <w:fldChar w:fldCharType="begin"/>
            </w:r>
            <w:r w:rsidRPr="00B94D94">
              <w:rPr>
                <w:rFonts w:cstheme="minorHAnsi"/>
                <w:b/>
                <w:sz w:val="32"/>
                <w:szCs w:val="32"/>
              </w:rPr>
              <w:instrText xml:space="preserve"> HYPERLINK "https://pa470spring2022.netlify.app/calendar/" </w:instrText>
            </w:r>
            <w:r w:rsidRPr="00B94D94">
              <w:rPr>
                <w:rFonts w:cstheme="minorHAnsi"/>
                <w:b/>
                <w:sz w:val="32"/>
                <w:szCs w:val="32"/>
              </w:rPr>
              <w:fldChar w:fldCharType="separate"/>
            </w:r>
            <w:r w:rsidRPr="00B94D94">
              <w:rPr>
                <w:rStyle w:val="Hyperlink"/>
                <w:rFonts w:cstheme="minorHAnsi"/>
                <w:b/>
                <w:sz w:val="32"/>
                <w:szCs w:val="32"/>
              </w:rPr>
              <w:t>https://pa470spring2022.netlify.app/calendar/</w:t>
            </w:r>
            <w:r w:rsidRPr="00B94D94">
              <w:rPr>
                <w:rFonts w:cstheme="minorHAnsi"/>
                <w:b/>
                <w:sz w:val="32"/>
                <w:szCs w:val="32"/>
              </w:rPr>
              <w:fldChar w:fldCharType="end"/>
            </w:r>
          </w:p>
          <w:bookmarkEnd w:id="1"/>
          <w:p w14:paraId="6EC7C76E" w14:textId="20861C3A"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320860E5" w14:textId="77777777" w:rsidR="00B94D94" w:rsidRDefault="00B94D94" w:rsidP="00B94D94">
      <w:pPr>
        <w:pStyle w:val="NormalWeb"/>
      </w:pPr>
      <w:r>
        <w:rPr>
          <w:rStyle w:val="Strong"/>
        </w:rPr>
        <w:t>Assignments and readings should be completed before the week listed, unless otherwise noted.</w:t>
      </w:r>
    </w:p>
    <w:p w14:paraId="067A02CB" w14:textId="77777777" w:rsidR="00B94D94" w:rsidRDefault="00B94D94" w:rsidP="00B94D94">
      <w:pPr>
        <w:pStyle w:val="Heading2"/>
      </w:pPr>
      <w:r>
        <w:t>Week 1, 1/13 (online)</w:t>
      </w:r>
    </w:p>
    <w:p w14:paraId="11C9D1CF" w14:textId="77777777" w:rsidR="00B94D94" w:rsidRDefault="00B94D94" w:rsidP="00B94D94">
      <w:pPr>
        <w:pStyle w:val="NormalWeb"/>
      </w:pPr>
      <w:r>
        <w:rPr>
          <w:rStyle w:val="Emphasis"/>
        </w:rPr>
        <w:t>Introductions, Course Technology Stack, and Review</w:t>
      </w:r>
    </w:p>
    <w:p w14:paraId="06829E30" w14:textId="77777777" w:rsidR="00B94D94" w:rsidRDefault="004106E4" w:rsidP="00DF3FA1">
      <w:pPr>
        <w:numPr>
          <w:ilvl w:val="0"/>
          <w:numId w:val="3"/>
        </w:numPr>
        <w:spacing w:before="100" w:beforeAutospacing="1" w:after="100" w:afterAutospacing="1" w:line="240" w:lineRule="auto"/>
      </w:pPr>
      <w:hyperlink r:id="rId13" w:history="1">
        <w:r w:rsidR="00B94D94">
          <w:rPr>
            <w:rStyle w:val="Hyperlink"/>
          </w:rPr>
          <w:t>Can a Machine Learn Morality?</w:t>
        </w:r>
      </w:hyperlink>
    </w:p>
    <w:p w14:paraId="5BFB3C73" w14:textId="77777777" w:rsidR="00B94D94" w:rsidRDefault="004106E4" w:rsidP="00DF3FA1">
      <w:pPr>
        <w:numPr>
          <w:ilvl w:val="0"/>
          <w:numId w:val="3"/>
        </w:numPr>
        <w:spacing w:before="100" w:beforeAutospacing="1" w:after="100" w:afterAutospacing="1" w:line="240" w:lineRule="auto"/>
      </w:pPr>
      <w:hyperlink r:id="rId14" w:history="1">
        <w:r w:rsidR="00B94D94">
          <w:rPr>
            <w:rStyle w:val="Hyperlink"/>
          </w:rPr>
          <w:t>Ask Delphi</w:t>
        </w:r>
      </w:hyperlink>
    </w:p>
    <w:p w14:paraId="504AFDA4" w14:textId="77777777" w:rsidR="00B94D94" w:rsidRDefault="004106E4" w:rsidP="00DF3FA1">
      <w:pPr>
        <w:numPr>
          <w:ilvl w:val="0"/>
          <w:numId w:val="3"/>
        </w:numPr>
        <w:spacing w:before="100" w:beforeAutospacing="1" w:after="100" w:afterAutospacing="1" w:line="240" w:lineRule="auto"/>
      </w:pPr>
      <w:hyperlink r:id="rId15" w:history="1">
        <w:r w:rsidR="00B94D94">
          <w:rPr>
            <w:rStyle w:val="Hyperlink"/>
          </w:rPr>
          <w:t>Crime Prediction Software Promised to Be Free of Biases. New Data Shows It Perpetuates Them</w:t>
        </w:r>
      </w:hyperlink>
    </w:p>
    <w:p w14:paraId="67F14BB3" w14:textId="77777777" w:rsidR="00B94D94" w:rsidRDefault="004106E4" w:rsidP="00DF3FA1">
      <w:pPr>
        <w:numPr>
          <w:ilvl w:val="0"/>
          <w:numId w:val="3"/>
        </w:numPr>
        <w:spacing w:before="100" w:beforeAutospacing="1" w:after="100" w:afterAutospacing="1" w:line="240" w:lineRule="auto"/>
      </w:pPr>
      <w:hyperlink r:id="rId16" w:history="1">
        <w:r w:rsidR="00B94D94">
          <w:rPr>
            <w:rStyle w:val="Hyperlink"/>
          </w:rPr>
          <w:t>Crime Prediction Keeps Society Stuck in the Past</w:t>
        </w:r>
      </w:hyperlink>
    </w:p>
    <w:p w14:paraId="2EF20B0A" w14:textId="77777777" w:rsidR="00B94D94" w:rsidRDefault="00B94D94" w:rsidP="00DF3FA1">
      <w:pPr>
        <w:numPr>
          <w:ilvl w:val="0"/>
          <w:numId w:val="3"/>
        </w:numPr>
        <w:spacing w:before="100" w:beforeAutospacing="1" w:after="100" w:afterAutospacing="1" w:line="240" w:lineRule="auto"/>
      </w:pPr>
      <w:r>
        <w:t>Chapter 6, Data Science for Public Policy (DSPP)</w:t>
      </w:r>
    </w:p>
    <w:p w14:paraId="4EFB133F" w14:textId="77777777" w:rsidR="00B94D94" w:rsidRDefault="00B94D94">
      <w:pPr>
        <w:rPr>
          <w:rFonts w:asciiTheme="majorHAnsi" w:eastAsiaTheme="majorEastAsia" w:hAnsiTheme="majorHAnsi" w:cstheme="majorBidi"/>
          <w:color w:val="365F91" w:themeColor="accent1" w:themeShade="BF"/>
          <w:sz w:val="26"/>
          <w:szCs w:val="26"/>
        </w:rPr>
      </w:pPr>
      <w:r>
        <w:br w:type="page"/>
      </w:r>
    </w:p>
    <w:p w14:paraId="169E3F86" w14:textId="3A905AE0" w:rsidR="00B94D94" w:rsidRDefault="00B94D94" w:rsidP="00B94D94">
      <w:pPr>
        <w:pStyle w:val="Heading2"/>
      </w:pPr>
      <w:r>
        <w:lastRenderedPageBreak/>
        <w:t>Week 2, 1/20 (online)</w:t>
      </w:r>
    </w:p>
    <w:p w14:paraId="4FF7B6B2" w14:textId="77777777" w:rsidR="00B94D94" w:rsidRDefault="00B94D94" w:rsidP="00B94D94">
      <w:pPr>
        <w:pStyle w:val="NormalWeb"/>
      </w:pPr>
      <w:r>
        <w:rPr>
          <w:rStyle w:val="Emphasis"/>
        </w:rPr>
        <w:t>Review, Conceptual Foundations, and Geospatial</w:t>
      </w:r>
    </w:p>
    <w:p w14:paraId="6D289B49" w14:textId="77777777" w:rsidR="00B94D94" w:rsidRDefault="004106E4" w:rsidP="00DF3FA1">
      <w:pPr>
        <w:numPr>
          <w:ilvl w:val="0"/>
          <w:numId w:val="4"/>
        </w:numPr>
        <w:spacing w:before="100" w:beforeAutospacing="1" w:after="100" w:afterAutospacing="1" w:line="240" w:lineRule="auto"/>
      </w:pPr>
      <w:hyperlink r:id="rId17" w:history="1">
        <w:r w:rsidR="00B94D94">
          <w:rPr>
            <w:rStyle w:val="Hyperlink"/>
          </w:rPr>
          <w:t>tidymodels, Chapters 1-2 &amp; Section 3.1</w:t>
        </w:r>
      </w:hyperlink>
    </w:p>
    <w:p w14:paraId="49DA2A71" w14:textId="77777777" w:rsidR="00B94D94" w:rsidRDefault="00B94D94" w:rsidP="00DF3FA1">
      <w:pPr>
        <w:numPr>
          <w:ilvl w:val="0"/>
          <w:numId w:val="4"/>
        </w:numPr>
        <w:spacing w:before="100" w:beforeAutospacing="1" w:after="100" w:afterAutospacing="1" w:line="240" w:lineRule="auto"/>
      </w:pPr>
      <w:r>
        <w:t>Chapter 12, DSPP</w:t>
      </w:r>
    </w:p>
    <w:p w14:paraId="519B12AE" w14:textId="77777777" w:rsidR="00B94D94" w:rsidRDefault="004106E4" w:rsidP="00DF3FA1">
      <w:pPr>
        <w:numPr>
          <w:ilvl w:val="0"/>
          <w:numId w:val="4"/>
        </w:numPr>
        <w:spacing w:before="100" w:beforeAutospacing="1" w:after="100" w:afterAutospacing="1" w:line="240" w:lineRule="auto"/>
      </w:pPr>
      <w:hyperlink r:id="rId18" w:history="1">
        <w:r w:rsidR="00B94D94">
          <w:rPr>
            <w:rStyle w:val="Hyperlink"/>
          </w:rPr>
          <w:t>sf</w:t>
        </w:r>
      </w:hyperlink>
    </w:p>
    <w:p w14:paraId="4528910D" w14:textId="77777777" w:rsidR="00B94D94" w:rsidRDefault="004106E4" w:rsidP="00DF3FA1">
      <w:pPr>
        <w:numPr>
          <w:ilvl w:val="0"/>
          <w:numId w:val="4"/>
        </w:numPr>
        <w:spacing w:before="100" w:beforeAutospacing="1" w:after="100" w:afterAutospacing="1" w:line="240" w:lineRule="auto"/>
      </w:pPr>
      <w:hyperlink r:id="rId19" w:history="1">
        <w:r w:rsidR="00B94D94">
          <w:rPr>
            <w:rStyle w:val="Hyperlink"/>
          </w:rPr>
          <w:t>tidycensus</w:t>
        </w:r>
      </w:hyperlink>
    </w:p>
    <w:p w14:paraId="40517285" w14:textId="77777777" w:rsidR="00B94D94" w:rsidRDefault="004106E4" w:rsidP="00DF3FA1">
      <w:pPr>
        <w:numPr>
          <w:ilvl w:val="0"/>
          <w:numId w:val="4"/>
        </w:numPr>
        <w:spacing w:before="100" w:beforeAutospacing="1" w:after="100" w:afterAutospacing="1" w:line="240" w:lineRule="auto"/>
      </w:pPr>
      <w:hyperlink r:id="rId20" w:anchor="Introduction" w:history="1">
        <w:r w:rsidR="00B94D94">
          <w:rPr>
            <w:rStyle w:val="Hyperlink"/>
          </w:rPr>
          <w:t>Urban Institute Guide</w:t>
        </w:r>
      </w:hyperlink>
    </w:p>
    <w:p w14:paraId="0FA32725" w14:textId="77777777" w:rsidR="00B94D94" w:rsidRDefault="00B94D94" w:rsidP="00B94D94">
      <w:pPr>
        <w:pStyle w:val="NormalWeb"/>
      </w:pPr>
      <w:r>
        <w:rPr>
          <w:rStyle w:val="Strong"/>
        </w:rPr>
        <w:t xml:space="preserve">Assignment: </w:t>
      </w:r>
      <w:hyperlink r:id="rId21" w:history="1">
        <w:r>
          <w:rPr>
            <w:rStyle w:val="Hyperlink"/>
            <w:b/>
            <w:bCs/>
          </w:rPr>
          <w:t>Coding Warmup 1</w:t>
        </w:r>
      </w:hyperlink>
    </w:p>
    <w:p w14:paraId="01216D38" w14:textId="77777777" w:rsidR="00B94D94" w:rsidRDefault="00B94D94" w:rsidP="00B94D94">
      <w:pPr>
        <w:pStyle w:val="Heading2"/>
      </w:pPr>
      <w:r>
        <w:t>Week 3, 1/27</w:t>
      </w:r>
    </w:p>
    <w:p w14:paraId="7A67A859" w14:textId="77777777" w:rsidR="00B94D94" w:rsidRDefault="00B94D94" w:rsidP="00B94D94">
      <w:pPr>
        <w:pStyle w:val="NormalWeb"/>
      </w:pPr>
      <w:r>
        <w:rPr>
          <w:rStyle w:val="Emphasis"/>
        </w:rPr>
        <w:t>Coding 1</w:t>
      </w:r>
    </w:p>
    <w:p w14:paraId="75B26893" w14:textId="77777777" w:rsidR="00B94D94" w:rsidRDefault="004106E4" w:rsidP="00DF3FA1">
      <w:pPr>
        <w:numPr>
          <w:ilvl w:val="0"/>
          <w:numId w:val="5"/>
        </w:numPr>
        <w:spacing w:before="100" w:beforeAutospacing="1" w:after="100" w:afterAutospacing="1" w:line="240" w:lineRule="auto"/>
      </w:pPr>
      <w:hyperlink r:id="rId22" w:history="1">
        <w:r w:rsidR="00B94D94">
          <w:rPr>
            <w:rStyle w:val="Hyperlink"/>
          </w:rPr>
          <w:t>tidymodels, Chapter 3</w:t>
        </w:r>
      </w:hyperlink>
    </w:p>
    <w:p w14:paraId="5862B9B9" w14:textId="77777777" w:rsidR="00B94D94" w:rsidRDefault="00B94D94" w:rsidP="00DF3FA1">
      <w:pPr>
        <w:numPr>
          <w:ilvl w:val="0"/>
          <w:numId w:val="5"/>
        </w:numPr>
        <w:spacing w:before="100" w:beforeAutospacing="1" w:after="100" w:afterAutospacing="1" w:line="240" w:lineRule="auto"/>
      </w:pPr>
      <w:r>
        <w:t>Chapters 7 &amp; 8, DSPP</w:t>
      </w:r>
    </w:p>
    <w:p w14:paraId="5E7BE4D1" w14:textId="77777777" w:rsidR="00B94D94" w:rsidRDefault="00B94D94" w:rsidP="00B94D94">
      <w:pPr>
        <w:pStyle w:val="NormalWeb"/>
      </w:pPr>
      <w:r>
        <w:rPr>
          <w:rStyle w:val="Strong"/>
        </w:rPr>
        <w:t xml:space="preserve">Assignment: </w:t>
      </w:r>
      <w:hyperlink r:id="rId23" w:history="1">
        <w:r>
          <w:rPr>
            <w:rStyle w:val="Hyperlink"/>
            <w:b/>
            <w:bCs/>
          </w:rPr>
          <w:t>Coding Warmup 2</w:t>
        </w:r>
      </w:hyperlink>
    </w:p>
    <w:p w14:paraId="5206145F" w14:textId="77777777" w:rsidR="00B94D94" w:rsidRDefault="00B94D94" w:rsidP="00B94D94">
      <w:pPr>
        <w:pStyle w:val="Heading2"/>
      </w:pPr>
      <w:r>
        <w:t>Week 4, 2/3</w:t>
      </w:r>
    </w:p>
    <w:p w14:paraId="4E48504F" w14:textId="77777777" w:rsidR="00B94D94" w:rsidRDefault="00B94D94" w:rsidP="00DF3FA1">
      <w:pPr>
        <w:numPr>
          <w:ilvl w:val="0"/>
          <w:numId w:val="6"/>
        </w:numPr>
        <w:spacing w:before="100" w:beforeAutospacing="1" w:after="100" w:afterAutospacing="1" w:line="240" w:lineRule="auto"/>
      </w:pPr>
      <w:r>
        <w:t>Chapter 8, DSPP (continued)</w:t>
      </w:r>
    </w:p>
    <w:p w14:paraId="473DD1B2" w14:textId="77777777" w:rsidR="00B94D94" w:rsidRDefault="00B94D94" w:rsidP="00B94D94">
      <w:pPr>
        <w:pStyle w:val="NormalWeb"/>
      </w:pPr>
      <w:r>
        <w:rPr>
          <w:rStyle w:val="Emphasis"/>
        </w:rPr>
        <w:t>Public Sector Case Studies</w:t>
      </w:r>
    </w:p>
    <w:p w14:paraId="29A28231" w14:textId="77777777" w:rsidR="00B94D94" w:rsidRDefault="004106E4" w:rsidP="00DF3FA1">
      <w:pPr>
        <w:numPr>
          <w:ilvl w:val="0"/>
          <w:numId w:val="7"/>
        </w:numPr>
        <w:spacing w:before="100" w:beforeAutospacing="1" w:after="100" w:afterAutospacing="1" w:line="240" w:lineRule="auto"/>
      </w:pPr>
      <w:hyperlink r:id="rId24" w:history="1">
        <w:r w:rsidR="00B94D94">
          <w:rPr>
            <w:rStyle w:val="Hyperlink"/>
          </w:rPr>
          <w:t>A Catalog of Civic Data Use Cases</w:t>
        </w:r>
      </w:hyperlink>
    </w:p>
    <w:p w14:paraId="5A695430" w14:textId="77777777" w:rsidR="00B94D94" w:rsidRDefault="004106E4" w:rsidP="00DF3FA1">
      <w:pPr>
        <w:numPr>
          <w:ilvl w:val="0"/>
          <w:numId w:val="7"/>
        </w:numPr>
        <w:spacing w:before="100" w:beforeAutospacing="1" w:after="100" w:afterAutospacing="1" w:line="240" w:lineRule="auto"/>
      </w:pPr>
      <w:hyperlink r:id="rId25" w:history="1">
        <w:r w:rsidR="00B94D94">
          <w:rPr>
            <w:rStyle w:val="Hyperlink"/>
          </w:rPr>
          <w:t>New York City Artifical Intelligence Strategy</w:t>
        </w:r>
      </w:hyperlink>
    </w:p>
    <w:p w14:paraId="15CF8CBB" w14:textId="77777777" w:rsidR="00B94D94" w:rsidRDefault="004106E4" w:rsidP="00DF3FA1">
      <w:pPr>
        <w:numPr>
          <w:ilvl w:val="0"/>
          <w:numId w:val="7"/>
        </w:numPr>
        <w:spacing w:before="100" w:beforeAutospacing="1" w:after="100" w:afterAutospacing="1" w:line="240" w:lineRule="auto"/>
      </w:pPr>
      <w:hyperlink r:id="rId26" w:history="1">
        <w:r w:rsidR="00B94D94">
          <w:rPr>
            <w:rStyle w:val="Hyperlink"/>
          </w:rPr>
          <w:t>Secretary Antony J. Blinken at the National Security Commission on Artificial Intelligence’s (NSCAI) Global Emerging Technology Summit</w:t>
        </w:r>
      </w:hyperlink>
    </w:p>
    <w:p w14:paraId="5656ACDC" w14:textId="77777777" w:rsidR="00B94D94" w:rsidRDefault="004106E4" w:rsidP="00DF3FA1">
      <w:pPr>
        <w:numPr>
          <w:ilvl w:val="0"/>
          <w:numId w:val="7"/>
        </w:numPr>
        <w:spacing w:before="100" w:beforeAutospacing="1" w:after="100" w:afterAutospacing="1" w:line="240" w:lineRule="auto"/>
      </w:pPr>
      <w:hyperlink r:id="rId27" w:history="1">
        <w:r w:rsidR="00B94D94">
          <w:rPr>
            <w:rStyle w:val="Hyperlink"/>
          </w:rPr>
          <w:t>Cook County Assessor Residential Valuation Model</w:t>
        </w:r>
      </w:hyperlink>
    </w:p>
    <w:p w14:paraId="56326656" w14:textId="77777777" w:rsidR="00B94D94" w:rsidRDefault="004106E4" w:rsidP="00DF3FA1">
      <w:pPr>
        <w:numPr>
          <w:ilvl w:val="0"/>
          <w:numId w:val="7"/>
        </w:numPr>
        <w:spacing w:before="100" w:beforeAutospacing="1" w:after="100" w:afterAutospacing="1" w:line="240" w:lineRule="auto"/>
      </w:pPr>
      <w:hyperlink r:id="rId28" w:history="1">
        <w:r w:rsidR="00B94D94">
          <w:rPr>
            <w:rStyle w:val="Hyperlink"/>
          </w:rPr>
          <w:t>Summary of Agency Compliance Reporting, NYC Algorithms</w:t>
        </w:r>
      </w:hyperlink>
    </w:p>
    <w:p w14:paraId="668CD917" w14:textId="77777777" w:rsidR="00B94D94" w:rsidRDefault="004106E4" w:rsidP="00DF3FA1">
      <w:pPr>
        <w:numPr>
          <w:ilvl w:val="0"/>
          <w:numId w:val="7"/>
        </w:numPr>
        <w:spacing w:before="100" w:beforeAutospacing="1" w:after="100" w:afterAutospacing="1" w:line="240" w:lineRule="auto"/>
      </w:pPr>
      <w:hyperlink r:id="rId29" w:history="1">
        <w:r w:rsidR="00B94D94">
          <w:rPr>
            <w:rStyle w:val="Hyperlink"/>
          </w:rPr>
          <w:t>Preparing for the Future of Artifical Intelligence</w:t>
        </w:r>
      </w:hyperlink>
    </w:p>
    <w:p w14:paraId="44713E1E" w14:textId="77777777" w:rsidR="00B94D94" w:rsidRDefault="00B94D94" w:rsidP="00B94D94">
      <w:pPr>
        <w:pStyle w:val="NormalWeb"/>
      </w:pPr>
      <w:r>
        <w:rPr>
          <w:rStyle w:val="Strong"/>
        </w:rPr>
        <w:t xml:space="preserve">Assignment: </w:t>
      </w:r>
      <w:hyperlink r:id="rId30" w:history="1">
        <w:r>
          <w:rPr>
            <w:rStyle w:val="Hyperlink"/>
            <w:b/>
            <w:bCs/>
          </w:rPr>
          <w:t>Reading Response 1, Case Study</w:t>
        </w:r>
      </w:hyperlink>
      <w:r>
        <w:rPr>
          <w:rStyle w:val="Strong"/>
        </w:rPr>
        <w:t xml:space="preserve"> &amp; </w:t>
      </w:r>
      <w:hyperlink r:id="rId31" w:history="1">
        <w:r>
          <w:rPr>
            <w:rStyle w:val="Hyperlink"/>
            <w:b/>
            <w:bCs/>
          </w:rPr>
          <w:t>Coding Warmup 3</w:t>
        </w:r>
      </w:hyperlink>
    </w:p>
    <w:p w14:paraId="4768DAEA" w14:textId="77777777" w:rsidR="00B94D94" w:rsidRDefault="00B94D94" w:rsidP="00B94D94">
      <w:pPr>
        <w:pStyle w:val="Heading2"/>
      </w:pPr>
      <w:r>
        <w:t>Week 5, 2/10</w:t>
      </w:r>
    </w:p>
    <w:p w14:paraId="1CA330EE" w14:textId="77777777" w:rsidR="00B94D94" w:rsidRDefault="00B94D94" w:rsidP="00B94D94">
      <w:pPr>
        <w:pStyle w:val="NormalWeb"/>
      </w:pPr>
      <w:r>
        <w:rPr>
          <w:rStyle w:val="Emphasis"/>
        </w:rPr>
        <w:t>Coding 2</w:t>
      </w:r>
    </w:p>
    <w:p w14:paraId="3B98DFD8" w14:textId="77777777" w:rsidR="00B94D94" w:rsidRDefault="004106E4" w:rsidP="00DF3FA1">
      <w:pPr>
        <w:numPr>
          <w:ilvl w:val="0"/>
          <w:numId w:val="8"/>
        </w:numPr>
        <w:spacing w:before="100" w:beforeAutospacing="1" w:after="100" w:afterAutospacing="1" w:line="240" w:lineRule="auto"/>
      </w:pPr>
      <w:hyperlink r:id="rId32" w:history="1">
        <w:r w:rsidR="00B94D94">
          <w:rPr>
            <w:rStyle w:val="Hyperlink"/>
          </w:rPr>
          <w:t>tidymodels, Chapter 4-6 Fitting/Linear</w:t>
        </w:r>
      </w:hyperlink>
    </w:p>
    <w:p w14:paraId="72D042F3" w14:textId="77777777" w:rsidR="00B94D94" w:rsidRDefault="00B94D94" w:rsidP="00DF3FA1">
      <w:pPr>
        <w:numPr>
          <w:ilvl w:val="0"/>
          <w:numId w:val="8"/>
        </w:numPr>
        <w:spacing w:before="100" w:beforeAutospacing="1" w:after="100" w:afterAutospacing="1" w:line="240" w:lineRule="auto"/>
      </w:pPr>
      <w:r>
        <w:t>Chapter 9, DSPP</w:t>
      </w:r>
    </w:p>
    <w:p w14:paraId="3AA54A2E" w14:textId="77777777" w:rsidR="00B94D94" w:rsidRDefault="00B94D94" w:rsidP="00B94D94">
      <w:pPr>
        <w:pStyle w:val="NormalWeb"/>
      </w:pPr>
      <w:r>
        <w:rPr>
          <w:rStyle w:val="Strong"/>
        </w:rPr>
        <w:t xml:space="preserve">Assignment: </w:t>
      </w:r>
      <w:hyperlink r:id="rId33" w:history="1">
        <w:r>
          <w:rPr>
            <w:rStyle w:val="Hyperlink"/>
            <w:b/>
            <w:bCs/>
          </w:rPr>
          <w:t>Detroit Part 1</w:t>
        </w:r>
      </w:hyperlink>
    </w:p>
    <w:p w14:paraId="721BA1BF" w14:textId="77777777" w:rsidR="00B94D94" w:rsidRDefault="00B94D94" w:rsidP="00B94D94">
      <w:pPr>
        <w:pStyle w:val="Heading2"/>
      </w:pPr>
      <w:r>
        <w:lastRenderedPageBreak/>
        <w:t>Week 6, 2/17</w:t>
      </w:r>
    </w:p>
    <w:p w14:paraId="291910D4" w14:textId="77777777" w:rsidR="00B94D94" w:rsidRDefault="00B94D94" w:rsidP="00B94D94">
      <w:pPr>
        <w:pStyle w:val="NormalWeb"/>
      </w:pPr>
      <w:r>
        <w:rPr>
          <w:rStyle w:val="Emphasis"/>
        </w:rPr>
        <w:t>Ethics: Government’s Black Box</w:t>
      </w:r>
    </w:p>
    <w:p w14:paraId="41A752FB" w14:textId="77777777" w:rsidR="00B94D94" w:rsidRDefault="004106E4" w:rsidP="00DF3FA1">
      <w:pPr>
        <w:numPr>
          <w:ilvl w:val="0"/>
          <w:numId w:val="9"/>
        </w:numPr>
        <w:spacing w:before="100" w:beforeAutospacing="1" w:after="100" w:afterAutospacing="1" w:line="240" w:lineRule="auto"/>
      </w:pPr>
      <w:hyperlink r:id="rId34" w:history="1">
        <w:r w:rsidR="00B94D94">
          <w:rPr>
            <w:rStyle w:val="Hyperlink"/>
          </w:rPr>
          <w:t>A City Is a City — Against the metaphorization of data</w:t>
        </w:r>
      </w:hyperlink>
    </w:p>
    <w:p w14:paraId="4B274957" w14:textId="77777777" w:rsidR="00B94D94" w:rsidRDefault="004106E4" w:rsidP="00DF3FA1">
      <w:pPr>
        <w:numPr>
          <w:ilvl w:val="0"/>
          <w:numId w:val="9"/>
        </w:numPr>
        <w:spacing w:before="100" w:beforeAutospacing="1" w:after="100" w:afterAutospacing="1" w:line="240" w:lineRule="auto"/>
      </w:pPr>
      <w:hyperlink r:id="rId35" w:history="1">
        <w:r w:rsidR="00B94D94">
          <w:rPr>
            <w:rStyle w:val="Hyperlink"/>
          </w:rPr>
          <w:t>ai.gov</w:t>
        </w:r>
      </w:hyperlink>
    </w:p>
    <w:p w14:paraId="3D35667F" w14:textId="77777777" w:rsidR="00B94D94" w:rsidRDefault="004106E4" w:rsidP="00DF3FA1">
      <w:pPr>
        <w:numPr>
          <w:ilvl w:val="0"/>
          <w:numId w:val="9"/>
        </w:numPr>
        <w:spacing w:before="100" w:beforeAutospacing="1" w:after="100" w:afterAutospacing="1" w:line="240" w:lineRule="auto"/>
      </w:pPr>
      <w:hyperlink r:id="rId36" w:history="1">
        <w:r w:rsidR="00B94D94">
          <w:rPr>
            <w:rStyle w:val="Hyperlink"/>
          </w:rPr>
          <w:t>Crafting an AI strategy for government leaders</w:t>
        </w:r>
      </w:hyperlink>
    </w:p>
    <w:p w14:paraId="44A9F273" w14:textId="77777777" w:rsidR="00B94D94" w:rsidRDefault="004106E4" w:rsidP="00DF3FA1">
      <w:pPr>
        <w:numPr>
          <w:ilvl w:val="0"/>
          <w:numId w:val="9"/>
        </w:numPr>
        <w:spacing w:before="100" w:beforeAutospacing="1" w:after="100" w:afterAutospacing="1" w:line="240" w:lineRule="auto"/>
      </w:pPr>
      <w:hyperlink r:id="rId37" w:history="1">
        <w:r w:rsidR="00B94D94">
          <w:rPr>
            <w:rStyle w:val="Hyperlink"/>
          </w:rPr>
          <w:t>Using AI and machine learning to reduce government fraud</w:t>
        </w:r>
      </w:hyperlink>
    </w:p>
    <w:p w14:paraId="46C6F739" w14:textId="77777777" w:rsidR="00B94D94" w:rsidRDefault="004106E4" w:rsidP="00DF3FA1">
      <w:pPr>
        <w:numPr>
          <w:ilvl w:val="0"/>
          <w:numId w:val="9"/>
        </w:numPr>
        <w:spacing w:before="100" w:beforeAutospacing="1" w:after="100" w:afterAutospacing="1" w:line="240" w:lineRule="auto"/>
      </w:pPr>
      <w:hyperlink r:id="rId38" w:history="1">
        <w:r w:rsidR="00B94D94">
          <w:rPr>
            <w:rStyle w:val="Hyperlink"/>
          </w:rPr>
          <w:t>Fragile Algorithms and Fallible DecisionMakers: Lessons from the Justice System</w:t>
        </w:r>
      </w:hyperlink>
    </w:p>
    <w:p w14:paraId="5A07308E" w14:textId="77777777" w:rsidR="00B94D94" w:rsidRDefault="004106E4" w:rsidP="00DF3FA1">
      <w:pPr>
        <w:numPr>
          <w:ilvl w:val="0"/>
          <w:numId w:val="9"/>
        </w:numPr>
        <w:spacing w:before="100" w:beforeAutospacing="1" w:after="100" w:afterAutospacing="1" w:line="240" w:lineRule="auto"/>
      </w:pPr>
      <w:hyperlink r:id="rId39" w:history="1">
        <w:r w:rsidR="00B94D94">
          <w:rPr>
            <w:rStyle w:val="Hyperlink"/>
          </w:rPr>
          <w:t>REPORT: How to make AI work in government and for people, Case Studies</w:t>
        </w:r>
      </w:hyperlink>
    </w:p>
    <w:p w14:paraId="60DE922C" w14:textId="77777777" w:rsidR="00B94D94" w:rsidRDefault="00B94D94" w:rsidP="00DF3FA1">
      <w:pPr>
        <w:numPr>
          <w:ilvl w:val="0"/>
          <w:numId w:val="9"/>
        </w:numPr>
        <w:spacing w:before="100" w:beforeAutospacing="1" w:after="100" w:afterAutospacing="1" w:line="240" w:lineRule="auto"/>
      </w:pPr>
      <w:r>
        <w:t>Chapter 5, Civilian Casualties, Weapons of Math Destruction, Cathy O’Neil (PDF TBD)</w:t>
      </w:r>
    </w:p>
    <w:p w14:paraId="559A92FA" w14:textId="77777777" w:rsidR="00B94D94" w:rsidRDefault="00B94D94" w:rsidP="00B94D94">
      <w:pPr>
        <w:pStyle w:val="NormalWeb"/>
      </w:pPr>
      <w:r>
        <w:rPr>
          <w:rStyle w:val="Strong"/>
        </w:rPr>
        <w:t xml:space="preserve">Assignment: </w:t>
      </w:r>
      <w:hyperlink r:id="rId40" w:history="1">
        <w:r>
          <w:rPr>
            <w:rStyle w:val="Hyperlink"/>
            <w:b/>
            <w:bCs/>
          </w:rPr>
          <w:t>Response 2, Relationships</w:t>
        </w:r>
      </w:hyperlink>
    </w:p>
    <w:p w14:paraId="2605575D" w14:textId="77777777" w:rsidR="00B94D94" w:rsidRDefault="00B94D94" w:rsidP="00B94D94">
      <w:pPr>
        <w:pStyle w:val="Heading2"/>
      </w:pPr>
      <w:r>
        <w:t>Week 7, 2/24</w:t>
      </w:r>
    </w:p>
    <w:p w14:paraId="35F55CC2" w14:textId="77777777" w:rsidR="00B94D94" w:rsidRDefault="00B94D94" w:rsidP="00B94D94">
      <w:pPr>
        <w:pStyle w:val="NormalWeb"/>
      </w:pPr>
      <w:r>
        <w:rPr>
          <w:rStyle w:val="Emphasis"/>
        </w:rPr>
        <w:t>Coding 3</w:t>
      </w:r>
    </w:p>
    <w:p w14:paraId="20F44D61" w14:textId="77777777" w:rsidR="00B94D94" w:rsidRDefault="00B94D94" w:rsidP="00DF3FA1">
      <w:pPr>
        <w:numPr>
          <w:ilvl w:val="0"/>
          <w:numId w:val="10"/>
        </w:numPr>
        <w:spacing w:before="100" w:beforeAutospacing="1" w:after="100" w:afterAutospacing="1" w:line="240" w:lineRule="auto"/>
      </w:pPr>
      <w:r>
        <w:t>Chapter 10, DSPP</w:t>
      </w:r>
    </w:p>
    <w:p w14:paraId="57493FFA" w14:textId="77777777" w:rsidR="00B94D94" w:rsidRDefault="004106E4" w:rsidP="00DF3FA1">
      <w:pPr>
        <w:numPr>
          <w:ilvl w:val="0"/>
          <w:numId w:val="10"/>
        </w:numPr>
        <w:spacing w:before="100" w:beforeAutospacing="1" w:after="100" w:afterAutospacing="1" w:line="240" w:lineRule="auto"/>
      </w:pPr>
      <w:hyperlink r:id="rId41" w:history="1">
        <w:r w:rsidR="00B94D94">
          <w:rPr>
            <w:rStyle w:val="Hyperlink"/>
          </w:rPr>
          <w:t>tidymodels, Chapter 7-8 Workflow &amp; Recipies</w:t>
        </w:r>
      </w:hyperlink>
    </w:p>
    <w:p w14:paraId="30284D70" w14:textId="77777777" w:rsidR="00B94D94" w:rsidRDefault="00B94D94" w:rsidP="00B94D94">
      <w:pPr>
        <w:pStyle w:val="NormalWeb"/>
      </w:pPr>
      <w:r>
        <w:rPr>
          <w:rStyle w:val="Strong"/>
        </w:rPr>
        <w:t>Assignment: Detroit Part 2</w:t>
      </w:r>
    </w:p>
    <w:p w14:paraId="152F7F95" w14:textId="77777777" w:rsidR="00B94D94" w:rsidRDefault="00B94D94" w:rsidP="00B94D94">
      <w:pPr>
        <w:pStyle w:val="Heading2"/>
      </w:pPr>
      <w:r>
        <w:t>Week 8, 3/3</w:t>
      </w:r>
    </w:p>
    <w:p w14:paraId="5A3E2BF4" w14:textId="77777777" w:rsidR="00B94D94" w:rsidRDefault="00B94D94" w:rsidP="00B94D94">
      <w:pPr>
        <w:pStyle w:val="NormalWeb"/>
      </w:pPr>
      <w:r>
        <w:rPr>
          <w:rStyle w:val="Emphasis"/>
        </w:rPr>
        <w:t>Coding 4</w:t>
      </w:r>
    </w:p>
    <w:p w14:paraId="1E290BA8" w14:textId="77777777" w:rsidR="00B94D94" w:rsidRDefault="00B94D94" w:rsidP="00DF3FA1">
      <w:pPr>
        <w:numPr>
          <w:ilvl w:val="0"/>
          <w:numId w:val="11"/>
        </w:numPr>
        <w:spacing w:before="100" w:beforeAutospacing="1" w:after="100" w:afterAutospacing="1" w:line="240" w:lineRule="auto"/>
      </w:pPr>
      <w:r>
        <w:t>Chapter 11, DSPP</w:t>
      </w:r>
    </w:p>
    <w:p w14:paraId="27B0E19B" w14:textId="77777777" w:rsidR="00B94D94" w:rsidRDefault="004106E4" w:rsidP="00DF3FA1">
      <w:pPr>
        <w:numPr>
          <w:ilvl w:val="0"/>
          <w:numId w:val="11"/>
        </w:numPr>
        <w:spacing w:before="100" w:beforeAutospacing="1" w:after="100" w:afterAutospacing="1" w:line="240" w:lineRule="auto"/>
      </w:pPr>
      <w:hyperlink r:id="rId42" w:history="1">
        <w:r w:rsidR="00B94D94">
          <w:rPr>
            <w:rStyle w:val="Hyperlink"/>
          </w:rPr>
          <w:t>tidymodels, Chapter 9 Effectiveness</w:t>
        </w:r>
      </w:hyperlink>
    </w:p>
    <w:p w14:paraId="47CBCC47" w14:textId="77777777" w:rsidR="00B94D94" w:rsidRDefault="00B94D94" w:rsidP="00B94D94">
      <w:pPr>
        <w:pStyle w:val="Heading2"/>
      </w:pPr>
      <w:r>
        <w:t>Week 9, 3/10</w:t>
      </w:r>
    </w:p>
    <w:p w14:paraId="706898E1" w14:textId="77777777" w:rsidR="00B94D94" w:rsidRDefault="00B94D94" w:rsidP="00B94D94">
      <w:pPr>
        <w:pStyle w:val="NormalWeb"/>
      </w:pPr>
      <w:r>
        <w:rPr>
          <w:rStyle w:val="Emphasis"/>
        </w:rPr>
        <w:t>Ethical Critiques</w:t>
      </w:r>
    </w:p>
    <w:p w14:paraId="77BDEED0" w14:textId="77777777" w:rsidR="00B94D94" w:rsidRDefault="004106E4" w:rsidP="00DF3FA1">
      <w:pPr>
        <w:numPr>
          <w:ilvl w:val="0"/>
          <w:numId w:val="12"/>
        </w:numPr>
        <w:spacing w:before="100" w:beforeAutospacing="1" w:after="100" w:afterAutospacing="1" w:line="240" w:lineRule="auto"/>
      </w:pPr>
      <w:hyperlink r:id="rId43" w:history="1">
        <w:r w:rsidR="00B94D94">
          <w:rPr>
            <w:rStyle w:val="Hyperlink"/>
          </w:rPr>
          <w:t>Excavating AI</w:t>
        </w:r>
      </w:hyperlink>
    </w:p>
    <w:p w14:paraId="4C7FA429" w14:textId="77777777" w:rsidR="00B94D94" w:rsidRDefault="004106E4" w:rsidP="00DF3FA1">
      <w:pPr>
        <w:numPr>
          <w:ilvl w:val="0"/>
          <w:numId w:val="12"/>
        </w:numPr>
        <w:spacing w:before="100" w:beforeAutospacing="1" w:after="100" w:afterAutospacing="1" w:line="240" w:lineRule="auto"/>
      </w:pPr>
      <w:hyperlink r:id="rId44" w:history="1">
        <w:r w:rsidR="00B94D94">
          <w:rPr>
            <w:rStyle w:val="Hyperlink"/>
          </w:rPr>
          <w:t>Assembling Accountability</w:t>
        </w:r>
      </w:hyperlink>
    </w:p>
    <w:p w14:paraId="57C9A9CF" w14:textId="77777777" w:rsidR="00B94D94" w:rsidRDefault="004106E4" w:rsidP="00DF3FA1">
      <w:pPr>
        <w:numPr>
          <w:ilvl w:val="0"/>
          <w:numId w:val="12"/>
        </w:numPr>
        <w:spacing w:before="100" w:beforeAutospacing="1" w:after="100" w:afterAutospacing="1" w:line="240" w:lineRule="auto"/>
      </w:pPr>
      <w:hyperlink r:id="rId45" w:history="1">
        <w:r w:rsidR="00B94D94">
          <w:rPr>
            <w:rStyle w:val="Hyperlink"/>
          </w:rPr>
          <w:t>To Live in Their Utopia: Why Algorithmic Systems Create Absurd Outcomes</w:t>
        </w:r>
      </w:hyperlink>
    </w:p>
    <w:p w14:paraId="6E846022" w14:textId="77777777" w:rsidR="00B94D94" w:rsidRDefault="004106E4" w:rsidP="00DF3FA1">
      <w:pPr>
        <w:numPr>
          <w:ilvl w:val="0"/>
          <w:numId w:val="12"/>
        </w:numPr>
        <w:spacing w:before="100" w:beforeAutospacing="1" w:after="100" w:afterAutospacing="1" w:line="240" w:lineRule="auto"/>
      </w:pPr>
      <w:hyperlink r:id="rId46" w:history="1">
        <w:r w:rsidR="00B94D94">
          <w:rPr>
            <w:rStyle w:val="Hyperlink"/>
          </w:rPr>
          <w:t>Decolonial AI: Decolonial Theory as Sociotechnical Foresight in Artificial Intelligence</w:t>
        </w:r>
      </w:hyperlink>
    </w:p>
    <w:p w14:paraId="6768F4CE" w14:textId="77777777" w:rsidR="00B94D94" w:rsidRDefault="004106E4" w:rsidP="00DF3FA1">
      <w:pPr>
        <w:numPr>
          <w:ilvl w:val="0"/>
          <w:numId w:val="12"/>
        </w:numPr>
        <w:spacing w:before="100" w:beforeAutospacing="1" w:after="100" w:afterAutospacing="1" w:line="240" w:lineRule="auto"/>
      </w:pPr>
      <w:hyperlink r:id="rId47" w:history="1">
        <w:r w:rsidR="00B94D94">
          <w:rPr>
            <w:rStyle w:val="Hyperlink"/>
          </w:rPr>
          <w:t>Algorithmic Risk Assessments Can Alter Human Decision-Making Processes in High-Stakes Government Contexts</w:t>
        </w:r>
      </w:hyperlink>
    </w:p>
    <w:p w14:paraId="408477CD" w14:textId="77777777" w:rsidR="00B94D94" w:rsidRDefault="00B94D94" w:rsidP="00DF3FA1">
      <w:pPr>
        <w:numPr>
          <w:ilvl w:val="0"/>
          <w:numId w:val="12"/>
        </w:numPr>
        <w:spacing w:before="100" w:beforeAutospacing="1" w:after="100" w:afterAutospacing="1" w:line="240" w:lineRule="auto"/>
      </w:pPr>
      <w:r>
        <w:t>Chapter 14, DSPP</w:t>
      </w:r>
    </w:p>
    <w:p w14:paraId="34F4BBB4" w14:textId="77777777" w:rsidR="00B94D94" w:rsidRDefault="00B94D94" w:rsidP="00B94D94">
      <w:pPr>
        <w:pStyle w:val="NormalWeb"/>
      </w:pPr>
      <w:r>
        <w:t>Note: Introduce final project</w:t>
      </w:r>
    </w:p>
    <w:p w14:paraId="2BD1C621" w14:textId="77777777" w:rsidR="00B94D94" w:rsidRDefault="00B94D94" w:rsidP="00B94D94">
      <w:pPr>
        <w:pStyle w:val="NormalWeb"/>
      </w:pPr>
      <w:r>
        <w:rPr>
          <w:rStyle w:val="Strong"/>
        </w:rPr>
        <w:t xml:space="preserve">Assignment: </w:t>
      </w:r>
      <w:hyperlink r:id="rId48" w:history="1">
        <w:r>
          <w:rPr>
            <w:rStyle w:val="Hyperlink"/>
            <w:b/>
            <w:bCs/>
          </w:rPr>
          <w:t>Reading Response 3, Ideals</w:t>
        </w:r>
      </w:hyperlink>
    </w:p>
    <w:p w14:paraId="29AA9C62" w14:textId="77777777" w:rsidR="00B94D94" w:rsidRDefault="00B94D94" w:rsidP="00B94D94">
      <w:pPr>
        <w:pStyle w:val="Heading2"/>
      </w:pPr>
      <w:r>
        <w:lastRenderedPageBreak/>
        <w:t>Week 10, 3/17</w:t>
      </w:r>
    </w:p>
    <w:p w14:paraId="113E1E84" w14:textId="77777777" w:rsidR="00B94D94" w:rsidRDefault="00B94D94" w:rsidP="00B94D94">
      <w:pPr>
        <w:pStyle w:val="NormalWeb"/>
      </w:pPr>
      <w:r>
        <w:rPr>
          <w:rStyle w:val="Emphasis"/>
        </w:rPr>
        <w:t>Coding 4</w:t>
      </w:r>
    </w:p>
    <w:p w14:paraId="1725694D" w14:textId="77777777" w:rsidR="00B94D94" w:rsidRDefault="004106E4" w:rsidP="00DF3FA1">
      <w:pPr>
        <w:numPr>
          <w:ilvl w:val="0"/>
          <w:numId w:val="13"/>
        </w:numPr>
        <w:spacing w:before="100" w:beforeAutospacing="1" w:after="100" w:afterAutospacing="1" w:line="240" w:lineRule="auto"/>
      </w:pPr>
      <w:hyperlink r:id="rId49" w:history="1">
        <w:r w:rsidR="00B94D94">
          <w:rPr>
            <w:rStyle w:val="Hyperlink"/>
          </w:rPr>
          <w:t>tidymodels, Chapter 10-11 Resampling</w:t>
        </w:r>
      </w:hyperlink>
    </w:p>
    <w:p w14:paraId="11455D0F" w14:textId="77777777" w:rsidR="00B94D94" w:rsidRDefault="00B94D94" w:rsidP="00DF3FA1">
      <w:pPr>
        <w:numPr>
          <w:ilvl w:val="0"/>
          <w:numId w:val="13"/>
        </w:numPr>
        <w:spacing w:before="100" w:beforeAutospacing="1" w:after="100" w:afterAutospacing="1" w:line="240" w:lineRule="auto"/>
      </w:pPr>
      <w:r>
        <w:t>Chapter 13, DSPP</w:t>
      </w:r>
    </w:p>
    <w:p w14:paraId="2D0FB0C3" w14:textId="77777777" w:rsidR="00B94D94" w:rsidRDefault="00B94D94" w:rsidP="00B94D94">
      <w:pPr>
        <w:pStyle w:val="NormalWeb"/>
      </w:pPr>
      <w:r>
        <w:rPr>
          <w:rStyle w:val="Strong"/>
        </w:rPr>
        <w:t>Assignment: Detroit Part 3</w:t>
      </w:r>
    </w:p>
    <w:p w14:paraId="4DFCF80A" w14:textId="77777777" w:rsidR="00B94D94" w:rsidRDefault="00B94D94" w:rsidP="00B94D94">
      <w:pPr>
        <w:pStyle w:val="Heading2"/>
      </w:pPr>
      <w:r>
        <w:t>Week 11, 3/24</w:t>
      </w:r>
    </w:p>
    <w:p w14:paraId="7CC4713E" w14:textId="77777777" w:rsidR="00B94D94" w:rsidRDefault="00B94D94" w:rsidP="00B94D94">
      <w:pPr>
        <w:pStyle w:val="NormalWeb"/>
      </w:pPr>
      <w:r>
        <w:t>Spring Vacation No Class</w:t>
      </w:r>
    </w:p>
    <w:p w14:paraId="17396105" w14:textId="77777777" w:rsidR="00B94D94" w:rsidRDefault="00B94D94" w:rsidP="00B94D94">
      <w:pPr>
        <w:pStyle w:val="Heading2"/>
      </w:pPr>
      <w:r>
        <w:t>Week 12, 3/31</w:t>
      </w:r>
    </w:p>
    <w:p w14:paraId="0F4BBC49" w14:textId="77777777" w:rsidR="00B94D94" w:rsidRDefault="00B94D94" w:rsidP="00B94D94">
      <w:pPr>
        <w:pStyle w:val="NormalWeb"/>
      </w:pPr>
      <w:r>
        <w:rPr>
          <w:rStyle w:val="Emphasis"/>
        </w:rPr>
        <w:t>Coding 5</w:t>
      </w:r>
    </w:p>
    <w:p w14:paraId="6782EA39" w14:textId="77777777" w:rsidR="00B94D94" w:rsidRDefault="004106E4" w:rsidP="00DF3FA1">
      <w:pPr>
        <w:numPr>
          <w:ilvl w:val="0"/>
          <w:numId w:val="14"/>
        </w:numPr>
        <w:spacing w:before="100" w:beforeAutospacing="1" w:after="100" w:afterAutospacing="1" w:line="240" w:lineRule="auto"/>
      </w:pPr>
      <w:hyperlink r:id="rId50" w:history="1">
        <w:r w:rsidR="00B94D94">
          <w:rPr>
            <w:rStyle w:val="Hyperlink"/>
          </w:rPr>
          <w:t>tidymodels, Chapter 12 Tuning, 17 Dimensionality Reduction</w:t>
        </w:r>
      </w:hyperlink>
    </w:p>
    <w:p w14:paraId="24608545" w14:textId="77777777" w:rsidR="00B94D94" w:rsidRDefault="00B94D94" w:rsidP="00DF3FA1">
      <w:pPr>
        <w:numPr>
          <w:ilvl w:val="0"/>
          <w:numId w:val="14"/>
        </w:numPr>
        <w:spacing w:before="100" w:beforeAutospacing="1" w:after="100" w:afterAutospacing="1" w:line="240" w:lineRule="auto"/>
      </w:pPr>
      <w:r>
        <w:t>Chapter 15, DSPP</w:t>
      </w:r>
    </w:p>
    <w:p w14:paraId="25E56582" w14:textId="77777777" w:rsidR="00B94D94" w:rsidRDefault="00B94D94" w:rsidP="00B94D94">
      <w:pPr>
        <w:pStyle w:val="NormalWeb"/>
      </w:pPr>
      <w:r>
        <w:rPr>
          <w:rStyle w:val="Strong"/>
        </w:rPr>
        <w:t>Assignment: Detroit Part 4</w:t>
      </w:r>
    </w:p>
    <w:p w14:paraId="6C7403F7" w14:textId="77777777" w:rsidR="00B94D94" w:rsidRDefault="00B94D94" w:rsidP="00B94D94">
      <w:pPr>
        <w:pStyle w:val="Heading2"/>
      </w:pPr>
      <w:r>
        <w:t>Week 13, 4/7</w:t>
      </w:r>
    </w:p>
    <w:p w14:paraId="39C90F78" w14:textId="77777777" w:rsidR="00B94D94" w:rsidRDefault="00B94D94" w:rsidP="00B94D94">
      <w:pPr>
        <w:pStyle w:val="NormalWeb"/>
      </w:pPr>
      <w:r>
        <w:rPr>
          <w:rStyle w:val="Emphasis"/>
        </w:rPr>
        <w:t>Detroit Presentation</w:t>
      </w:r>
    </w:p>
    <w:p w14:paraId="7163486E" w14:textId="77777777" w:rsidR="00B94D94" w:rsidRDefault="004106E4" w:rsidP="00DF3FA1">
      <w:pPr>
        <w:numPr>
          <w:ilvl w:val="0"/>
          <w:numId w:val="15"/>
        </w:numPr>
        <w:spacing w:before="100" w:beforeAutospacing="1" w:after="100" w:afterAutospacing="1" w:line="240" w:lineRule="auto"/>
      </w:pPr>
      <w:hyperlink r:id="rId51" w:history="1">
        <w:r w:rsidR="00B94D94">
          <w:rPr>
            <w:rStyle w:val="Hyperlink"/>
          </w:rPr>
          <w:t>In the Age of AI, Frontline</w:t>
        </w:r>
      </w:hyperlink>
    </w:p>
    <w:p w14:paraId="08DE9C00" w14:textId="77777777" w:rsidR="00B94D94" w:rsidRDefault="004106E4" w:rsidP="00DF3FA1">
      <w:pPr>
        <w:numPr>
          <w:ilvl w:val="0"/>
          <w:numId w:val="15"/>
        </w:numPr>
        <w:spacing w:before="100" w:beforeAutospacing="1" w:after="100" w:afterAutospacing="1" w:line="240" w:lineRule="auto"/>
      </w:pPr>
      <w:hyperlink r:id="rId52" w:history="1">
        <w:r w:rsidR="00B94D94">
          <w:rPr>
            <w:rStyle w:val="Hyperlink"/>
          </w:rPr>
          <w:t>Algorithms</w:t>
        </w:r>
      </w:hyperlink>
    </w:p>
    <w:p w14:paraId="5F135F2D" w14:textId="77777777" w:rsidR="00B94D94" w:rsidRDefault="00B94D94" w:rsidP="00B94D94">
      <w:pPr>
        <w:pStyle w:val="NormalWeb"/>
      </w:pPr>
      <w:r>
        <w:t>Note: Present Detroit model</w:t>
      </w:r>
    </w:p>
    <w:p w14:paraId="05371D83" w14:textId="77777777" w:rsidR="00B94D94" w:rsidRDefault="00B94D94" w:rsidP="00B94D94">
      <w:pPr>
        <w:pStyle w:val="Heading2"/>
      </w:pPr>
      <w:r>
        <w:t>Week 14, 4/14</w:t>
      </w:r>
    </w:p>
    <w:p w14:paraId="2E73EE1A" w14:textId="77777777" w:rsidR="00B94D94" w:rsidRDefault="00B94D94" w:rsidP="00B94D94">
      <w:pPr>
        <w:pStyle w:val="NormalWeb"/>
      </w:pPr>
      <w:r>
        <w:rPr>
          <w:rStyle w:val="Emphasis"/>
        </w:rPr>
        <w:t>Coding 6</w:t>
      </w:r>
    </w:p>
    <w:p w14:paraId="3082282C" w14:textId="77777777" w:rsidR="00B94D94" w:rsidRDefault="004106E4" w:rsidP="00DF3FA1">
      <w:pPr>
        <w:numPr>
          <w:ilvl w:val="0"/>
          <w:numId w:val="16"/>
        </w:numPr>
        <w:spacing w:before="100" w:beforeAutospacing="1" w:after="100" w:afterAutospacing="1" w:line="240" w:lineRule="auto"/>
      </w:pPr>
      <w:hyperlink r:id="rId53" w:history="1">
        <w:r w:rsidR="00B94D94">
          <w:rPr>
            <w:rStyle w:val="Hyperlink"/>
          </w:rPr>
          <w:t>tidymodels, Chapter 18-20 Understanding Models</w:t>
        </w:r>
      </w:hyperlink>
    </w:p>
    <w:p w14:paraId="0C4BF9D4" w14:textId="77777777" w:rsidR="00B94D94" w:rsidRDefault="00B94D94" w:rsidP="00B94D94">
      <w:pPr>
        <w:pStyle w:val="Heading2"/>
      </w:pPr>
      <w:r>
        <w:t>Week 15, 4/21</w:t>
      </w:r>
    </w:p>
    <w:p w14:paraId="59BBE553" w14:textId="77777777" w:rsidR="00B94D94" w:rsidRDefault="00B94D94" w:rsidP="00B94D94">
      <w:pPr>
        <w:pStyle w:val="NormalWeb"/>
      </w:pPr>
      <w:r>
        <w:rPr>
          <w:rStyle w:val="Emphasis"/>
        </w:rPr>
        <w:t>Public Sector Careers</w:t>
      </w:r>
    </w:p>
    <w:p w14:paraId="18597A8B" w14:textId="77777777" w:rsidR="00B94D94" w:rsidRDefault="00B94D94" w:rsidP="00B94D94">
      <w:pPr>
        <w:pStyle w:val="Heading2"/>
      </w:pPr>
      <w:r>
        <w:t>Week 16, 4/28</w:t>
      </w:r>
    </w:p>
    <w:p w14:paraId="522BF725" w14:textId="111E49DB" w:rsidR="0057285A" w:rsidRPr="00B94D94" w:rsidRDefault="00B94D94" w:rsidP="00B94D94">
      <w:pPr>
        <w:pStyle w:val="NormalWeb"/>
      </w:pPr>
      <w:r>
        <w:rPr>
          <w:rStyle w:val="Emphasis"/>
        </w:rPr>
        <w:t>Final Presentations</w:t>
      </w:r>
    </w:p>
    <w:sectPr w:rsidR="0057285A" w:rsidRPr="00B94D94" w:rsidSect="00FA44AB">
      <w:footerReference w:type="default" r:id="rId54"/>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8603" w14:textId="77777777" w:rsidR="004106E4" w:rsidRDefault="004106E4" w:rsidP="00CF2BC4">
      <w:pPr>
        <w:spacing w:after="0" w:line="240" w:lineRule="auto"/>
      </w:pPr>
      <w:r>
        <w:separator/>
      </w:r>
    </w:p>
  </w:endnote>
  <w:endnote w:type="continuationSeparator" w:id="0">
    <w:p w14:paraId="463EE99B" w14:textId="77777777" w:rsidR="004106E4" w:rsidRDefault="004106E4"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116F" w14:textId="77777777" w:rsidR="004106E4" w:rsidRDefault="004106E4" w:rsidP="00CF2BC4">
      <w:pPr>
        <w:spacing w:after="0" w:line="240" w:lineRule="auto"/>
      </w:pPr>
      <w:r>
        <w:separator/>
      </w:r>
    </w:p>
  </w:footnote>
  <w:footnote w:type="continuationSeparator" w:id="0">
    <w:p w14:paraId="6EE8216D" w14:textId="77777777" w:rsidR="004106E4" w:rsidRDefault="004106E4"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97"/>
    <w:multiLevelType w:val="multilevel"/>
    <w:tmpl w:val="895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7ED"/>
    <w:multiLevelType w:val="multilevel"/>
    <w:tmpl w:val="18B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D5BE4"/>
    <w:multiLevelType w:val="multilevel"/>
    <w:tmpl w:val="1C5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7AB3"/>
    <w:multiLevelType w:val="multilevel"/>
    <w:tmpl w:val="F58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C1036"/>
    <w:multiLevelType w:val="multilevel"/>
    <w:tmpl w:val="136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F573D"/>
    <w:multiLevelType w:val="multilevel"/>
    <w:tmpl w:val="097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E067B"/>
    <w:multiLevelType w:val="multilevel"/>
    <w:tmpl w:val="8FA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9298A"/>
    <w:multiLevelType w:val="multilevel"/>
    <w:tmpl w:val="959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06B0C"/>
    <w:multiLevelType w:val="multilevel"/>
    <w:tmpl w:val="E06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13CB3"/>
    <w:multiLevelType w:val="multilevel"/>
    <w:tmpl w:val="C7E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D16C6"/>
    <w:multiLevelType w:val="multilevel"/>
    <w:tmpl w:val="B69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E3C1A"/>
    <w:multiLevelType w:val="multilevel"/>
    <w:tmpl w:val="059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917A0"/>
    <w:multiLevelType w:val="multilevel"/>
    <w:tmpl w:val="168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A6F61"/>
    <w:multiLevelType w:val="multilevel"/>
    <w:tmpl w:val="4C9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0"/>
  </w:num>
  <w:num w:numId="5">
    <w:abstractNumId w:val="8"/>
  </w:num>
  <w:num w:numId="6">
    <w:abstractNumId w:val="7"/>
  </w:num>
  <w:num w:numId="7">
    <w:abstractNumId w:val="3"/>
  </w:num>
  <w:num w:numId="8">
    <w:abstractNumId w:val="6"/>
  </w:num>
  <w:num w:numId="9">
    <w:abstractNumId w:val="4"/>
  </w:num>
  <w:num w:numId="10">
    <w:abstractNumId w:val="10"/>
  </w:num>
  <w:num w:numId="11">
    <w:abstractNumId w:val="15"/>
  </w:num>
  <w:num w:numId="12">
    <w:abstractNumId w:val="9"/>
  </w:num>
  <w:num w:numId="13">
    <w:abstractNumId w:val="14"/>
  </w:num>
  <w:num w:numId="14">
    <w:abstractNumId w:val="2"/>
  </w:num>
  <w:num w:numId="15">
    <w:abstractNumId w:val="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06E4"/>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1EE"/>
    <w:rsid w:val="00A92735"/>
    <w:rsid w:val="00A92C8A"/>
    <w:rsid w:val="00A937DF"/>
    <w:rsid w:val="00A93F94"/>
    <w:rsid w:val="00A95026"/>
    <w:rsid w:val="00AA0F7A"/>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94D94"/>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3FA1"/>
    <w:rsid w:val="00DF5F7B"/>
    <w:rsid w:val="00E02017"/>
    <w:rsid w:val="00E12686"/>
    <w:rsid w:val="00E12C69"/>
    <w:rsid w:val="00E14EDA"/>
    <w:rsid w:val="00E156E5"/>
    <w:rsid w:val="00E240B9"/>
    <w:rsid w:val="00E24632"/>
    <w:rsid w:val="00E25062"/>
    <w:rsid w:val="00E265F0"/>
    <w:rsid w:val="00E329D1"/>
    <w:rsid w:val="00E53964"/>
    <w:rsid w:val="00E56BE8"/>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94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94D9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94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1990330226">
      <w:bodyDiv w:val="1"/>
      <w:marLeft w:val="0"/>
      <w:marRight w:val="0"/>
      <w:marTop w:val="0"/>
      <w:marBottom w:val="0"/>
      <w:divBdr>
        <w:top w:val="none" w:sz="0" w:space="0" w:color="auto"/>
        <w:left w:val="none" w:sz="0" w:space="0" w:color="auto"/>
        <w:bottom w:val="none" w:sz="0" w:space="0" w:color="auto"/>
        <w:right w:val="none" w:sz="0" w:space="0" w:color="auto"/>
      </w:divBdr>
      <w:divsChild>
        <w:div w:id="820847655">
          <w:marLeft w:val="0"/>
          <w:marRight w:val="0"/>
          <w:marTop w:val="0"/>
          <w:marBottom w:val="0"/>
          <w:divBdr>
            <w:top w:val="none" w:sz="0" w:space="0" w:color="auto"/>
            <w:left w:val="none" w:sz="0" w:space="0" w:color="auto"/>
            <w:bottom w:val="none" w:sz="0" w:space="0" w:color="auto"/>
            <w:right w:val="none" w:sz="0" w:space="0" w:color="auto"/>
          </w:divBdr>
        </w:div>
        <w:div w:id="1093161041">
          <w:marLeft w:val="0"/>
          <w:marRight w:val="0"/>
          <w:marTop w:val="0"/>
          <w:marBottom w:val="0"/>
          <w:divBdr>
            <w:top w:val="none" w:sz="0" w:space="0" w:color="auto"/>
            <w:left w:val="none" w:sz="0" w:space="0" w:color="auto"/>
            <w:bottom w:val="none" w:sz="0" w:space="0" w:color="auto"/>
            <w:right w:val="none" w:sz="0" w:space="0" w:color="auto"/>
          </w:divBdr>
        </w:div>
        <w:div w:id="1948072956">
          <w:marLeft w:val="0"/>
          <w:marRight w:val="0"/>
          <w:marTop w:val="0"/>
          <w:marBottom w:val="0"/>
          <w:divBdr>
            <w:top w:val="none" w:sz="0" w:space="0" w:color="auto"/>
            <w:left w:val="none" w:sz="0" w:space="0" w:color="auto"/>
            <w:bottom w:val="none" w:sz="0" w:space="0" w:color="auto"/>
            <w:right w:val="none" w:sz="0" w:space="0" w:color="auto"/>
          </w:divBdr>
        </w:div>
        <w:div w:id="279382379">
          <w:marLeft w:val="0"/>
          <w:marRight w:val="0"/>
          <w:marTop w:val="0"/>
          <w:marBottom w:val="0"/>
          <w:divBdr>
            <w:top w:val="none" w:sz="0" w:space="0" w:color="auto"/>
            <w:left w:val="none" w:sz="0" w:space="0" w:color="auto"/>
            <w:bottom w:val="none" w:sz="0" w:space="0" w:color="auto"/>
            <w:right w:val="none" w:sz="0" w:space="0" w:color="auto"/>
          </w:divBdr>
        </w:div>
        <w:div w:id="727537731">
          <w:marLeft w:val="0"/>
          <w:marRight w:val="0"/>
          <w:marTop w:val="0"/>
          <w:marBottom w:val="0"/>
          <w:divBdr>
            <w:top w:val="none" w:sz="0" w:space="0" w:color="auto"/>
            <w:left w:val="none" w:sz="0" w:space="0" w:color="auto"/>
            <w:bottom w:val="none" w:sz="0" w:space="0" w:color="auto"/>
            <w:right w:val="none" w:sz="0" w:space="0" w:color="auto"/>
          </w:divBdr>
        </w:div>
        <w:div w:id="1138182205">
          <w:marLeft w:val="0"/>
          <w:marRight w:val="0"/>
          <w:marTop w:val="0"/>
          <w:marBottom w:val="0"/>
          <w:divBdr>
            <w:top w:val="none" w:sz="0" w:space="0" w:color="auto"/>
            <w:left w:val="none" w:sz="0" w:space="0" w:color="auto"/>
            <w:bottom w:val="none" w:sz="0" w:space="0" w:color="auto"/>
            <w:right w:val="none" w:sz="0" w:space="0" w:color="auto"/>
          </w:divBdr>
        </w:div>
        <w:div w:id="954216778">
          <w:marLeft w:val="0"/>
          <w:marRight w:val="0"/>
          <w:marTop w:val="0"/>
          <w:marBottom w:val="0"/>
          <w:divBdr>
            <w:top w:val="none" w:sz="0" w:space="0" w:color="auto"/>
            <w:left w:val="none" w:sz="0" w:space="0" w:color="auto"/>
            <w:bottom w:val="none" w:sz="0" w:space="0" w:color="auto"/>
            <w:right w:val="none" w:sz="0" w:space="0" w:color="auto"/>
          </w:divBdr>
        </w:div>
        <w:div w:id="583297837">
          <w:marLeft w:val="0"/>
          <w:marRight w:val="0"/>
          <w:marTop w:val="0"/>
          <w:marBottom w:val="0"/>
          <w:divBdr>
            <w:top w:val="none" w:sz="0" w:space="0" w:color="auto"/>
            <w:left w:val="none" w:sz="0" w:space="0" w:color="auto"/>
            <w:bottom w:val="none" w:sz="0" w:space="0" w:color="auto"/>
            <w:right w:val="none" w:sz="0" w:space="0" w:color="auto"/>
          </w:divBdr>
        </w:div>
        <w:div w:id="445346316">
          <w:marLeft w:val="0"/>
          <w:marRight w:val="0"/>
          <w:marTop w:val="0"/>
          <w:marBottom w:val="0"/>
          <w:divBdr>
            <w:top w:val="none" w:sz="0" w:space="0" w:color="auto"/>
            <w:left w:val="none" w:sz="0" w:space="0" w:color="auto"/>
            <w:bottom w:val="none" w:sz="0" w:space="0" w:color="auto"/>
            <w:right w:val="none" w:sz="0" w:space="0" w:color="auto"/>
          </w:divBdr>
        </w:div>
        <w:div w:id="1080060631">
          <w:marLeft w:val="0"/>
          <w:marRight w:val="0"/>
          <w:marTop w:val="0"/>
          <w:marBottom w:val="0"/>
          <w:divBdr>
            <w:top w:val="none" w:sz="0" w:space="0" w:color="auto"/>
            <w:left w:val="none" w:sz="0" w:space="0" w:color="auto"/>
            <w:bottom w:val="none" w:sz="0" w:space="0" w:color="auto"/>
            <w:right w:val="none" w:sz="0" w:space="0" w:color="auto"/>
          </w:divBdr>
        </w:div>
        <w:div w:id="1631476273">
          <w:marLeft w:val="0"/>
          <w:marRight w:val="0"/>
          <w:marTop w:val="0"/>
          <w:marBottom w:val="0"/>
          <w:divBdr>
            <w:top w:val="none" w:sz="0" w:space="0" w:color="auto"/>
            <w:left w:val="none" w:sz="0" w:space="0" w:color="auto"/>
            <w:bottom w:val="none" w:sz="0" w:space="0" w:color="auto"/>
            <w:right w:val="none" w:sz="0" w:space="0" w:color="auto"/>
          </w:divBdr>
        </w:div>
        <w:div w:id="746222407">
          <w:marLeft w:val="0"/>
          <w:marRight w:val="0"/>
          <w:marTop w:val="0"/>
          <w:marBottom w:val="0"/>
          <w:divBdr>
            <w:top w:val="none" w:sz="0" w:space="0" w:color="auto"/>
            <w:left w:val="none" w:sz="0" w:space="0" w:color="auto"/>
            <w:bottom w:val="none" w:sz="0" w:space="0" w:color="auto"/>
            <w:right w:val="none" w:sz="0" w:space="0" w:color="auto"/>
          </w:divBdr>
        </w:div>
        <w:div w:id="1210461242">
          <w:marLeft w:val="0"/>
          <w:marRight w:val="0"/>
          <w:marTop w:val="0"/>
          <w:marBottom w:val="0"/>
          <w:divBdr>
            <w:top w:val="none" w:sz="0" w:space="0" w:color="auto"/>
            <w:left w:val="none" w:sz="0" w:space="0" w:color="auto"/>
            <w:bottom w:val="none" w:sz="0" w:space="0" w:color="auto"/>
            <w:right w:val="none" w:sz="0" w:space="0" w:color="auto"/>
          </w:divBdr>
        </w:div>
        <w:div w:id="694692908">
          <w:marLeft w:val="0"/>
          <w:marRight w:val="0"/>
          <w:marTop w:val="0"/>
          <w:marBottom w:val="0"/>
          <w:divBdr>
            <w:top w:val="none" w:sz="0" w:space="0" w:color="auto"/>
            <w:left w:val="none" w:sz="0" w:space="0" w:color="auto"/>
            <w:bottom w:val="none" w:sz="0" w:space="0" w:color="auto"/>
            <w:right w:val="none" w:sz="0" w:space="0" w:color="auto"/>
          </w:divBdr>
        </w:div>
        <w:div w:id="932475954">
          <w:marLeft w:val="0"/>
          <w:marRight w:val="0"/>
          <w:marTop w:val="0"/>
          <w:marBottom w:val="0"/>
          <w:divBdr>
            <w:top w:val="none" w:sz="0" w:space="0" w:color="auto"/>
            <w:left w:val="none" w:sz="0" w:space="0" w:color="auto"/>
            <w:bottom w:val="none" w:sz="0" w:space="0" w:color="auto"/>
            <w:right w:val="none" w:sz="0" w:space="0" w:color="auto"/>
          </w:divBdr>
        </w:div>
        <w:div w:id="1226144383">
          <w:marLeft w:val="0"/>
          <w:marRight w:val="0"/>
          <w:marTop w:val="0"/>
          <w:marBottom w:val="0"/>
          <w:divBdr>
            <w:top w:val="none" w:sz="0" w:space="0" w:color="auto"/>
            <w:left w:val="none" w:sz="0" w:space="0" w:color="auto"/>
            <w:bottom w:val="none" w:sz="0" w:space="0" w:color="auto"/>
            <w:right w:val="none" w:sz="0" w:space="0" w:color="auto"/>
          </w:divBdr>
        </w:div>
      </w:divsChild>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1/11/19/technology/can-a-machine-learn-morality.html" TargetMode="External"/><Relationship Id="rId18" Type="http://schemas.openxmlformats.org/officeDocument/2006/relationships/hyperlink" Target="https://r-spatial.github.io/sf/" TargetMode="External"/><Relationship Id="rId26" Type="http://schemas.openxmlformats.org/officeDocument/2006/relationships/hyperlink" Target="https://www.state.gov/secretary-antony-j-blinken-at-the-national-security-commission-on-artificial-intelligences-nscai-global-emerging-technology-summit/" TargetMode="External"/><Relationship Id="rId39" Type="http://schemas.openxmlformats.org/officeDocument/2006/relationships/hyperlink" Target="https://www.centreforpublicimpact.org/insights/how-to-make-ai-work-in-government-and-for-people" TargetMode="External"/><Relationship Id="rId21" Type="http://schemas.openxmlformats.org/officeDocument/2006/relationships/hyperlink" Target="https://pa470spring2022.netlify.app/coding-warmup-1" TargetMode="External"/><Relationship Id="rId34" Type="http://schemas.openxmlformats.org/officeDocument/2006/relationships/hyperlink" Target="https://everestpipkin.medium.com/a-city-is-a-city-against-the-metaphorization-of-data-2139be087a71" TargetMode="External"/><Relationship Id="rId42" Type="http://schemas.openxmlformats.org/officeDocument/2006/relationships/hyperlink" Target="https://www.tmwr.org/index.html" TargetMode="External"/><Relationship Id="rId47" Type="http://schemas.openxmlformats.org/officeDocument/2006/relationships/hyperlink" Target="https://www.benzevgreen.com/wp-content/uploads/2021/08/21-cscw.pdf" TargetMode="External"/><Relationship Id="rId50" Type="http://schemas.openxmlformats.org/officeDocument/2006/relationships/hyperlink" Target="https://www.tmwr.org/index.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ired.com/story/crime-prediction-racist-history/" TargetMode="External"/><Relationship Id="rId29" Type="http://schemas.openxmlformats.org/officeDocument/2006/relationships/hyperlink" Target="https://obamawhitehouse.archives.gov/sites/default/files/whitehouse_files/microsites/ostp/NSTC/preparing_for_the_future_of_ai.pdf" TargetMode="External"/><Relationship Id="rId11" Type="http://schemas.openxmlformats.org/officeDocument/2006/relationships/hyperlink" Target="http://go.uic.edu/disciplinarypolicy" TargetMode="External"/><Relationship Id="rId24" Type="http://schemas.openxmlformats.org/officeDocument/2006/relationships/hyperlink" Target="https://datasmart.ash.harvard.edu/news/article/how-can-data-and-analytics-be-used-to-enhance-city-operations-723" TargetMode="External"/><Relationship Id="rId32" Type="http://schemas.openxmlformats.org/officeDocument/2006/relationships/hyperlink" Target="https://www.tmwr.org/index.html" TargetMode="External"/><Relationship Id="rId37" Type="http://schemas.openxmlformats.org/officeDocument/2006/relationships/hyperlink" Target="https://www.brookings.edu/research/using-ai-and-machine-learning-to-reduce-government-fraud/" TargetMode="External"/><Relationship Id="rId40" Type="http://schemas.openxmlformats.org/officeDocument/2006/relationships/hyperlink" Target="https://pa470spring2022.netlify.app/calendar/reading-response-2" TargetMode="External"/><Relationship Id="rId45" Type="http://schemas.openxmlformats.org/officeDocument/2006/relationships/hyperlink" Target="https://ali-alkhatib.com/papers/chi/utopia/utopia.pdf" TargetMode="External"/><Relationship Id="rId53" Type="http://schemas.openxmlformats.org/officeDocument/2006/relationships/hyperlink" Target="https://www.tmwr.org/index.html" TargetMode="External"/><Relationship Id="rId5" Type="http://schemas.openxmlformats.org/officeDocument/2006/relationships/webSettings" Target="webSettings.xml"/><Relationship Id="rId10" Type="http://schemas.openxmlformats.org/officeDocument/2006/relationships/hyperlink" Target="https://link.springer.com/book/10.1007/978-3-030-71352-2" TargetMode="External"/><Relationship Id="rId19" Type="http://schemas.openxmlformats.org/officeDocument/2006/relationships/hyperlink" Target="https://walker-data.com/tidycensus/" TargetMode="External"/><Relationship Id="rId31" Type="http://schemas.openxmlformats.org/officeDocument/2006/relationships/hyperlink" Target="https://pa470spring2022.netlify.app/coding-warmup-3" TargetMode="External"/><Relationship Id="rId44" Type="http://schemas.openxmlformats.org/officeDocument/2006/relationships/hyperlink" Target="https://datasociety.net/wp-content/uploads/2021/06/Assembling-Accountability.pdf" TargetMode="External"/><Relationship Id="rId52" Type="http://schemas.openxmlformats.org/officeDocument/2006/relationships/hyperlink" Target="https://github.com/TheAlgorithms/Python"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hyperlink" Target="https://delphi.allenai.org/?a1=Women+are+better+than+men." TargetMode="External"/><Relationship Id="rId22" Type="http://schemas.openxmlformats.org/officeDocument/2006/relationships/hyperlink" Target="https://www.tmwr.org/index.html" TargetMode="External"/><Relationship Id="rId27" Type="http://schemas.openxmlformats.org/officeDocument/2006/relationships/hyperlink" Target="https://gitlab.com/ccao-data-science---modeling/models/ccao_res_avm" TargetMode="External"/><Relationship Id="rId30" Type="http://schemas.openxmlformats.org/officeDocument/2006/relationships/hyperlink" Target="https://pa470spring2022.netlify.app/reading-response-1" TargetMode="External"/><Relationship Id="rId35" Type="http://schemas.openxmlformats.org/officeDocument/2006/relationships/hyperlink" Target="https://www.ai.gov/" TargetMode="External"/><Relationship Id="rId43" Type="http://schemas.openxmlformats.org/officeDocument/2006/relationships/hyperlink" Target="https://excavating.ai/" TargetMode="External"/><Relationship Id="rId48" Type="http://schemas.openxmlformats.org/officeDocument/2006/relationships/hyperlink" Target="https://pa470spring2022.netlify.app/calendar/reading-response-3"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youtube.com/watch?v=5dZ_lvDgevk" TargetMode="External"/><Relationship Id="rId3" Type="http://schemas.openxmlformats.org/officeDocument/2006/relationships/styles" Target="styles.xml"/><Relationship Id="rId12" Type="http://schemas.openxmlformats.org/officeDocument/2006/relationships/hyperlink" Target="https://drc.uic.edu" TargetMode="External"/><Relationship Id="rId17" Type="http://schemas.openxmlformats.org/officeDocument/2006/relationships/hyperlink" Target="https://www.tmwr.org/index.html" TargetMode="External"/><Relationship Id="rId25" Type="http://schemas.openxmlformats.org/officeDocument/2006/relationships/hyperlink" Target="https://www1.nyc.gov/assets/cto/downloads/ai-strategy/nyc_ai_strategy.pdf" TargetMode="External"/><Relationship Id="rId33" Type="http://schemas.openxmlformats.org/officeDocument/2006/relationships/hyperlink" Target="https://pa470spring2022.netlify.app/detroit-1" TargetMode="External"/><Relationship Id="rId38" Type="http://schemas.openxmlformats.org/officeDocument/2006/relationships/hyperlink" Target="https://pubs.aeaweb.org/doi/pdfplus/10.1257/jep.35.4.71" TargetMode="External"/><Relationship Id="rId46" Type="http://schemas.openxmlformats.org/officeDocument/2006/relationships/hyperlink" Target="https://arxiv.org/pdf/2007.04068.pdf" TargetMode="External"/><Relationship Id="rId20" Type="http://schemas.openxmlformats.org/officeDocument/2006/relationships/hyperlink" Target="https://urbaninstitute.github.io/r-at-urban/mapping.html" TargetMode="External"/><Relationship Id="rId41" Type="http://schemas.openxmlformats.org/officeDocument/2006/relationships/hyperlink" Target="https://www.tmwr.org/index.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markup.org/prediction-bias/2021/12/02/crime-prediction-software-promised-to-be-free-of-biases-new-data-shows-it-perpetuates-them" TargetMode="External"/><Relationship Id="rId23" Type="http://schemas.openxmlformats.org/officeDocument/2006/relationships/hyperlink" Target="https://pa470spring2022.netlify.app/coding-warmup-2" TargetMode="External"/><Relationship Id="rId28" Type="http://schemas.openxmlformats.org/officeDocument/2006/relationships/hyperlink" Target="https://www1.nyc.gov/assets/ampo/downloads/pdf/AMPO-CY-2020-Agency-Compliance-Reporting.pdf" TargetMode="External"/><Relationship Id="rId36" Type="http://schemas.openxmlformats.org/officeDocument/2006/relationships/hyperlink" Target="https://www2.deloitte.com/us/en/insights/industry/public-sector/ai-strategy-for-government-leaders.html" TargetMode="External"/><Relationship Id="rId49" Type="http://schemas.openxmlformats.org/officeDocument/2006/relationships/hyperlink" Target="https://www.tmwr.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9039</TotalTime>
  <Pages>7</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27</cp:revision>
  <cp:lastPrinted>2016-01-14T04:15:00Z</cp:lastPrinted>
  <dcterms:created xsi:type="dcterms:W3CDTF">2021-12-07T03:26:00Z</dcterms:created>
  <dcterms:modified xsi:type="dcterms:W3CDTF">2022-01-10T01:23:00Z</dcterms:modified>
</cp:coreProperties>
</file>