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6"/>
          <w:szCs w:val="56"/>
        </w:rPr>
        <w:t xml:space="preserve">🔐 SOC HOME LAB</w:t>
      </w:r>
    </w:p>
    <w:p>
      <w:pPr>
        <w:spacing w:after="80" w:before="0"/>
        <w:jc w:val="center"/>
      </w:pPr>
      <w:r>
        <w:rPr>
          <w:rFonts w:ascii="Arial" w:cs="Arial" w:eastAsia="Arial" w:hAnsi="Arial"/>
          <w:color w:val="2E75B6"/>
          <w:sz w:val="32"/>
          <w:szCs w:val="32"/>
        </w:rPr>
        <w:t xml:space="preserve">Lab 1: Brute Force Attack Detection Using Splunk SIEM</w:t>
      </w:r>
    </w:p>
    <w:p>
      <w:pPr>
        <w:spacing w:after="60" w:before="60"/>
        <w:jc w:val="center"/>
      </w:pPr>
      <w:r>
        <w:rPr>
          <w:rFonts w:ascii="Arial" w:cs="Arial" w:eastAsia="Arial" w:hAnsi="Arial"/>
          <w:color w:val="555555"/>
          <w:sz w:val="20"/>
          <w:szCs w:val="20"/>
        </w:rPr>
        <w:t xml:space="preserve">Author: Eria Mutasa  |  Date: 07 April 2026  |  Classification: Portfolio</w:t>
      </w:r>
    </w:p>
    <w:p>
      <w:pPr>
        <w:spacing w:after="120" w:before="12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1. Executive Summary</w:t>
      </w:r>
    </w:p>
    <w:p>
      <w:pPr>
        <w:spacing w:after="80" w:before="80"/>
      </w:pPr>
      <w:r>
        <w:rPr>
          <w:rFonts w:ascii="Arial" w:cs="Arial" w:eastAsia="Arial" w:hAnsi="Arial"/>
          <w:sz w:val="22"/>
          <w:szCs w:val="22"/>
        </w:rPr>
        <w:t xml:space="preserve">This document details the design, implementation, and outcomes of a Security Operations Center (SOC) home lab exercise. The objective was to simulate a brute-force authentication attack against a Windows 11 host and detect the attack using Splunk Enterprise as the SIEM (Security Information and Event Management) platform.</w:t>
      </w:r>
    </w:p>
    <w:p>
      <w:pPr>
        <w:spacing w:after="120" w:before="120"/>
      </w:pPr>
      <w:r>
        <w:t xml:space="preserve"/>
      </w:r>
    </w:p>
    <w:p>
      <w:pPr>
        <w:spacing w:after="80" w:before="80"/>
      </w:pPr>
      <w:r>
        <w:rPr>
          <w:rFonts w:ascii="Arial" w:cs="Arial" w:eastAsia="Arial" w:hAnsi="Arial"/>
          <w:sz w:val="22"/>
          <w:szCs w:val="22"/>
        </w:rPr>
        <w:t xml:space="preserve">The lab demonstrates core SOC analyst competencies including log ingestion pipeline configuration, Windows event log monitoring, threat detection via SPL (Splunk Processing Language) queries, and structured incident documentation.</w:t>
      </w:r>
    </w:p>
    <w:p>
      <w:pPr>
        <w:spacing w:after="120" w:before="12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2. Lab Environment</w:t>
      </w:r>
    </w:p>
    <w:p>
      <w:pPr>
        <w:pStyle w:val="Heading2"/>
        <w:spacing w:after="80" w:before="240"/>
      </w:pPr>
      <w:r>
        <w:rPr>
          <w:rFonts w:ascii="Arial" w:cs="Arial" w:eastAsia="Arial" w:hAnsi="Arial"/>
          <w:b/>
          <w:bCs/>
          <w:color w:val="2E75B6"/>
          <w:sz w:val="26"/>
          <w:szCs w:val="26"/>
        </w:rPr>
        <w:t xml:space="preserve">2.1 Architecture Overview</w:t>
      </w:r>
    </w:p>
    <w:p>
      <w:pPr>
        <w:spacing w:after="80" w:before="80"/>
      </w:pPr>
      <w:r>
        <w:rPr>
          <w:rFonts w:ascii="Arial" w:cs="Arial" w:eastAsia="Arial" w:hAnsi="Arial"/>
          <w:sz w:val="22"/>
          <w:szCs w:val="22"/>
        </w:rPr>
        <w:t xml:space="preserve">The following infrastructure was used for this exercise: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Windows 11 Host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Target / SIEM Host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IP: 10.0.0.110 | OS Build: 26200.8117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Splunk Enterprise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SIEM Platform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Running on localhost:8000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Splunk Universal Forwarder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Log Collection Agent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Installed on Windows host, port 9997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Kali Linux VM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Attack Simulation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Hosted on same physical machine via VM</w:t>
            </w:r>
          </w:p>
        </w:tc>
      </w:tr>
    </w:tbl>
    <w:p>
      <w:pPr>
        <w:spacing w:after="120" w:before="120"/>
      </w:pPr>
      <w:r>
        <w:t xml:space="preserve"/>
      </w:r>
    </w:p>
    <w:p>
      <w:pPr>
        <w:pStyle w:val="Heading2"/>
        <w:spacing w:after="80" w:before="240"/>
      </w:pPr>
      <w:r>
        <w:rPr>
          <w:rFonts w:ascii="Arial" w:cs="Arial" w:eastAsia="Arial" w:hAnsi="Arial"/>
          <w:b/>
          <w:bCs/>
          <w:color w:val="2E75B6"/>
          <w:sz w:val="26"/>
          <w:szCs w:val="26"/>
        </w:rPr>
        <w:t xml:space="preserve">2.2 Log Pipeline Architecture</w:t>
      </w:r>
    </w:p>
    <w:p>
      <w:pPr>
        <w:spacing w:after="80" w:before="80"/>
      </w:pPr>
      <w:r>
        <w:rPr>
          <w:rFonts w:ascii="Arial" w:cs="Arial" w:eastAsia="Arial" w:hAnsi="Arial"/>
          <w:sz w:val="22"/>
          <w:szCs w:val="22"/>
        </w:rPr>
        <w:t xml:space="preserve">The data flow for this lab was configured as follows:</w:t>
      </w:r>
    </w:p>
    <w:p>
      <w:pPr>
        <w:spacing w:after="120" w:before="120"/>
      </w:pPr>
      <w:r>
        <w:t xml:space="preserve"/>
      </w:r>
    </w:p>
    <w:p>
      <w:pPr>
        <w:shd w:fill="1F1F1F" w:val="clear"/>
        <w:spacing w:after="80" w:before="80"/>
        <w:ind w:left="360" w:right="360"/>
      </w:pPr>
      <w:r>
        <w:rPr>
          <w:rFonts w:ascii="Courier New" w:cs="Courier New" w:eastAsia="Courier New" w:hAnsi="Courier New"/>
          <w:color w:val="00FF41"/>
          <w:sz w:val="20"/>
          <w:szCs w:val="20"/>
        </w:rPr>
        <w:t xml:space="preserve">  [Windows Event Logs]  →→→  [Splunk Universal Forwarder]  →→→  [Splunk SIEM (port 9997)]  →→→  [Detection Queries]</w:t>
      </w:r>
    </w:p>
    <w:p>
      <w:pPr>
        <w:spacing w:after="120" w:before="120"/>
      </w:pPr>
      <w:r>
        <w:t xml:space="preserve"/>
      </w:r>
    </w:p>
    <w:p>
      <w:pPr>
        <w:spacing w:after="80" w:before="80"/>
      </w:pPr>
      <w:r>
        <w:rPr>
          <w:rFonts w:ascii="Arial" w:cs="Arial" w:eastAsia="Arial" w:hAnsi="Arial"/>
          <w:sz w:val="22"/>
          <w:szCs w:val="22"/>
        </w:rPr>
        <w:t xml:space="preserve">Three Windows event log channels were configured for ingestion:</w:t>
      </w:r>
    </w:p>
    <w:p>
      <w:pPr>
        <w:pStyle w:val="ListParagraph"/>
        <w:numPr>
          <w:ilvl w:val="0"/>
          <w:numId w:val="2"/>
        </w:numPr>
        <w:spacing w:after="60" w:before="60"/>
      </w:pPr>
      <w:r>
        <w:rPr>
          <w:rFonts w:ascii="Arial" w:cs="Arial" w:eastAsia="Arial" w:hAnsi="Arial"/>
          <w:sz w:val="22"/>
          <w:szCs w:val="22"/>
        </w:rPr>
        <w:t xml:space="preserve">Security Log — captures authentication events (login success/failure)</w:t>
      </w:r>
    </w:p>
    <w:p>
      <w:pPr>
        <w:pStyle w:val="ListParagraph"/>
        <w:numPr>
          <w:ilvl w:val="0"/>
          <w:numId w:val="2"/>
        </w:numPr>
        <w:spacing w:after="60" w:before="60"/>
      </w:pPr>
      <w:r>
        <w:rPr>
          <w:rFonts w:ascii="Arial" w:cs="Arial" w:eastAsia="Arial" w:hAnsi="Arial"/>
          <w:sz w:val="22"/>
          <w:szCs w:val="22"/>
        </w:rPr>
        <w:t xml:space="preserve">System Log — captures OS-level events</w:t>
      </w:r>
    </w:p>
    <w:p>
      <w:pPr>
        <w:pStyle w:val="ListParagraph"/>
        <w:numPr>
          <w:ilvl w:val="0"/>
          <w:numId w:val="2"/>
        </w:numPr>
        <w:spacing w:after="60" w:before="60"/>
      </w:pPr>
      <w:r>
        <w:rPr>
          <w:rFonts w:ascii="Arial" w:cs="Arial" w:eastAsia="Arial" w:hAnsi="Arial"/>
          <w:sz w:val="22"/>
          <w:szCs w:val="22"/>
        </w:rPr>
        <w:t xml:space="preserve">Application Log — captures application activity</w:t>
      </w:r>
    </w:p>
    <w:p>
      <w:pPr>
        <w:spacing w:after="120" w:before="12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3. Configuration Steps</w:t>
      </w:r>
    </w:p>
    <w:p>
      <w:pPr>
        <w:pStyle w:val="Heading2"/>
        <w:spacing w:after="80" w:before="240"/>
      </w:pPr>
      <w:r>
        <w:rPr>
          <w:rFonts w:ascii="Arial" w:cs="Arial" w:eastAsia="Arial" w:hAnsi="Arial"/>
          <w:b/>
          <w:bCs/>
          <w:color w:val="2E75B6"/>
          <w:sz w:val="26"/>
          <w:szCs w:val="26"/>
        </w:rPr>
        <w:t xml:space="preserve">3.1 Splunk Universal Forwarder Installation</w:t>
      </w:r>
    </w:p>
    <w:p>
      <w:pPr>
        <w:spacing w:after="80" w:before="80"/>
      </w:pPr>
      <w:r>
        <w:rPr>
          <w:rFonts w:ascii="Arial" w:cs="Arial" w:eastAsia="Arial" w:hAnsi="Arial"/>
          <w:sz w:val="22"/>
          <w:szCs w:val="22"/>
        </w:rPr>
        <w:t xml:space="preserve">Splunk Universal Forwarder v10.2.2 (64-bit) was downloaded and installed on the Windows 11 host. During installation, the receiving indexer was configured to point to 127.0.0.1 on port 9997, directing log data to the locally running Splunk Enterprise instance.</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3.2 inputs.conf Configuration</w:t>
      </w:r>
    </w:p>
    <w:p>
      <w:pPr>
        <w:spacing w:after="80" w:before="80"/>
      </w:pPr>
      <w:r>
        <w:rPr>
          <w:rFonts w:ascii="Arial" w:cs="Arial" w:eastAsia="Arial" w:hAnsi="Arial"/>
          <w:sz w:val="22"/>
          <w:szCs w:val="22"/>
        </w:rPr>
        <w:t xml:space="preserve">The following inputs.conf file was deployed to configure log collection:</w:t>
      </w:r>
    </w:p>
    <w:p>
      <w:pPr>
        <w:spacing w:after="120" w:before="120"/>
      </w:pPr>
      <w:r>
        <w:t xml:space="preserve"/>
      </w:r>
    </w:p>
    <w:p>
      <w:pPr>
        <w:shd w:fill="1F1F1F" w:val="clear"/>
        <w:spacing w:after="80" w:before="80"/>
        <w:ind w:left="360" w:right="360"/>
      </w:pPr>
      <w:r>
        <w:rPr>
          <w:rFonts w:ascii="Courier New" w:cs="Courier New" w:eastAsia="Courier New" w:hAnsi="Courier New"/>
          <w:color w:val="00FF41"/>
          <w:sz w:val="20"/>
          <w:szCs w:val="20"/>
        </w:rPr>
        <w:t xml:space="preserve">  [WinEventLog://Security]</w:t>
      </w:r>
    </w:p>
    <w:p>
      <w:pPr>
        <w:shd w:fill="1F1F1F" w:val="clear"/>
        <w:spacing w:after="80" w:before="80"/>
        <w:ind w:left="360" w:right="360"/>
      </w:pPr>
      <w:r>
        <w:rPr>
          <w:rFonts w:ascii="Courier New" w:cs="Courier New" w:eastAsia="Courier New" w:hAnsi="Courier New"/>
          <w:color w:val="00FF41"/>
          <w:sz w:val="20"/>
          <w:szCs w:val="20"/>
        </w:rPr>
        <w:t xml:space="preserve">  disabled = 0</w:t>
      </w:r>
    </w:p>
    <w:p>
      <w:pPr>
        <w:shd w:fill="1F1F1F" w:val="clear"/>
        <w:spacing w:after="80" w:before="80"/>
        <w:ind w:left="360" w:right="360"/>
      </w:pPr>
      <w:r>
        <w:rPr>
          <w:rFonts w:ascii="Courier New" w:cs="Courier New" w:eastAsia="Courier New" w:hAnsi="Courier New"/>
          <w:color w:val="00FF41"/>
          <w:sz w:val="20"/>
          <w:szCs w:val="20"/>
        </w:rPr>
        <w:t xml:space="preserve">  index = main</w:t>
      </w:r>
    </w:p>
    <w:p>
      <w:pPr>
        <w:shd w:fill="1F1F1F" w:val="clear"/>
        <w:spacing w:after="80" w:before="80"/>
        <w:ind w:left="360" w:right="360"/>
      </w:pPr>
      <w:r>
        <w:rPr>
          <w:rFonts w:ascii="Courier New" w:cs="Courier New" w:eastAsia="Courier New" w:hAnsi="Courier New"/>
          <w:color w:val="00FF41"/>
          <w:sz w:val="20"/>
          <w:szCs w:val="20"/>
        </w:rPr>
        <w:t xml:space="preserve">  </w:t>
      </w:r>
    </w:p>
    <w:p>
      <w:pPr>
        <w:shd w:fill="1F1F1F" w:val="clear"/>
        <w:spacing w:after="80" w:before="80"/>
        <w:ind w:left="360" w:right="360"/>
      </w:pPr>
      <w:r>
        <w:rPr>
          <w:rFonts w:ascii="Courier New" w:cs="Courier New" w:eastAsia="Courier New" w:hAnsi="Courier New"/>
          <w:color w:val="00FF41"/>
          <w:sz w:val="20"/>
          <w:szCs w:val="20"/>
        </w:rPr>
        <w:t xml:space="preserve">  [WinEventLog://System]</w:t>
      </w:r>
    </w:p>
    <w:p>
      <w:pPr>
        <w:shd w:fill="1F1F1F" w:val="clear"/>
        <w:spacing w:after="80" w:before="80"/>
        <w:ind w:left="360" w:right="360"/>
      </w:pPr>
      <w:r>
        <w:rPr>
          <w:rFonts w:ascii="Courier New" w:cs="Courier New" w:eastAsia="Courier New" w:hAnsi="Courier New"/>
          <w:color w:val="00FF41"/>
          <w:sz w:val="20"/>
          <w:szCs w:val="20"/>
        </w:rPr>
        <w:t xml:space="preserve">  disabled = 0</w:t>
      </w:r>
    </w:p>
    <w:p>
      <w:pPr>
        <w:shd w:fill="1F1F1F" w:val="clear"/>
        <w:spacing w:after="80" w:before="80"/>
        <w:ind w:left="360" w:right="360"/>
      </w:pPr>
      <w:r>
        <w:rPr>
          <w:rFonts w:ascii="Courier New" w:cs="Courier New" w:eastAsia="Courier New" w:hAnsi="Courier New"/>
          <w:color w:val="00FF41"/>
          <w:sz w:val="20"/>
          <w:szCs w:val="20"/>
        </w:rPr>
        <w:t xml:space="preserve">  index = main</w:t>
      </w:r>
    </w:p>
    <w:p>
      <w:pPr>
        <w:shd w:fill="1F1F1F" w:val="clear"/>
        <w:spacing w:after="80" w:before="80"/>
        <w:ind w:left="360" w:right="360"/>
      </w:pPr>
      <w:r>
        <w:rPr>
          <w:rFonts w:ascii="Courier New" w:cs="Courier New" w:eastAsia="Courier New" w:hAnsi="Courier New"/>
          <w:color w:val="00FF41"/>
          <w:sz w:val="20"/>
          <w:szCs w:val="20"/>
        </w:rPr>
        <w:t xml:space="preserve">  </w:t>
      </w:r>
    </w:p>
    <w:p>
      <w:pPr>
        <w:shd w:fill="1F1F1F" w:val="clear"/>
        <w:spacing w:after="80" w:before="80"/>
        <w:ind w:left="360" w:right="360"/>
      </w:pPr>
      <w:r>
        <w:rPr>
          <w:rFonts w:ascii="Courier New" w:cs="Courier New" w:eastAsia="Courier New" w:hAnsi="Courier New"/>
          <w:color w:val="00FF41"/>
          <w:sz w:val="20"/>
          <w:szCs w:val="20"/>
        </w:rPr>
        <w:t xml:space="preserve">  [WinEventLog://Application]</w:t>
      </w:r>
    </w:p>
    <w:p>
      <w:pPr>
        <w:shd w:fill="1F1F1F" w:val="clear"/>
        <w:spacing w:after="80" w:before="80"/>
        <w:ind w:left="360" w:right="360"/>
      </w:pPr>
      <w:r>
        <w:rPr>
          <w:rFonts w:ascii="Courier New" w:cs="Courier New" w:eastAsia="Courier New" w:hAnsi="Courier New"/>
          <w:color w:val="00FF41"/>
          <w:sz w:val="20"/>
          <w:szCs w:val="20"/>
        </w:rPr>
        <w:t xml:space="preserve">  disabled = 0</w:t>
      </w:r>
    </w:p>
    <w:p>
      <w:pPr>
        <w:shd w:fill="1F1F1F" w:val="clear"/>
        <w:spacing w:after="80" w:before="80"/>
        <w:ind w:left="360" w:right="360"/>
      </w:pPr>
      <w:r>
        <w:rPr>
          <w:rFonts w:ascii="Courier New" w:cs="Courier New" w:eastAsia="Courier New" w:hAnsi="Courier New"/>
          <w:color w:val="00FF41"/>
          <w:sz w:val="20"/>
          <w:szCs w:val="20"/>
        </w:rPr>
        <w:t xml:space="preserve">  index = main</w:t>
      </w:r>
    </w:p>
    <w:p>
      <w:pPr>
        <w:spacing w:after="120" w:before="120"/>
      </w:pPr>
      <w:r>
        <w:t xml:space="preserve"/>
      </w:r>
    </w:p>
    <w:p>
      <w:pPr>
        <w:spacing w:after="80" w:before="80"/>
      </w:pPr>
      <w:r>
        <w:rPr>
          <w:rFonts w:ascii="Arial" w:cs="Arial" w:eastAsia="Arial" w:hAnsi="Arial"/>
          <w:sz w:val="22"/>
          <w:szCs w:val="22"/>
        </w:rPr>
        <w:t xml:space="preserve">File path: C:\Program Files\SplunkUniversalForwarder\etc\system\local\inputs.conf</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3.3 Splunk Receiving Port</w:t>
      </w:r>
    </w:p>
    <w:p>
      <w:pPr>
        <w:spacing w:after="80" w:before="80"/>
      </w:pPr>
      <w:r>
        <w:rPr>
          <w:rFonts w:ascii="Arial" w:cs="Arial" w:eastAsia="Arial" w:hAnsi="Arial"/>
          <w:sz w:val="22"/>
          <w:szCs w:val="22"/>
        </w:rPr>
        <w:t xml:space="preserve">A receiving port was configured in Splunk Enterprise via Settings → Forwarding and Receiving → Configure Receiving, with port 9997 enabled to accept incoming forwarder data.</w:t>
      </w:r>
    </w:p>
    <w:p>
      <w:pPr>
        <w:spacing w:after="120" w:before="12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4. Log Ingestion Validation</w:t>
      </w:r>
    </w:p>
    <w:p>
      <w:pPr>
        <w:spacing w:after="80" w:before="80"/>
      </w:pPr>
      <w:r>
        <w:rPr>
          <w:rFonts w:ascii="Arial" w:cs="Arial" w:eastAsia="Arial" w:hAnsi="Arial"/>
          <w:sz w:val="22"/>
          <w:szCs w:val="22"/>
        </w:rPr>
        <w:t xml:space="preserve">After restarting the SplunkForwarder service, log ingestion was confirmed using the following SPL query:</w:t>
      </w:r>
    </w:p>
    <w:p>
      <w:pPr>
        <w:spacing w:after="120" w:before="120"/>
      </w:pPr>
      <w:r>
        <w:t xml:space="preserve"/>
      </w:r>
    </w:p>
    <w:p>
      <w:pPr>
        <w:shd w:fill="1F1F1F" w:val="clear"/>
        <w:spacing w:after="80" w:before="80"/>
        <w:ind w:left="360" w:right="360"/>
      </w:pPr>
      <w:r>
        <w:rPr>
          <w:rFonts w:ascii="Courier New" w:cs="Courier New" w:eastAsia="Courier New" w:hAnsi="Courier New"/>
          <w:color w:val="00FF41"/>
          <w:sz w:val="20"/>
          <w:szCs w:val="20"/>
        </w:rPr>
        <w:t xml:space="preserve">  index=main | head 20</w:t>
      </w:r>
    </w:p>
    <w:p>
      <w:pPr>
        <w:spacing w:after="120" w:before="120"/>
      </w:pPr>
      <w:r>
        <w:t xml:space="preserve"/>
      </w:r>
    </w:p>
    <w:p>
      <w:pPr>
        <w:spacing w:after="80" w:before="80"/>
      </w:pPr>
      <w:r>
        <w:rPr>
          <w:rFonts w:ascii="Arial" w:cs="Arial" w:eastAsia="Arial" w:hAnsi="Arial"/>
          <w:sz w:val="22"/>
          <w:szCs w:val="22"/>
        </w:rPr>
        <w:t xml:space="preserve">Result: 592 events were returned within a 15-minute window, confirming that the log pipeline was fully operational. Events included Security EventCodes sourced from the EriaMutasa host, validating end-to-end data flow.</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Total events ingested (15 min)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592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 sources active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 (Security, System, Application)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Host identified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EriaMutasa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Source type confirmed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WinEventLog:Security</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Pipeline status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 Fully Operational</w:t>
            </w:r>
          </w:p>
        </w:tc>
      </w:tr>
    </w:tbl>
    <w:p>
      <w:pPr>
        <w:spacing w:after="120" w:before="12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5. Attack Simulation — Phase 2 (In Progress)</w:t>
      </w:r>
    </w:p>
    <w:p>
      <w:pPr>
        <w:spacing w:after="80" w:before="80"/>
      </w:pPr>
      <w:r>
        <w:rPr>
          <w:rFonts w:ascii="Arial" w:cs="Arial" w:eastAsia="Arial" w:hAnsi="Arial"/>
          <w:sz w:val="22"/>
          <w:szCs w:val="22"/>
        </w:rPr>
        <w:t xml:space="preserve">The next phase of this lab involves simulating a brute-force authentication attack from the Kali Linux VM targeting the Windows host via RDP (Remote Desktop Protocol). This will generate a volume of Windows Security Event 4625 (Failed Logon) entries that will be detected and analysed in Splunk.</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5.1 Key Event Codes Being Monitored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Event Code</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Relevance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4625</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An account failed to log on</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PRIMARY — brute force indicator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4624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 account successfully logged 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Post-attack success detection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4648</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Logon attempted with explicit credentials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Lateral movement indicator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4719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System audit policy changed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Attacker covering tracks</w:t>
            </w:r>
          </w:p>
        </w:tc>
      </w:tr>
    </w:tbl>
    <w:p>
      <w:pPr>
        <w:spacing w:after="120" w:before="120"/>
      </w:pPr>
      <w:r>
        <w:t xml:space="preserve"/>
      </w:r>
    </w:p>
    <w:p>
      <w:pPr>
        <w:pStyle w:val="Heading2"/>
        <w:spacing w:after="80" w:before="240"/>
      </w:pPr>
      <w:r>
        <w:rPr>
          <w:rFonts w:ascii="Arial" w:cs="Arial" w:eastAsia="Arial" w:hAnsi="Arial"/>
          <w:b/>
          <w:bCs/>
          <w:color w:val="2E75B6"/>
          <w:sz w:val="26"/>
          <w:szCs w:val="26"/>
        </w:rPr>
        <w:t xml:space="preserve">5.2 Detection Query (Prepared)</w:t>
      </w:r>
    </w:p>
    <w:p>
      <w:pPr>
        <w:spacing w:after="80" w:before="80"/>
      </w:pPr>
      <w:r>
        <w:rPr>
          <w:rFonts w:ascii="Arial" w:cs="Arial" w:eastAsia="Arial" w:hAnsi="Arial"/>
          <w:sz w:val="22"/>
          <w:szCs w:val="22"/>
        </w:rPr>
        <w:t xml:space="preserve">The following SPL queries have been prepared to detect the attack once it is executed:</w:t>
      </w:r>
    </w:p>
    <w:p>
      <w:pPr>
        <w:spacing w:after="120" w:before="120"/>
      </w:pPr>
      <w:r>
        <w:t xml:space="preserve"/>
      </w:r>
    </w:p>
    <w:p>
      <w:pPr>
        <w:shd w:fill="1F1F1F" w:val="clear"/>
        <w:spacing w:after="80" w:before="80"/>
        <w:ind w:left="360" w:right="360"/>
      </w:pPr>
      <w:r>
        <w:rPr>
          <w:rFonts w:ascii="Courier New" w:cs="Courier New" w:eastAsia="Courier New" w:hAnsi="Courier New"/>
          <w:color w:val="00FF41"/>
          <w:sz w:val="20"/>
          <w:szCs w:val="20"/>
        </w:rPr>
        <w:t xml:space="preserve">  -- Detect failed logins:</w:t>
      </w:r>
    </w:p>
    <w:p>
      <w:pPr>
        <w:shd w:fill="1F1F1F" w:val="clear"/>
        <w:spacing w:after="80" w:before="80"/>
        <w:ind w:left="360" w:right="360"/>
      </w:pPr>
      <w:r>
        <w:rPr>
          <w:rFonts w:ascii="Courier New" w:cs="Courier New" w:eastAsia="Courier New" w:hAnsi="Courier New"/>
          <w:color w:val="00FF41"/>
          <w:sz w:val="20"/>
          <w:szCs w:val="20"/>
        </w:rPr>
        <w:t xml:space="preserve">  index=main EventCode=4625</w:t>
      </w:r>
    </w:p>
    <w:p>
      <w:pPr>
        <w:spacing w:after="120" w:before="120"/>
      </w:pPr>
      <w:r>
        <w:t xml:space="preserve"/>
      </w:r>
    </w:p>
    <w:p>
      <w:pPr>
        <w:shd w:fill="1F1F1F" w:val="clear"/>
        <w:spacing w:after="80" w:before="80"/>
        <w:ind w:left="360" w:right="360"/>
      </w:pPr>
      <w:r>
        <w:rPr>
          <w:rFonts w:ascii="Courier New" w:cs="Courier New" w:eastAsia="Courier New" w:hAnsi="Courier New"/>
          <w:color w:val="00FF41"/>
          <w:sz w:val="20"/>
          <w:szCs w:val="20"/>
        </w:rPr>
        <w:t xml:space="preserve">  -- Detect brute force pattern (multiple failures per IP):</w:t>
      </w:r>
    </w:p>
    <w:p>
      <w:pPr>
        <w:shd w:fill="1F1F1F" w:val="clear"/>
        <w:spacing w:after="80" w:before="80"/>
        <w:ind w:left="360" w:right="360"/>
      </w:pPr>
      <w:r>
        <w:rPr>
          <w:rFonts w:ascii="Courier New" w:cs="Courier New" w:eastAsia="Courier New" w:hAnsi="Courier New"/>
          <w:color w:val="00FF41"/>
          <w:sz w:val="20"/>
          <w:szCs w:val="20"/>
        </w:rPr>
        <w:t xml:space="preserve">  index=main EventCode=4625 | stats count by src_ip | sort -count</w:t>
      </w:r>
    </w:p>
    <w:p>
      <w:pPr>
        <w:spacing w:after="120" w:before="120"/>
      </w:pPr>
      <w:r>
        <w:t xml:space="preserve"/>
      </w:r>
    </w:p>
    <w:p>
      <w:pPr>
        <w:shd w:fill="1F1F1F" w:val="clear"/>
        <w:spacing w:after="80" w:before="80"/>
        <w:ind w:left="360" w:right="360"/>
      </w:pPr>
      <w:r>
        <w:rPr>
          <w:rFonts w:ascii="Courier New" w:cs="Courier New" w:eastAsia="Courier New" w:hAnsi="Courier New"/>
          <w:color w:val="00FF41"/>
          <w:sz w:val="20"/>
          <w:szCs w:val="20"/>
        </w:rPr>
        <w:t xml:space="preserve">  -- Time-based spike detection:</w:t>
      </w:r>
    </w:p>
    <w:p>
      <w:pPr>
        <w:shd w:fill="1F1F1F" w:val="clear"/>
        <w:spacing w:after="80" w:before="80"/>
        <w:ind w:left="360" w:right="360"/>
      </w:pPr>
      <w:r>
        <w:rPr>
          <w:rFonts w:ascii="Courier New" w:cs="Courier New" w:eastAsia="Courier New" w:hAnsi="Courier New"/>
          <w:color w:val="00FF41"/>
          <w:sz w:val="20"/>
          <w:szCs w:val="20"/>
        </w:rPr>
        <w:t xml:space="preserve">  index=main EventCode=4625 | bucket _time span=1m | stats count by _time, src_ip</w:t>
      </w:r>
    </w:p>
    <w:p>
      <w:pPr>
        <w:spacing w:after="120" w:before="12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6. Skills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Skill</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Tool / Technology</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Proficiency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SIEM Configuration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Splunk Enterprise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Configured from scratch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 Ingestion Pipeline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Splunk Universal Forwarder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Deployed and validated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Windows Event Log Monitoring</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Windows Security/System/App logs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 channels 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SPL Query Writing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Splunk Search Processing Language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Detection queries written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Incident Documentation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Structured analyst report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This document</w:t>
            </w:r>
          </w:p>
        </w:tc>
      </w:tr>
    </w:tbl>
    <w:p>
      <w:pPr>
        <w:spacing w:after="120" w:before="12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7. Key Learnings</w:t>
      </w:r>
    </w:p>
    <w:p>
      <w:pPr>
        <w:pStyle w:val="ListParagraph"/>
        <w:numPr>
          <w:ilvl w:val="0"/>
          <w:numId w:val="2"/>
        </w:numPr>
        <w:spacing w:after="60" w:before="60"/>
      </w:pPr>
      <w:r>
        <w:rPr>
          <w:rFonts w:ascii="Arial" w:cs="Arial" w:eastAsia="Arial" w:hAnsi="Arial"/>
          <w:sz w:val="22"/>
          <w:szCs w:val="22"/>
        </w:rPr>
        <w:t xml:space="preserve">Configured a complete SIEM log ingestion pipeline from scratch using Splunk Enterprise and Universal Forwarder</w:t>
      </w:r>
    </w:p>
    <w:p>
      <w:pPr>
        <w:pStyle w:val="ListParagraph"/>
        <w:numPr>
          <w:ilvl w:val="0"/>
          <w:numId w:val="2"/>
        </w:numPr>
        <w:spacing w:after="60" w:before="60"/>
      </w:pPr>
      <w:r>
        <w:rPr>
          <w:rFonts w:ascii="Arial" w:cs="Arial" w:eastAsia="Arial" w:hAnsi="Arial"/>
          <w:sz w:val="22"/>
          <w:szCs w:val="22"/>
        </w:rPr>
        <w:t xml:space="preserve">Understood the importance of running configuration tools with Administrator privileges in Windows environments</w:t>
      </w:r>
    </w:p>
    <w:p>
      <w:pPr>
        <w:pStyle w:val="ListParagraph"/>
        <w:numPr>
          <w:ilvl w:val="0"/>
          <w:numId w:val="2"/>
        </w:numPr>
        <w:spacing w:after="60" w:before="60"/>
      </w:pPr>
      <w:r>
        <w:rPr>
          <w:rFonts w:ascii="Arial" w:cs="Arial" w:eastAsia="Arial" w:hAnsi="Arial"/>
          <w:sz w:val="22"/>
          <w:szCs w:val="22"/>
        </w:rPr>
        <w:t xml:space="preserve">Learned that inputs.conf is the primary configuration file controlling which Windows event channels are forwarded to Splunk</w:t>
      </w:r>
    </w:p>
    <w:p>
      <w:pPr>
        <w:pStyle w:val="ListParagraph"/>
        <w:numPr>
          <w:ilvl w:val="0"/>
          <w:numId w:val="2"/>
        </w:numPr>
        <w:spacing w:after="60" w:before="60"/>
      </w:pPr>
      <w:r>
        <w:rPr>
          <w:rFonts w:ascii="Arial" w:cs="Arial" w:eastAsia="Arial" w:hAnsi="Arial"/>
          <w:sz w:val="22"/>
          <w:szCs w:val="22"/>
        </w:rPr>
        <w:t xml:space="preserve">Validated that 592+ live Windows events were successfully ingested, confirming the pipeline is production-ready</w:t>
      </w:r>
    </w:p>
    <w:p>
      <w:pPr>
        <w:pStyle w:val="ListParagraph"/>
        <w:numPr>
          <w:ilvl w:val="0"/>
          <w:numId w:val="2"/>
        </w:numPr>
        <w:spacing w:after="60" w:before="60"/>
      </w:pPr>
      <w:r>
        <w:rPr>
          <w:rFonts w:ascii="Arial" w:cs="Arial" w:eastAsia="Arial" w:hAnsi="Arial"/>
          <w:sz w:val="22"/>
          <w:szCs w:val="22"/>
        </w:rPr>
        <w:t xml:space="preserve">Prepared SPL detection queries targeting EventCode 4625 to identify brute-force authentication attacks</w:t>
      </w:r>
    </w:p>
    <w:p>
      <w:pPr>
        <w:spacing w:after="120" w:before="12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8. Next Steps</w:t>
      </w:r>
    </w:p>
    <w:p>
      <w:pPr>
        <w:spacing w:after="80" w:before="80"/>
      </w:pPr>
      <w:r>
        <w:rPr>
          <w:rFonts w:ascii="Arial" w:cs="Arial" w:eastAsia="Arial" w:hAnsi="Arial"/>
          <w:sz w:val="22"/>
          <w:szCs w:val="22"/>
        </w:rPr>
        <w:t xml:space="preserve">The following actions are planned to complete Lab 1:</w:t>
      </w:r>
    </w:p>
    <w:p>
      <w:pPr>
        <w:pStyle w:val="ListParagraph"/>
        <w:numPr>
          <w:ilvl w:val="0"/>
          <w:numId w:val="2"/>
        </w:numPr>
        <w:spacing w:after="60" w:before="60"/>
      </w:pPr>
      <w:r>
        <w:rPr>
          <w:rFonts w:ascii="Arial" w:cs="Arial" w:eastAsia="Arial" w:hAnsi="Arial"/>
          <w:sz w:val="22"/>
          <w:szCs w:val="22"/>
        </w:rPr>
        <w:t xml:space="preserve">Enable RDP on the Windows 11 host to provide an attack surface for simulation</w:t>
      </w:r>
    </w:p>
    <w:p>
      <w:pPr>
        <w:pStyle w:val="ListParagraph"/>
        <w:numPr>
          <w:ilvl w:val="0"/>
          <w:numId w:val="2"/>
        </w:numPr>
        <w:spacing w:after="60" w:before="60"/>
      </w:pPr>
      <w:r>
        <w:rPr>
          <w:rFonts w:ascii="Arial" w:cs="Arial" w:eastAsia="Arial" w:hAnsi="Arial"/>
          <w:sz w:val="22"/>
          <w:szCs w:val="22"/>
        </w:rPr>
        <w:t xml:space="preserve">Execute brute-force attack from Kali Linux using Hydra against the Windows target</w:t>
      </w:r>
    </w:p>
    <w:p>
      <w:pPr>
        <w:pStyle w:val="ListParagraph"/>
        <w:numPr>
          <w:ilvl w:val="0"/>
          <w:numId w:val="2"/>
        </w:numPr>
        <w:spacing w:after="60" w:before="60"/>
      </w:pPr>
      <w:r>
        <w:rPr>
          <w:rFonts w:ascii="Arial" w:cs="Arial" w:eastAsia="Arial" w:hAnsi="Arial"/>
          <w:sz w:val="22"/>
          <w:szCs w:val="22"/>
        </w:rPr>
        <w:t xml:space="preserve">Confirm EventCode 4625 spike in Splunk during attack window</w:t>
      </w:r>
    </w:p>
    <w:p>
      <w:pPr>
        <w:pStyle w:val="ListParagraph"/>
        <w:numPr>
          <w:ilvl w:val="0"/>
          <w:numId w:val="2"/>
        </w:numPr>
        <w:spacing w:after="60" w:before="60"/>
      </w:pPr>
      <w:r>
        <w:rPr>
          <w:rFonts w:ascii="Arial" w:cs="Arial" w:eastAsia="Arial" w:hAnsi="Arial"/>
          <w:sz w:val="22"/>
          <w:szCs w:val="22"/>
        </w:rPr>
        <w:t xml:space="preserve">Build a Splunk dashboard visualising failed logins by source IP and time</w:t>
      </w:r>
    </w:p>
    <w:p>
      <w:pPr>
        <w:pStyle w:val="ListParagraph"/>
        <w:numPr>
          <w:ilvl w:val="0"/>
          <w:numId w:val="2"/>
        </w:numPr>
        <w:spacing w:after="60" w:before="60"/>
      </w:pPr>
      <w:r>
        <w:rPr>
          <w:rFonts w:ascii="Arial" w:cs="Arial" w:eastAsia="Arial" w:hAnsi="Arial"/>
          <w:sz w:val="22"/>
          <w:szCs w:val="22"/>
        </w:rPr>
        <w:t xml:space="preserve">Complete the formal Incident Response report using the Detection → Analysis → Containment → Recommendation structure</w:t>
      </w:r>
    </w:p>
    <w:p>
      <w:pPr>
        <w:pStyle w:val="ListParagraph"/>
        <w:numPr>
          <w:ilvl w:val="0"/>
          <w:numId w:val="2"/>
        </w:numPr>
        <w:spacing w:after="60" w:before="60"/>
      </w:pPr>
      <w:r>
        <w:rPr>
          <w:rFonts w:ascii="Arial" w:cs="Arial" w:eastAsia="Arial" w:hAnsi="Arial"/>
          <w:sz w:val="22"/>
          <w:szCs w:val="22"/>
        </w:rPr>
        <w:t xml:space="preserve">Upload all lab artefacts, screenshots, and reports to GitHub portfolio</w:t>
      </w:r>
    </w:p>
    <w:p>
      <w:pPr>
        <w:spacing w:after="120" w:before="12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9. Tools &amp; Technologies Used</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3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Splunk Enterprise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10.2.1</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SIEM platform for log analysis and detection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Splunk Universal Forwarder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10.2.2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 collection agent on Windows host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Windows 11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Build 26200.8117</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Target machine and log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Kali Linux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Attack simulation platform (Phase 2)</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Hydra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Built-in Kali</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Brute-force tool for RDP attack simulation (Phase 2)</w:t>
            </w:r>
          </w:p>
        </w:tc>
      </w:tr>
    </w:tbl>
    <w:p>
      <w:pPr>
        <w:spacing w:after="120" w:before="12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10. References &amp; Further Reading</w:t>
      </w:r>
    </w:p>
    <w:p>
      <w:pPr>
        <w:pStyle w:val="ListParagraph"/>
        <w:numPr>
          <w:ilvl w:val="0"/>
          <w:numId w:val="2"/>
        </w:numPr>
        <w:spacing w:after="60" w:before="60"/>
      </w:pPr>
      <w:r>
        <w:rPr>
          <w:rFonts w:ascii="Arial" w:cs="Arial" w:eastAsia="Arial" w:hAnsi="Arial"/>
          <w:sz w:val="22"/>
          <w:szCs w:val="22"/>
        </w:rPr>
        <w:t xml:space="preserve">Splunk Documentation: https://docs.splunk.com</w:t>
      </w:r>
    </w:p>
    <w:p>
      <w:pPr>
        <w:pStyle w:val="ListParagraph"/>
        <w:numPr>
          <w:ilvl w:val="0"/>
          <w:numId w:val="2"/>
        </w:numPr>
        <w:spacing w:after="60" w:before="60"/>
      </w:pPr>
      <w:r>
        <w:rPr>
          <w:rFonts w:ascii="Arial" w:cs="Arial" w:eastAsia="Arial" w:hAnsi="Arial"/>
          <w:sz w:val="22"/>
          <w:szCs w:val="22"/>
        </w:rPr>
        <w:t xml:space="preserve">Microsoft Windows Security Event IDs: https://docs.microsoft.com/en-us/windows/security/threat-protection/auditing/</w:t>
      </w:r>
    </w:p>
    <w:p>
      <w:pPr>
        <w:pStyle w:val="ListParagraph"/>
        <w:numPr>
          <w:ilvl w:val="0"/>
          <w:numId w:val="2"/>
        </w:numPr>
        <w:spacing w:after="60" w:before="60"/>
      </w:pPr>
      <w:r>
        <w:rPr>
          <w:rFonts w:ascii="Arial" w:cs="Arial" w:eastAsia="Arial" w:hAnsi="Arial"/>
          <w:sz w:val="22"/>
          <w:szCs w:val="22"/>
        </w:rPr>
        <w:t xml:space="preserve">MITRE ATT&amp;CK T1110 — Brute Force: https://attack.mitre.org/techniques/T1110/</w:t>
      </w:r>
    </w:p>
    <w:p>
      <w:pPr>
        <w:pStyle w:val="ListParagraph"/>
        <w:numPr>
          <w:ilvl w:val="0"/>
          <w:numId w:val="2"/>
        </w:numPr>
        <w:spacing w:after="60" w:before="60"/>
      </w:pPr>
      <w:r>
        <w:rPr>
          <w:rFonts w:ascii="Arial" w:cs="Arial" w:eastAsia="Arial" w:hAnsi="Arial"/>
          <w:sz w:val="22"/>
          <w:szCs w:val="22"/>
        </w:rPr>
        <w:t xml:space="preserve">CIS Controls v8 — Control 8: Audit Log Management</w:t>
      </w:r>
    </w:p>
    <w:p>
      <w:pPr>
        <w:spacing w:after="120" w:before="120"/>
      </w:pPr>
      <w:r>
        <w:t xml:space="preserve"/>
      </w:r>
    </w:p>
    <w:p>
      <w:pPr>
        <w:pBdr>
          <w:top w:val="single" w:color="1F4E79" w:sz="6" w:space="1"/>
        </w:pBdr>
        <w:spacing w:before="480"/>
        <w:jc w:val="center"/>
      </w:pPr>
      <w:r>
        <w:rPr>
          <w:rFonts w:ascii="Arial" w:cs="Arial" w:eastAsia="Arial" w:hAnsi="Arial"/>
          <w:i/>
          <w:iCs/>
          <w:color w:val="888888"/>
          <w:sz w:val="18"/>
          <w:szCs w:val="18"/>
        </w:rPr>
        <w:t xml:space="preserve">Document prepared as part of Junior Cybersecurity Analyst portfolio — Eria Mutasa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jc w:val="center"/>
    </w:pPr>
    <w:r>
      <w:rPr>
        <w:rFonts w:ascii="Arial" w:cs="Arial" w:eastAsia="Arial" w:hAnsi="Arial"/>
        <w:color w:val="888888"/>
        <w:sz w:val="18"/>
        <w:szCs w:val="18"/>
      </w:rPr>
      <w:t xml:space="preserve">Confidential — Portfolio Document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b/>
        <w:bCs/>
        <w:color w:val="1F4E79"/>
        <w:sz w:val="20"/>
        <w:szCs w:val="20"/>
      </w:rPr>
      <w:t xml:space="preserve">SOC HOME LAB — LAB 1: BRUTE FORCE DETECTION  |  Eria Mutasa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2026-04-07T05:16:23.119Z</dcterms:created>
  <dcterms:modified xsi:type="dcterms:W3CDTF">2026-04-07T05:16:23.120Z</dcterms:modified>
</cp:coreProperties>
</file>

<file path=docProps/custom.xml><?xml version="1.0" encoding="utf-8"?>
<Properties xmlns="http://schemas.openxmlformats.org/officeDocument/2006/custom-properties" xmlns:vt="http://schemas.openxmlformats.org/officeDocument/2006/docPropsVTypes"/>
</file>