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0.png" ContentType="image/png"/>
  <Override PartName="/word/media/rId54.png" ContentType="image/png"/>
  <Override PartName="/word/media/rId46.png" ContentType="image/png"/>
  <Override PartName="/word/media/rId48.png" ContentType="image/png"/>
  <Override PartName="/word/media/rId52.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Denmark</w:t>
      </w:r>
    </w:p>
    <w:p>
      <w:pPr>
        <w:pStyle w:val="Author"/>
      </w:pPr>
      <w:r>
        <w:t xml:space="preserve">Erik</w:t>
      </w:r>
      <w:r>
        <w:t xml:space="preserve"> </w:t>
      </w:r>
      <w:r>
        <w:t xml:space="preserve">Bulow,</w:t>
      </w:r>
      <w:r>
        <w:rPr>
          <w:vertAlign w:val="superscript"/>
        </w:rPr>
        <w:t xml:space="preserve">1,2</w:t>
      </w:r>
      <w:r>
        <w:t xml:space="preserve"> </w:t>
      </w:r>
      <w:r>
        <w:t xml:space="preserve">Alma</w:t>
      </w:r>
      <w:r>
        <w:t xml:space="preserve"> </w:t>
      </w:r>
      <w:r>
        <w:t xml:space="preserve">Besic</w:t>
      </w:r>
      <w:r>
        <w:t xml:space="preserve"> </w:t>
      </w:r>
      <w:r>
        <w:t xml:space="preserve">Pedersen,</w:t>
      </w:r>
      <w:r>
        <w:rPr>
          <w:vertAlign w:val="superscript"/>
        </w:rPr>
        <w:t xml:space="preserve">3</w:t>
      </w:r>
      <w:r>
        <w:t xml:space="preserve"> </w:t>
      </w:r>
      <w:r>
        <w:t xml:space="preserve">Ina</w:t>
      </w:r>
      <w:r>
        <w:t xml:space="preserve"> </w:t>
      </w:r>
      <w:r>
        <w:t xml:space="preserve">Trolle</w:t>
      </w:r>
      <w:r>
        <w:t xml:space="preserve"> </w:t>
      </w:r>
      <w:r>
        <w:t xml:space="preserve">Andersen,</w:t>
      </w:r>
      <w:r>
        <w:rPr>
          <w:vertAlign w:val="superscript"/>
        </w:rPr>
        <w:t xml:space="preserve">4</w:t>
      </w:r>
      <w:r>
        <w:t xml:space="preserve"> </w:t>
      </w:r>
      <w:r>
        <w:t xml:space="preserve">Ola</w:t>
      </w:r>
      <w:r>
        <w:t xml:space="preserve"> </w:t>
      </w:r>
      <w:r>
        <w:t xml:space="preserve">Rolfson,</w:t>
      </w:r>
      <w:r>
        <w:rPr>
          <w:vertAlign w:val="superscript"/>
        </w:rPr>
        <w:t xml:space="preserve">1,2</w:t>
      </w:r>
      <w:r>
        <w:t xml:space="preserve"> </w:t>
      </w:r>
      <w:r>
        <w:t xml:space="preserve">Nils</w:t>
      </w:r>
      <w:r>
        <w:t xml:space="preserve"> </w:t>
      </w:r>
      <w:r>
        <w:t xml:space="preserve">P.</w:t>
      </w:r>
      <w:r>
        <w:t xml:space="preserve"> </w:t>
      </w:r>
      <w:r>
        <w:t xml:space="preserve">Hailer</w:t>
      </w:r>
      <w:r>
        <w:rPr>
          <w:vertAlign w:val="superscript"/>
        </w:rPr>
        <w:t xml:space="preserve">5</w:t>
      </w:r>
    </w:p>
    <w:p>
      <w:pPr>
        <w:pStyle w:val="Date"/>
      </w:pPr>
      <w:r>
        <w:t xml:space="preserve">2021-02-03</w:t>
      </w:r>
    </w:p>
    <w:p>
      <w:pPr>
        <w:numPr>
          <w:ilvl w:val="0"/>
          <w:numId w:val="1001"/>
        </w:numPr>
        <w:pStyle w:val="Compact"/>
      </w:pPr>
      <w:r>
        <w:t xml:space="preserve">The Swedish Hip Arthroplasty Register, Gothenburg, Sweden</w:t>
      </w:r>
    </w:p>
    <w:p>
      <w:pPr>
        <w:numPr>
          <w:ilvl w:val="0"/>
          <w:numId w:val="1001"/>
        </w:numPr>
        <w:pStyle w:val="Compact"/>
      </w:pPr>
      <w:r>
        <w:t xml:space="preserve">Department of Orthopaedics, Institute of Clinical Sciences, The Sahlgrenska Academy, University of Gothenburg, Gothenburg, Sweden</w:t>
      </w:r>
    </w:p>
    <w:p>
      <w:pPr>
        <w:numPr>
          <w:ilvl w:val="0"/>
          <w:numId w:val="1001"/>
        </w:numPr>
        <w:pStyle w:val="Compact"/>
      </w:pPr>
      <w:r>
        <w:t xml:space="preserve">Department of Clinical Medicine - Department of Clinical Epidemiology, Aarhus university, Aarhus, Denmark</w:t>
      </w:r>
    </w:p>
    <w:p>
      <w:pPr>
        <w:numPr>
          <w:ilvl w:val="0"/>
          <w:numId w:val="1001"/>
        </w:numPr>
        <w:pStyle w:val="Compact"/>
      </w:pPr>
      <w:r>
        <w:t xml:space="preserve">XXX, Denmark</w:t>
      </w:r>
    </w:p>
    <w:p>
      <w:pPr>
        <w:numPr>
          <w:ilvl w:val="0"/>
          <w:numId w:val="1001"/>
        </w:numPr>
        <w:pStyle w:val="Compact"/>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bookmarkStart w:id="22" w:name="note"/>
    <w:p>
      <w:pPr>
        <w:pStyle w:val="Heading1"/>
      </w:pPr>
      <w:r>
        <w:rPr>
          <w:rStyle w:val="SectionNumber"/>
        </w:rPr>
        <w:t xml:space="preserve">1</w:t>
      </w:r>
      <w:r>
        <w:tab/>
      </w:r>
      <w:r>
        <w:t xml:space="preserve">Note!</w:t>
      </w:r>
    </w:p>
    <w:p>
      <w:pPr>
        <w:pStyle w:val="FirstParagraph"/>
      </w:pPr>
      <w:r>
        <w:t xml:space="preserve">Most text in the article is automatically generated! Bold text is not! It is thus possible that this text does not correspond to the rest! It must be updated manually!</w:t>
      </w:r>
    </w:p>
    <w:bookmarkStart w:id="21" w:name="page-break"/>
    <w:p>
      <w:pPr>
        <w:pStyle w:val="Heading5"/>
      </w:pPr>
      <w:r>
        <w:rPr>
          <w:rStyle w:val="SectionNumber"/>
        </w:rPr>
        <w:t xml:space="preserve">1.0.0.0.1</w:t>
      </w:r>
      <w:r>
        <w:tab/>
      </w:r>
      <w:r>
        <w:t xml:space="preserve">PAGE BREAK</w:t>
      </w:r>
    </w:p>
    <w:bookmarkEnd w:id="21"/>
    <w:bookmarkEnd w:id="22"/>
    <w:bookmarkStart w:id="24" w:name="abstract"/>
    <w:p>
      <w:pPr>
        <w:pStyle w:val="Heading1"/>
      </w:pPr>
      <w:r>
        <w:rPr>
          <w:rStyle w:val="SectionNumber"/>
        </w:rPr>
        <w:t xml:space="preserve">2</w:t>
      </w:r>
      <w:r>
        <w:tab/>
      </w:r>
      <w:r>
        <w:t xml:space="preserve">Abstract</w:t>
      </w:r>
    </w:p>
    <w:p>
      <w:pPr>
        <w:pStyle w:val="FirstParagraph"/>
      </w:pPr>
      <w:r>
        <w:rPr>
          <w:b/>
        </w:rPr>
        <w:t xml:space="preserve">OJECTIVE:</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t xml:space="preserve"> </w:t>
      </w:r>
      <w:r>
        <w:t xml:space="preserve">We analysed 88,830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t xml:space="preserve"> </w:t>
      </w:r>
      <w:r>
        <w:t xml:space="preserve">The crude incidence rate of PJI after THA was 2.45 % within 90 days in the Swedish derivation cohort. A prediction model for PJI within 90 days combined the underlaying diagnosis for THA, body mass index (BMI), American Society for Anesthesiologists (ASA) class, gender, age, and the precense of arrhythmia, CNS disease, fluid electrolyte disorders, liver disease or lung airways disease, resulting in an AUC = 0.68 (95 % CI: 0.66 to 0.69) internally and</w:t>
      </w:r>
      <w:r>
        <w:t xml:space="preserve"> </w:t>
      </w:r>
      <w:r>
        <w:rPr>
          <w:b/>
        </w:rPr>
        <w:t xml:space="preserve">(AUC=XXX, 95% CI: XXX to XXX)</w:t>
      </w:r>
      <w:r>
        <w:t xml:space="preserve"> </w:t>
      </w:r>
      <w:r>
        <w:t xml:space="preserve">externally. These models were superior to traditional models based on the American Society for Anesthesiologists (ASA) classification (AUC = 0.59, 95 % CI: 0.58 to 0.60), Charlson (AUC = 0.56, 95 % CI: 0.55 to 0.57), Elixhauser (AUC = 0.58, 95 % CI: 0.57 to 0.59), and the Rx Risk V (AUC = 0.58, 95 % CI: 0.57 to 0.59) comorbidity indices.</w:t>
      </w:r>
    </w:p>
    <w:p>
      <w:pPr>
        <w:pStyle w:val="BodyText"/>
      </w:pPr>
      <w:r>
        <w:rPr>
          <w:b/>
        </w:rPr>
        <w:t xml:space="preserve">CONCLUSION:</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assessment of the risk of developing PJI prior to THA surgery and enable risk-stratified patient management.</w:t>
      </w:r>
    </w:p>
    <w:bookmarkStart w:id="23" w:name="page-break-1"/>
    <w:p>
      <w:pPr>
        <w:pStyle w:val="Heading5"/>
      </w:pPr>
      <w:r>
        <w:rPr>
          <w:rStyle w:val="SectionNumber"/>
        </w:rPr>
        <w:t xml:space="preserve">2.0.0.0.1</w:t>
      </w:r>
      <w:r>
        <w:tab/>
      </w:r>
      <w:r>
        <w:t xml:space="preserve">PAGE BREAK</w:t>
      </w:r>
    </w:p>
    <w:bookmarkEnd w:id="23"/>
    <w:bookmarkEnd w:id="24"/>
    <w:bookmarkStart w:id="25" w:name="introduction"/>
    <w:p>
      <w:pPr>
        <w:pStyle w:val="Heading1"/>
      </w:pPr>
      <w:r>
        <w:rPr>
          <w:rStyle w:val="SectionNumber"/>
        </w:rPr>
        <w:t xml:space="preserve">3</w:t>
      </w:r>
      <w:r>
        <w:tab/>
      </w:r>
      <w:r>
        <w:t xml:space="preserve">Introduction</w:t>
      </w:r>
    </w:p>
    <w:p>
      <w:pPr>
        <w:pStyle w:val="FirstParagraph"/>
      </w:pPr>
      <w:r>
        <w:t xml:space="preserve">Periprosthetic joint infection (PJI) is the most devastating of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this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 Thus, there is an urgent need for improved prediction models of PJI. We therefore developed a prediction model of PJI within 90 days or two years after THA that is based upon easily accessible data that are available in the setting of clinical decision-making.</w:t>
      </w:r>
    </w:p>
    <w:bookmarkEnd w:id="25"/>
    <w:bookmarkStart w:id="33" w:name="patients-and-methods"/>
    <w:p>
      <w:pPr>
        <w:pStyle w:val="Heading1"/>
      </w:pPr>
      <w:r>
        <w:rPr>
          <w:rStyle w:val="SectionNumber"/>
        </w:rPr>
        <w:t xml:space="preserve">4</w:t>
      </w:r>
      <w:r>
        <w:tab/>
      </w:r>
      <w:r>
        <w:t xml:space="preserve">Patients and Methods</w:t>
      </w:r>
    </w:p>
    <w:p>
      <w:pPr>
        <w:pStyle w:val="FirstParagraph"/>
      </w:pPr>
      <w:r>
        <w:t xml:space="preserve">We used data from the Swedish Hip Arthroplasty Register (SHAR) for model derivation and internal validation of discrimination and calibration. The best models were then validated externally on a cohort from the Danish Hip Arthroplasty Register (DHR).</w:t>
      </w:r>
    </w:p>
    <w:bookmarkStart w:id="26" w:name="derivation-cohort-sweden"/>
    <w:p>
      <w:pPr>
        <w:pStyle w:val="Heading2"/>
      </w:pPr>
      <w:r>
        <w:rPr>
          <w:rStyle w:val="SectionNumber"/>
        </w:rPr>
        <w:t xml:space="preserve">4.1</w:t>
      </w:r>
      <w:r>
        <w:tab/>
      </w:r>
      <w:r>
        <w:t xml:space="preserve">Derivation cohort (Sweden)</w:t>
      </w:r>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the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Patients with missing information on, or an ASA class of IV and above, were excluded, as were patients with missing information on BMI or a measurement above 50. Patients with missing information on educational levels or the type of hospital performing index surgery were also excluded.</w:t>
      </w:r>
    </w:p>
    <w:bookmarkEnd w:id="26"/>
    <w:bookmarkStart w:id="27" w:name="external-validation-cohort-denmark"/>
    <w:p>
      <w:pPr>
        <w:pStyle w:val="Heading2"/>
      </w:pPr>
      <w:r>
        <w:rPr>
          <w:rStyle w:val="SectionNumber"/>
        </w:rPr>
        <w:t xml:space="preserve">4.2</w:t>
      </w:r>
      <w:r>
        <w:tab/>
      </w:r>
      <w:r>
        <w:t xml:space="preserve">External validation cohort (Denmark)</w:t>
      </w:r>
    </w:p>
    <w:bookmarkEnd w:id="27"/>
    <w:bookmarkStart w:id="28" w:name="definitions-of-comorbidity-and-outcomes"/>
    <w:p>
      <w:pPr>
        <w:pStyle w:val="Heading2"/>
      </w:pPr>
      <w:r>
        <w:rPr>
          <w:rStyle w:val="SectionNumber"/>
        </w:rPr>
        <w:t xml:space="preserve">4.3</w:t>
      </w:r>
      <w:r>
        <w:tab/>
      </w:r>
      <w:r>
        <w:t xml:space="preserve">Definitions of comorbidity and outcomes</w:t>
      </w:r>
    </w:p>
    <w:p>
      <w:pPr>
        <w:pStyle w:val="FirstParagraph"/>
      </w:pPr>
      <w:r>
        <w:t xml:space="preserve">The Charlson and Elixhauser comorbidity indices are based on the presence of ICD-10 codes grouped into 17 and 31 categories each.</w:t>
      </w:r>
      <w:r>
        <w:rPr>
          <w:vertAlign w:val="superscript"/>
        </w:rPr>
        <w:t xml:space="preserve">28</w:t>
      </w:r>
      <w:r>
        <w:t xml:space="preserve"> </w:t>
      </w:r>
      <w:r>
        <w:t xml:space="preserve">Diagnostic categories from those indices were combined to define 21 categories of comorbidity that were chosen in order to be easily identifiable in a clinical setting (Tab.</w:t>
      </w:r>
      <w:r>
        <w:t xml:space="preserve"> </w:t>
      </w:r>
      <w:r>
        <w:t xml:space="preserve">8.1</w:t>
      </w:r>
      <w:r>
        <w:t xml:space="preserve">). Some of the combined comorbidities were observed for less than 10 patients with or without PJI, and these diagnoses were not considered as potential predictors to reduce the risk of overfitting to spurious events. PJI was defined by the occurrence of relevant ICD-10 or procedural NOMESCO-codes recorded in the NPR within 90 days (Tab.</w:t>
      </w:r>
      <w:r>
        <w:t xml:space="preserve"> </w:t>
      </w:r>
      <w:r>
        <w:t xml:space="preserve">8.2</w:t>
      </w:r>
      <w:r>
        <w:t xml:space="preserve">), or if the patient was reported to SHAR as re-operated due to infection within the same time frame.</w:t>
      </w:r>
    </w:p>
    <w:bookmarkEnd w:id="28"/>
    <w:bookmarkStart w:id="29" w:name="model-development"/>
    <w:p>
      <w:pPr>
        <w:pStyle w:val="Heading2"/>
      </w:pPr>
      <w:r>
        <w:rPr>
          <w:rStyle w:val="SectionNumber"/>
        </w:rPr>
        <w:t xml:space="preserve">4.4</w:t>
      </w:r>
      <w:r>
        <w:tab/>
      </w:r>
      <w:r>
        <w:t xml:space="preserve">Model development</w:t>
      </w:r>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BMI was divided into four categories based on the six intervals proposed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Ten-fold cross validation was performed with a range of potential penalty values (</w:t>
      </w:r>
      <m:oMath>
        <m:sSub>
          <m:e>
            <m:r>
              <m:t>λ</m:t>
            </m:r>
          </m:e>
          <m:sub>
            <m:r>
              <m:t>i</m:t>
            </m:r>
          </m:sub>
        </m:sSub>
      </m:oMath>
      <w:r>
        <w:t xml:space="preserve">:s) in a logistic LASSO regression model. We kept the</w:t>
      </w:r>
      <w:r>
        <w:t xml:space="preserve"> </w:t>
      </w:r>
      <m:oMath>
        <m:r>
          <m:t>λ</m:t>
        </m:r>
      </m:oMath>
      <w:r>
        <w:t xml:space="preserve"> </w:t>
      </w:r>
      <w:r>
        <w:t xml:space="preserve">that minimized the mean cross-validated deviance. 100 bootstrap samples were then drawn from the observed data set.</w:t>
      </w:r>
      <w:r>
        <w:rPr>
          <w:vertAlign w:val="superscript"/>
        </w:rPr>
        <w:t xml:space="preserve">31</w:t>
      </w:r>
    </w:p>
    <w:p>
      <w:pPr>
        <w:pStyle w:val="BodyText"/>
      </w:pPr>
      <w:r>
        <w:t xml:space="preserve">Logistic LASSO regression was performed for each sample using the chosen</w:t>
      </w:r>
      <w:r>
        <w:t xml:space="preserve"> </w:t>
      </w:r>
      <m:oMath>
        <m:r>
          <m:t>λ</m:t>
        </m:r>
      </m:oMath>
      <w:r>
        <w:t xml:space="preserve"> </w:t>
      </w:r>
      <w:r>
        <w:t xml:space="preserve">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10 out of 100 times were then used in main effects multivariable logistic regression models without penalty and without pre-normalization of numeric variables. Even more parsimonious models with potential predictors chosen at least 80 out of 100 times were evaluated for comparison. Univariable prediction models based on either ASA class, the Charlson, Elixhauser, or the Rx Risk V comorbidity indices were fitted for comparison. The Rx Risk V index is a comorbidity index based on medical prescriptions coded by the Anatomical Therapeutic Chemical (ATC) classification system during one year prior to surgery. This data was retrieved from the Swedish national prescription register and classified according to Pratt et al.</w:t>
      </w:r>
      <w:r>
        <w:rPr>
          <w:vertAlign w:val="superscript"/>
        </w:rPr>
        <w:t xml:space="preserve">18</w:t>
      </w:r>
      <w:r>
        <w:t xml:space="preserve"> </w:t>
      </w:r>
      <w:r>
        <w:t xml:space="preserve">Odds ratios for the final models were estimated with 95 % confidence intervals.</w:t>
      </w:r>
    </w:p>
    <w:bookmarkEnd w:id="29"/>
    <w:bookmarkStart w:id="30" w:name="model-validation"/>
    <w:p>
      <w:pPr>
        <w:pStyle w:val="Heading2"/>
      </w:pPr>
      <w:r>
        <w:rPr>
          <w:rStyle w:val="SectionNumber"/>
        </w:rPr>
        <w:t xml:space="preserve">4.5</w:t>
      </w:r>
      <w:r>
        <w:tab/>
      </w:r>
      <w:r>
        <w:t xml:space="preserve">Model validation</w:t>
      </w:r>
    </w:p>
    <w:p>
      <w:pPr>
        <w:pStyle w:val="FirstParagraph"/>
      </w:pPr>
      <w:r>
        <w:t xml:space="preserve">Each developed model was used to predict the probability of PJI within 90 days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 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 Danish cohort, and re-calibration of model intercepts was performed to account for different PJI incidences in Sweden compared to Denmark.</w:t>
      </w:r>
    </w:p>
    <w:bookmarkEnd w:id="30"/>
    <w:bookmarkStart w:id="31" w:name="statistical-tools"/>
    <w:p>
      <w:pPr>
        <w:pStyle w:val="Heading2"/>
      </w:pPr>
      <w:r>
        <w:rPr>
          <w:rStyle w:val="SectionNumber"/>
        </w:rPr>
        <w:t xml:space="preserve">4.6</w:t>
      </w:r>
      <w:r>
        <w:tab/>
      </w:r>
      <w:r>
        <w:t xml:space="preserve">Statistical tools</w:t>
      </w:r>
    </w:p>
    <w:p>
      <w:pPr>
        <w:pStyle w:val="FirstParagraph"/>
      </w:pPr>
      <w:r>
        <w:t xml:space="preserve">We built an online web calculator available at</w:t>
      </w:r>
      <w:r>
        <w:t xml:space="preserve"> </w:t>
      </w:r>
      <w:r>
        <w:rPr>
          <w:b/>
        </w:rPr>
        <w:t xml:space="preserve">XXX</w:t>
      </w:r>
      <w:r>
        <w:t xml:space="preserve"> </w:t>
      </w:r>
      <w:r>
        <w:t xml:space="preserve">to be used in clinical practice. R version 4.0.3 (2020-10-10) (R Foundation for Statistical Computing, Vienna, Austria) with significant packages tidyverse, tidymodels, furrr, pROC, decoder, coder and shiny were used.</w:t>
      </w:r>
    </w:p>
    <w:bookmarkEnd w:id="31"/>
    <w:bookmarkStart w:id="32" w:name="ethical-approval"/>
    <w:p>
      <w:pPr>
        <w:pStyle w:val="Heading2"/>
      </w:pPr>
      <w:r>
        <w:rPr>
          <w:rStyle w:val="SectionNumber"/>
        </w:rPr>
        <w:t xml:space="preserve">4.7</w:t>
      </w:r>
      <w:r>
        <w:tab/>
      </w:r>
      <w:r>
        <w:t xml:space="preserve">Ethical approval</w:t>
      </w:r>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bookmarkEnd w:id="32"/>
    <w:bookmarkEnd w:id="33"/>
    <w:bookmarkStart w:id="37" w:name="results"/>
    <w:p>
      <w:pPr>
        <w:pStyle w:val="Heading1"/>
      </w:pPr>
      <w:r>
        <w:rPr>
          <w:rStyle w:val="SectionNumber"/>
        </w:rPr>
        <w:t xml:space="preserve">5</w:t>
      </w:r>
      <w:r>
        <w:tab/>
      </w:r>
      <w:r>
        <w:t xml:space="preserve">Results</w:t>
      </w:r>
    </w:p>
    <w:bookmarkStart w:id="34" w:name="study-participants"/>
    <w:p>
      <w:pPr>
        <w:pStyle w:val="Heading2"/>
      </w:pPr>
      <w:r>
        <w:rPr>
          <w:rStyle w:val="SectionNumber"/>
        </w:rPr>
        <w:t xml:space="preserve">5.1</w:t>
      </w:r>
      <w:r>
        <w:tab/>
      </w:r>
      <w:r>
        <w:t xml:space="preserve">Study participants</w:t>
      </w:r>
    </w:p>
    <w:p>
      <w:pPr>
        <w:pStyle w:val="FirstParagraph"/>
      </w:pPr>
      <w:r>
        <w:t xml:space="preserve">We included 88,830 patients (43.54 % males) with a mean age of 68 (SD = 11) years in the derivation cohort from the SHAR (Fig.</w:t>
      </w:r>
      <w:r>
        <w:t xml:space="preserve"> </w:t>
      </w:r>
      <w:r>
        <w:t xml:space="preserve">8.1</w:t>
      </w:r>
      <w:r>
        <w:t xml:space="preserve">, left panel). 2.45 % (n = 2,173) of the patients developed a PJI within 90 days (Tab.</w:t>
      </w:r>
      <w:r>
        <w:t xml:space="preserve"> </w:t>
      </w:r>
      <w:r>
        <w:t xml:space="preserve">8.3</w:t>
      </w:r>
      <w:r>
        <w:t xml:space="preserve">). The proportion of patients with ASA class III was 17 % (n = 14,945); 24 % (n = 21,393) had at least one comorbidity according to the Charlson comorbidity index, 43 % (n = 38,617) according to Elixhauser index, and 71 % (n = 62,874) had medications classified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8.1</w:t>
      </w:r>
      <w:r>
        <w:t xml:space="preserve">, right panel).</w:t>
      </w:r>
    </w:p>
    <w:bookmarkEnd w:id="34"/>
    <w:bookmarkStart w:id="35" w:name="X97f55da61655794c4500bb5dee5b0e7e0a00da4"/>
    <w:p>
      <w:pPr>
        <w:pStyle w:val="Heading2"/>
      </w:pPr>
      <w:r>
        <w:rPr>
          <w:rStyle w:val="SectionNumber"/>
        </w:rPr>
        <w:t xml:space="preserve">5.2</w:t>
      </w:r>
      <w:r>
        <w:tab/>
      </w:r>
      <w:r>
        <w:t xml:space="preserve">Model development and internal validation</w:t>
      </w:r>
    </w:p>
    <w:p>
      <w:pPr>
        <w:pStyle w:val="FirstParagraph"/>
      </w:pPr>
      <w:r>
        <w:t xml:space="preserve">Patients with AIDS/HIV, Coagulopathy and Weight loss were uncommon, wherefore those comorbidities were excluded as potential predictors prior to further modeling. ROC-curves (Fig.</w:t>
      </w:r>
      <w:r>
        <w:t xml:space="preserve"> </w:t>
      </w:r>
      <w:r>
        <w:t xml:space="preserve">8.2</w:t>
      </w:r>
      <w:r>
        <w:t xml:space="preserve">) and AUC-values (Fig.</w:t>
      </w:r>
      <w:r>
        <w:t xml:space="preserve"> </w:t>
      </w:r>
      <w:r>
        <w:t xml:space="preserve">8.3</w:t>
      </w:r>
      <w:r>
        <w:t xml:space="preserve">) for the main and reduced models were very similar, and for simplicity, we therefore focused on the reduced models. Estimated probability density curves for patients with and without PJI were partially overlapping, although patients with PJI had on average higher predicted probabilities for this outcome (Fig.</w:t>
      </w:r>
      <w:r>
        <w:t xml:space="preserve"> </w:t>
      </w:r>
      <w:r>
        <w:t xml:space="preserve">8.4</w:t>
      </w:r>
      <w:r>
        <w:t xml:space="preserve">).</w:t>
      </w:r>
    </w:p>
    <w:p>
      <w:pPr>
        <w:pStyle w:val="BodyText"/>
      </w:pPr>
      <w:r>
        <w:t xml:space="preserve">The reduced model for the prediction of PJI within 90 days in the Swedish cohort included the underlaying diagnosis for THA, body mass index (BMI), American Society for Anesthesiologists (ASA) class, gender, age, and the precense of arrhythmia, CNS disease, fluid electrolyte disorders, liver disease or lung airways disease (Tab.</w:t>
      </w:r>
      <w:r>
        <w:t xml:space="preserve"> </w:t>
      </w:r>
      <w:r>
        <w:t xml:space="preserve">8.5</w:t>
      </w:r>
      <w:r>
        <w:t xml:space="preserve">). This reduced model for the predicition of PJI within 90 days had an AUC = 0.68 (95 % CI: 0.66 to 0.69), whereas ASA class (AUC = 0.59, 95 % CI: 0.58 to 0.60), the Charlson comorbidity index (AUC = 0.56, 95 % CI: 0.55 to 0.57), the Elixhauser comorbidity index (AUC = 0.58, 95 % CI: 0.57 to 0.59), and Rx Risk V (AUC = 0.58, 95 % CI: 0.57 to 0.59) had less discriminative ability (Fig.</w:t>
      </w:r>
      <w:r>
        <w:t xml:space="preserve"> </w:t>
      </w:r>
      <w:r>
        <w:t xml:space="preserve">8.2</w:t>
      </w:r>
      <w:r>
        <w:t xml:space="preserve"> </w:t>
      </w:r>
      <w:r>
        <w:t xml:space="preserve">and</w:t>
      </w:r>
      <w:r>
        <w:t xml:space="preserve"> </w:t>
      </w:r>
      <w:r>
        <w:t xml:space="preserve">8.3</w:t>
      </w:r>
      <w:r>
        <w:t xml:space="preserve">). The reduced model had good accuracy as visualized by the calibration plot (Fig.</w:t>
      </w:r>
      <w:r>
        <w:t xml:space="preserve"> </w:t>
      </w:r>
      <w:r>
        <w:t xml:space="preserve">8.5</w:t>
      </w:r>
      <w:r>
        <w:t xml:space="preserve">, left panel).</w:t>
      </w:r>
    </w:p>
    <w:bookmarkEnd w:id="35"/>
    <w:bookmarkStart w:id="36" w:name="external-validation"/>
    <w:p>
      <w:pPr>
        <w:pStyle w:val="Heading2"/>
      </w:pPr>
      <w:r>
        <w:rPr>
          <w:rStyle w:val="SectionNumber"/>
        </w:rPr>
        <w:t xml:space="preserve">5.3</w:t>
      </w:r>
      <w:r>
        <w:tab/>
      </w:r>
      <w:r>
        <w:t xml:space="preserve">External validation</w:t>
      </w:r>
    </w:p>
    <w:p>
      <w:pPr>
        <w:pStyle w:val="FirstParagraph"/>
      </w:pPr>
      <w:r>
        <w:t xml:space="preserve">XXX</w:t>
      </w:r>
    </w:p>
    <w:bookmarkEnd w:id="36"/>
    <w:bookmarkEnd w:id="37"/>
    <w:bookmarkStart w:id="44" w:name="discussion"/>
    <w:p>
      <w:pPr>
        <w:pStyle w:val="Heading1"/>
      </w:pPr>
      <w:r>
        <w:rPr>
          <w:rStyle w:val="SectionNumber"/>
        </w:rPr>
        <w:t xml:space="preserve">6</w:t>
      </w:r>
      <w:r>
        <w:tab/>
      </w:r>
      <w:r>
        <w:t xml:space="preserve">Discussion</w:t>
      </w:r>
    </w:p>
    <w:bookmarkStart w:id="38" w:name="principal-findings"/>
    <w:p>
      <w:pPr>
        <w:pStyle w:val="Heading2"/>
      </w:pPr>
      <w:r>
        <w:rPr>
          <w:rStyle w:val="SectionNumber"/>
        </w:rPr>
        <w:t xml:space="preserve">6.1</w:t>
      </w:r>
      <w:r>
        <w:tab/>
      </w:r>
      <w:r>
        <w:t xml:space="preserve">Principal findings</w:t>
      </w:r>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This model also performed better than the established comorbidity measures in terms of AUC and calibration.</w:t>
      </w:r>
    </w:p>
    <w:bookmarkEnd w:id="38"/>
    <w:bookmarkStart w:id="39" w:name="clinical-usage"/>
    <w:p>
      <w:pPr>
        <w:pStyle w:val="Heading2"/>
      </w:pPr>
      <w:r>
        <w:rPr>
          <w:rStyle w:val="SectionNumber"/>
        </w:rPr>
        <w:t xml:space="preserve">6.2</w:t>
      </w:r>
      <w:r>
        <w:tab/>
      </w:r>
      <w:r>
        <w:t xml:space="preserve">Clinical usage</w:t>
      </w:r>
    </w:p>
    <w:p>
      <w:pPr>
        <w:pStyle w:val="FirstParagraph"/>
      </w:pPr>
      <w:r>
        <w:t xml:space="preserve">Since the prediction model was based on easily accessible information it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8.5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60 year old female with normal BMI, primary osteoarthritis and no co-morbidities would have a probability of 0.7 %, a 85 year old male with overweight, secondary osteoarthritis, psoriasis, dementia</w:t>
      </w:r>
      <w:r>
        <w:t xml:space="preserve"> </w:t>
      </w:r>
      <w:r>
        <w:t xml:space="preserve">(CNS disease) and ASA class III would have a probability of 15.1 % for PJI within 90 days.</w:t>
      </w:r>
    </w:p>
    <w:bookmarkEnd w:id="39"/>
    <w:bookmarkStart w:id="40" w:name="model-predictors"/>
    <w:p>
      <w:pPr>
        <w:pStyle w:val="Heading2"/>
      </w:pPr>
      <w:r>
        <w:rPr>
          <w:rStyle w:val="SectionNumber"/>
        </w:rPr>
        <w:t xml:space="preserve">6.3</w:t>
      </w:r>
      <w:r>
        <w:tab/>
      </w:r>
      <w:r>
        <w:t xml:space="preserve">Model predictors</w:t>
      </w:r>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bookmarkEnd w:id="40"/>
    <w:bookmarkStart w:id="41" w:name="strengths-and-limitations"/>
    <w:p>
      <w:pPr>
        <w:pStyle w:val="Heading2"/>
      </w:pPr>
      <w:r>
        <w:rPr>
          <w:rStyle w:val="SectionNumber"/>
        </w:rPr>
        <w:t xml:space="preserve">6.4</w:t>
      </w:r>
      <w:r>
        <w:tab/>
      </w:r>
      <w:r>
        <w:t xml:space="preserve">Strengths and limitations</w:t>
      </w:r>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20,37,46</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47,48</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 Use of TNF-a blockers may be associated with the risk of developing PJI.</w:t>
      </w:r>
      <w:r>
        <w:rPr>
          <w:vertAlign w:val="superscript"/>
        </w:rPr>
        <w:t xml:space="preserve">49,50</w:t>
      </w:r>
      <w:r>
        <w:t xml:space="preserve"> </w:t>
      </w:r>
      <w:r>
        <w:t xml:space="preserve">Similarly, intra-articular steroid application may enhance this risk,</w:t>
      </w:r>
      <w:r>
        <w:rPr>
          <w:vertAlign w:val="superscript"/>
        </w:rPr>
        <w:t xml:space="preserve">51</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12,52</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bookmarkEnd w:id="41"/>
    <w:bookmarkStart w:id="43" w:name="conclusion"/>
    <w:p>
      <w:pPr>
        <w:pStyle w:val="Heading2"/>
      </w:pPr>
      <w:r>
        <w:rPr>
          <w:rStyle w:val="SectionNumber"/>
        </w:rPr>
        <w:t xml:space="preserve">6.5</w:t>
      </w:r>
      <w:r>
        <w:tab/>
      </w:r>
      <w:r>
        <w:t xml:space="preserve">Conclusion</w:t>
      </w:r>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bookmarkStart w:id="42" w:name="page-break-2"/>
    <w:p>
      <w:pPr>
        <w:pStyle w:val="Heading5"/>
      </w:pPr>
      <w:r>
        <w:rPr>
          <w:rStyle w:val="SectionNumber"/>
        </w:rPr>
        <w:t xml:space="preserve">6.5.0.0.1</w:t>
      </w:r>
      <w:r>
        <w:tab/>
      </w:r>
      <w:r>
        <w:t xml:space="preserve">Page break</w:t>
      </w:r>
    </w:p>
    <w:bookmarkEnd w:id="42"/>
    <w:bookmarkEnd w:id="43"/>
    <w:bookmarkEnd w:id="44"/>
    <w:bookmarkStart w:id="45" w:name="contribution-of-authors"/>
    <w:p>
      <w:pPr>
        <w:pStyle w:val="Heading1"/>
      </w:pPr>
      <w:r>
        <w:rPr>
          <w:rStyle w:val="SectionNumber"/>
        </w:rPr>
        <w:t xml:space="preserve">7</w:t>
      </w:r>
      <w:r>
        <w:tab/>
      </w:r>
      <w:r>
        <w:t xml:space="preserve">Contribution of authors</w:t>
      </w:r>
    </w:p>
    <w:p>
      <w:pPr>
        <w:pStyle w:val="FirstParagraph"/>
      </w:pPr>
      <w:r>
        <w:t xml:space="preserve">NPH initiated the study. OR managed the ethical review board application in Sweden and ABP in Denmark. EB developed the statistical model. ITA and UH performed the external validation. NPH and EB drafted, and all authors edited and finalized the manuscript.</w:t>
      </w:r>
    </w:p>
    <w:bookmarkEnd w:id="45"/>
    <w:bookmarkStart w:id="62" w:name="acknowledgement"/>
    <w:p>
      <w:pPr>
        <w:pStyle w:val="Heading1"/>
      </w:pPr>
      <w:r>
        <w:rPr>
          <w:rStyle w:val="SectionNumber"/>
        </w:rPr>
        <w:t xml:space="preserve">8</w:t>
      </w:r>
      <w:r>
        <w:tab/>
      </w:r>
      <w:r>
        <w:t xml:space="preserve">Acknowledgement</w:t>
      </w:r>
    </w:p>
    <w:p>
      <w:pPr>
        <w:pStyle w:val="FirstParagraph"/>
      </w:pPr>
      <w:r>
        <w:t xml:space="preserve">We would like to thank .</w:t>
      </w:r>
    </w:p>
    <w:bookmarkStart w:id="47" w:name="page-break-3"/>
    <w:p>
      <w:pPr>
        <w:pStyle w:val="Heading5"/>
      </w:pPr>
      <w:r>
        <w:rPr>
          <w:rStyle w:val="SectionNumber"/>
        </w:rPr>
        <w:t xml:space="preserve">8.0.0.0.1</w:t>
      </w:r>
      <w:r>
        <w:tab/>
      </w:r>
      <w:r>
        <w:t xml:space="preserve">PAGE BREAK</w:t>
      </w:r>
    </w:p>
    <w:p>
      <w:pPr>
        <w:pStyle w:val="CaptionedFigure"/>
      </w:pPr>
      <w:r>
        <w:drawing>
          <wp:inline>
            <wp:extent cx="5969000" cy="5415235"/>
            <wp:effectExtent b="0" l="0" r="0" t="0"/>
            <wp:docPr descr="Figure 8.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46"/>
                    <a:stretch>
                      <a:fillRect/>
                    </a:stretch>
                  </pic:blipFill>
                  <pic:spPr bwMode="auto">
                    <a:xfrm>
                      <a:off x="0" y="0"/>
                      <a:ext cx="5969000" cy="5415235"/>
                    </a:xfrm>
                    <a:prstGeom prst="rect">
                      <a:avLst/>
                    </a:prstGeom>
                    <a:noFill/>
                    <a:ln w="9525">
                      <a:noFill/>
                      <a:headEnd/>
                      <a:tailEnd/>
                    </a:ln>
                  </pic:spPr>
                </pic:pic>
              </a:graphicData>
            </a:graphic>
          </wp:inline>
        </w:drawing>
      </w:r>
    </w:p>
    <w:p>
      <w:pPr>
        <w:pStyle w:val="ImageCaption"/>
      </w:pPr>
      <w:r>
        <w:t xml:space="preserve">Figure 8.1: Flowchart with inclusion criteria and number of patients. Data from the Swedish Hip Arthroplasty Register were used for model derivation and internal validation (left). Data from XXX were used for external validation (right).</w:t>
      </w:r>
    </w:p>
    <w:bookmarkEnd w:id="47"/>
    <w:bookmarkStart w:id="49" w:name="page-break-4"/>
    <w:p>
      <w:pPr>
        <w:pStyle w:val="Heading5"/>
      </w:pPr>
      <w:r>
        <w:rPr>
          <w:rStyle w:val="SectionNumber"/>
        </w:rPr>
        <w:t xml:space="preserve">8.0.0.0.2</w:t>
      </w:r>
      <w:r>
        <w:tab/>
      </w:r>
      <w:r>
        <w:t xml:space="preserve">PAGE BREAK</w:t>
      </w:r>
    </w:p>
    <w:p>
      <w:pPr>
        <w:pStyle w:val="CaptionedFigure"/>
      </w:pPr>
      <w:r>
        <w:drawing>
          <wp:inline>
            <wp:extent cx="5416061" cy="5416061"/>
            <wp:effectExtent b="0" l="0" r="0" t="0"/>
            <wp:docPr descr="Figure 8.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48"/>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8.2: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bookmarkEnd w:id="49"/>
    <w:bookmarkStart w:id="51" w:name="page-break-5"/>
    <w:p>
      <w:pPr>
        <w:pStyle w:val="Heading5"/>
      </w:pPr>
      <w:r>
        <w:rPr>
          <w:rStyle w:val="SectionNumber"/>
        </w:rPr>
        <w:t xml:space="preserve">8.0.0.0.3</w:t>
      </w:r>
      <w:r>
        <w:tab/>
      </w:r>
      <w:r>
        <w:t xml:space="preserve">PAGE BREAK</w:t>
      </w:r>
    </w:p>
    <w:p>
      <w:pPr>
        <w:pStyle w:val="CaptionedFigure"/>
      </w:pPr>
      <w:r>
        <w:drawing>
          <wp:inline>
            <wp:extent cx="5416061" cy="2886935"/>
            <wp:effectExtent b="0" l="0" r="0" t="0"/>
            <wp:docPr descr="Figure 8.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0"/>
                    <a:stretch>
                      <a:fillRect/>
                    </a:stretch>
                  </pic:blipFill>
                  <pic:spPr bwMode="auto">
                    <a:xfrm>
                      <a:off x="0" y="0"/>
                      <a:ext cx="5416061" cy="2886935"/>
                    </a:xfrm>
                    <a:prstGeom prst="rect">
                      <a:avLst/>
                    </a:prstGeom>
                    <a:noFill/>
                    <a:ln w="9525">
                      <a:noFill/>
                      <a:headEnd/>
                      <a:tailEnd/>
                    </a:ln>
                  </pic:spPr>
                </pic:pic>
              </a:graphicData>
            </a:graphic>
          </wp:inline>
        </w:drawing>
      </w:r>
    </w:p>
    <w:p>
      <w:pPr>
        <w:pStyle w:val="ImageCaption"/>
      </w:pPr>
      <w:r>
        <w:t xml:space="preserve">Figure 8.3: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bookmarkEnd w:id="51"/>
    <w:bookmarkStart w:id="53" w:name="page-break-6"/>
    <w:p>
      <w:pPr>
        <w:pStyle w:val="Heading5"/>
      </w:pPr>
      <w:r>
        <w:rPr>
          <w:rStyle w:val="SectionNumber"/>
        </w:rPr>
        <w:t xml:space="preserve">8.0.0.0.4</w:t>
      </w:r>
      <w:r>
        <w:tab/>
      </w:r>
      <w:r>
        <w:t xml:space="preserve">PAGE BREAK</w:t>
      </w:r>
    </w:p>
    <w:p>
      <w:pPr>
        <w:pStyle w:val="CaptionedFigure"/>
      </w:pPr>
      <w:r>
        <w:drawing>
          <wp:inline>
            <wp:extent cx="5969000" cy="2984500"/>
            <wp:effectExtent b="0" l="0" r="0" t="0"/>
            <wp:docPr descr="Figure 8.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8.4: The vast majority of patients did not have PJI. Hence, the blue bars dominates the histograms (upper panels; note the scales). Normalized density plots reveals however, that patients with PJI had, on average, higher estimated probabilities for this adverse event (lower panels).</w:t>
      </w:r>
    </w:p>
    <w:bookmarkEnd w:id="53"/>
    <w:bookmarkStart w:id="55" w:name="page-break-7"/>
    <w:p>
      <w:pPr>
        <w:pStyle w:val="Heading5"/>
      </w:pPr>
      <w:r>
        <w:rPr>
          <w:rStyle w:val="SectionNumber"/>
        </w:rPr>
        <w:t xml:space="preserve">8.0.0.0.5</w:t>
      </w:r>
      <w:r>
        <w:tab/>
      </w:r>
      <w:r>
        <w:t xml:space="preserve">PAGE BREAK</w:t>
      </w:r>
    </w:p>
    <w:p>
      <w:pPr>
        <w:pStyle w:val="CaptionedFigure"/>
      </w:pPr>
      <w:r>
        <w:drawing>
          <wp:inline>
            <wp:extent cx="3611727" cy="3611727"/>
            <wp:effectExtent b="0" l="0" r="0" t="0"/>
            <wp:docPr descr="Figure 8.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54"/>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8.5: This figure illustrates calibration between observed proportions and predicted probabilities with 95 % confidence intervals. Calibration is good for predictions up to 5 %, although higher probabilities tend to over-estimate the observed outcome.</w:t>
      </w:r>
    </w:p>
    <w:bookmarkEnd w:id="55"/>
    <w:bookmarkStart w:id="56" w:name="page-break-8"/>
    <w:p>
      <w:pPr>
        <w:pStyle w:val="Heading5"/>
      </w:pPr>
      <w:r>
        <w:rPr>
          <w:rStyle w:val="SectionNumber"/>
        </w:rPr>
        <w:t xml:space="preserve">8.0.0.0.6</w:t>
      </w:r>
      <w:r>
        <w:tab/>
      </w:r>
      <w:r>
        <w:t xml:space="preserve">PAGE BREAK</w:t>
      </w:r>
    </w:p>
    <w:p>
      <w:pPr>
        <w:pStyle w:val="TableCaption"/>
      </w:pPr>
      <w:r>
        <w:t xml:space="preserve">Table 8.1: Categorization of comorbidities from the Charlson, Elixhauser and Rx RIsk V comorbidities. (CNS = central nervous system.)</w:t>
      </w:r>
    </w:p>
    <w:tbl>
      <w:tblPr>
        <w:tblStyle w:val="Table"/>
        <w:tblW w:type="pct" w:w="5000.0"/>
        <w:tblLook w:firstRow="1" w:lastRow="0" w:firstColumn="0" w:lastColumn="0" w:noHBand="0" w:noVBand="0"/>
        <w:tblCaption w:val="Table 8.1: Categorization of comorbidities from the Charlson, Elixhauser and Rx RIsk V comorbidities.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bookmarkEnd w:id="56"/>
    <w:bookmarkStart w:id="57" w:name="page-break-9"/>
    <w:p>
      <w:pPr>
        <w:pStyle w:val="Heading5"/>
      </w:pPr>
      <w:r>
        <w:rPr>
          <w:rStyle w:val="SectionNumber"/>
        </w:rPr>
        <w:t xml:space="preserve">8.0.0.0.7</w:t>
      </w:r>
      <w:r>
        <w:tab/>
      </w:r>
      <w:r>
        <w:t xml:space="preserve">PAGE BREAK</w:t>
      </w:r>
    </w:p>
    <w:p>
      <w:pPr>
        <w:pStyle w:val="TableCaption"/>
      </w:pPr>
      <w:r>
        <w:t xml:space="preserve">Table 8.2: Codes identifying infection if recorded in the national patient register within 90 days or 2 years after THA respectively.</w:t>
      </w:r>
    </w:p>
    <w:tbl>
      <w:tblPr>
        <w:tblStyle w:val="Table"/>
        <w:tblW w:type="pct" w:w="5000.0"/>
        <w:tblLook w:firstRow="1" w:lastRow="0" w:firstColumn="0" w:lastColumn="0" w:noHBand="0" w:noVBand="0"/>
        <w:tblCaption w:val="Table 8.2: Codes identifying infection if recorded in the national patient register within 90 days or 2 years after THA respectively."/>
      </w:tblPr>
      <w:tblGrid>
        <w:gridCol w:w="596"/>
        <w:gridCol w:w="7323"/>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 M860F, M861, M861F, M862, M863, M864, M865, M866, M866F, M868, M869, T813, T814, T845, T845F, T845X, T846F, T847, T847F</w:t>
            </w:r>
          </w:p>
        </w:tc>
      </w:tr>
      <w:tr>
        <w:tc>
          <w:p>
            <w:pPr>
              <w:pStyle w:val="Compact"/>
              <w:jc w:val="left"/>
            </w:pPr>
            <w:r>
              <w:t xml:space="preserve">NOMESCO</w:t>
            </w:r>
          </w:p>
        </w:tc>
        <w:tc>
          <w:p>
            <w:pPr>
              <w:pStyle w:val="Compact"/>
              <w:jc w:val="left"/>
            </w:pPr>
            <w:r>
              <w:t xml:space="preserve">NFS09, NFS19, NFS29, NFS39, NFS49, NFS59, NFS99, NFW59, NFW69</w:t>
            </w:r>
          </w:p>
        </w:tc>
      </w:tr>
    </w:tbl>
    <w:bookmarkEnd w:id="57"/>
    <w:bookmarkStart w:id="58" w:name="page-break-10"/>
    <w:p>
      <w:pPr>
        <w:pStyle w:val="Heading5"/>
      </w:pPr>
      <w:r>
        <w:rPr>
          <w:rStyle w:val="SectionNumber"/>
        </w:rPr>
        <w:t xml:space="preserve">8.0.0.0.8</w:t>
      </w:r>
      <w:r>
        <w:tab/>
      </w:r>
      <w:r>
        <w:t xml:space="preserve">PAGE BREAK</w:t>
      </w:r>
    </w:p>
    <w:p>
      <w:pPr>
        <w:pStyle w:val="TableCaption"/>
      </w:pPr>
      <w:r>
        <w:t xml:space="preserve">Table 8.3: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5000.0"/>
        <w:tblLook w:firstRow="1" w:lastRow="0" w:firstColumn="0" w:lastColumn="0" w:noHBand="0" w:noVBand="0"/>
        <w:tblCaption w:val="Table 8.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2129"/>
        <w:gridCol w:w="2994"/>
        <w:gridCol w:w="931"/>
        <w:gridCol w:w="931"/>
        <w:gridCol w:w="931"/>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w:t>
            </w:r>
          </w:p>
        </w:tc>
        <w:tc>
          <w:tcPr>
            <w:tcBorders>
              <w:bottom w:val="single"/>
            </w:tcBorders>
            <w:vAlign w:val="bottom"/>
          </w:tcPr>
          <w:p>
            <w:pPr>
              <w:pStyle w:val="Compact"/>
              <w:jc w:val="left"/>
            </w:pPr>
            <w:r>
              <w:t xml:space="preserve">No PJI</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2173</w:t>
            </w:r>
          </w:p>
        </w:tc>
        <w:tc>
          <w:p>
            <w:pPr>
              <w:pStyle w:val="Compact"/>
              <w:jc w:val="left"/>
            </w:pPr>
            <w:r>
              <w:t xml:space="preserve">86657</w:t>
            </w:r>
          </w:p>
        </w:tc>
        <w:tc>
          <w:p>
            <w:pPr>
              <w:pStyle w:val="Compact"/>
              <w:jc w:val="left"/>
            </w:pPr>
            <w:r>
              <w:t xml:space="preserve">88830</w:t>
            </w:r>
          </w:p>
        </w:tc>
      </w:tr>
      <w:tr>
        <w:tc>
          <w:p>
            <w:pPr>
              <w:pStyle w:val="Compact"/>
              <w:jc w:val="left"/>
            </w:pPr>
            <w:r>
              <w:t xml:space="preserve">Age (mean (SD))</w:t>
            </w:r>
          </w:p>
        </w:tc>
        <w:tc>
          <w:p/>
        </w:tc>
        <w:tc>
          <w:p>
            <w:pPr>
              <w:pStyle w:val="Compact"/>
              <w:jc w:val="left"/>
            </w:pPr>
            <w:r>
              <w:t xml:space="preserve">70.30 (11.21)</w:t>
            </w:r>
          </w:p>
        </w:tc>
        <w:tc>
          <w:p>
            <w:pPr>
              <w:pStyle w:val="Compact"/>
              <w:jc w:val="left"/>
            </w:pPr>
            <w:r>
              <w:t xml:space="preserve">68.39 (10.71)</w:t>
            </w:r>
          </w:p>
        </w:tc>
        <w:tc>
          <w:p>
            <w:pPr>
              <w:pStyle w:val="Compact"/>
              <w:jc w:val="left"/>
            </w:pPr>
            <w:r>
              <w:t xml:space="preserve">68.44 (10.73)</w:t>
            </w:r>
          </w:p>
        </w:tc>
      </w:tr>
      <w:tr>
        <w:tc>
          <w:p>
            <w:pPr>
              <w:pStyle w:val="Compact"/>
              <w:jc w:val="left"/>
            </w:pPr>
            <w:r>
              <w:t xml:space="preserve">Sex = Male (%)</w:t>
            </w:r>
          </w:p>
        </w:tc>
        <w:tc>
          <w:p/>
        </w:tc>
        <w:tc>
          <w:p>
            <w:pPr>
              <w:pStyle w:val="Compact"/>
              <w:jc w:val="left"/>
            </w:pPr>
            <w:r>
              <w:t xml:space="preserve">1111 (51.1)</w:t>
            </w:r>
          </w:p>
        </w:tc>
        <w:tc>
          <w:p>
            <w:pPr>
              <w:pStyle w:val="Compact"/>
              <w:jc w:val="left"/>
            </w:pPr>
            <w:r>
              <w:t xml:space="preserve">37568 (43.4)</w:t>
            </w:r>
          </w:p>
        </w:tc>
        <w:tc>
          <w:p>
            <w:pPr>
              <w:pStyle w:val="Compact"/>
              <w:jc w:val="left"/>
            </w:pPr>
            <w:r>
              <w:t xml:space="preserve">38679 (43.5)</w:t>
            </w:r>
          </w:p>
        </w:tc>
      </w:tr>
      <w:tr>
        <w:tc>
          <w:p>
            <w:pPr>
              <w:pStyle w:val="Compact"/>
              <w:jc w:val="left"/>
            </w:pPr>
            <w:r>
              <w:t xml:space="preserve">BMI (%)</w:t>
            </w:r>
          </w:p>
        </w:tc>
        <w:tc>
          <w:p/>
        </w:tc>
        <w:tc>
          <w:p/>
        </w:tc>
        <w:tc>
          <w:p/>
        </w:tc>
        <w:tc>
          <w:p/>
        </w:tc>
      </w:tr>
      <w:tr>
        <w:tc>
          <w:p/>
        </w:tc>
        <w:tc>
          <w:p>
            <w:pPr>
              <w:pStyle w:val="Compact"/>
              <w:jc w:val="left"/>
            </w:pPr>
            <w:r>
              <w:t xml:space="preserve">Under/normal weight</w:t>
            </w:r>
          </w:p>
        </w:tc>
        <w:tc>
          <w:p>
            <w:pPr>
              <w:pStyle w:val="Compact"/>
              <w:jc w:val="left"/>
            </w:pPr>
            <w:r>
              <w:t xml:space="preserve">487 (22.4)</w:t>
            </w:r>
          </w:p>
        </w:tc>
        <w:tc>
          <w:p>
            <w:pPr>
              <w:pStyle w:val="Compact"/>
              <w:jc w:val="left"/>
            </w:pPr>
            <w:r>
              <w:t xml:space="preserve">28944 (33.4)</w:t>
            </w:r>
          </w:p>
        </w:tc>
        <w:tc>
          <w:p>
            <w:pPr>
              <w:pStyle w:val="Compact"/>
              <w:jc w:val="left"/>
            </w:pPr>
            <w:r>
              <w:t xml:space="preserve">29431 (33.1)</w:t>
            </w:r>
          </w:p>
        </w:tc>
      </w:tr>
      <w:tr>
        <w:tc>
          <w:p/>
        </w:tc>
        <w:tc>
          <w:p>
            <w:pPr>
              <w:pStyle w:val="Compact"/>
              <w:jc w:val="left"/>
            </w:pPr>
            <w:r>
              <w:t xml:space="preserve">Overweight</w:t>
            </w:r>
          </w:p>
        </w:tc>
        <w:tc>
          <w:p>
            <w:pPr>
              <w:pStyle w:val="Compact"/>
              <w:jc w:val="left"/>
            </w:pPr>
            <w:r>
              <w:t xml:space="preserve">863 (39.7)</w:t>
            </w:r>
          </w:p>
        </w:tc>
        <w:tc>
          <w:p>
            <w:pPr>
              <w:pStyle w:val="Compact"/>
              <w:jc w:val="left"/>
            </w:pPr>
            <w:r>
              <w:t xml:space="preserve">37280 (43.0)</w:t>
            </w:r>
          </w:p>
        </w:tc>
        <w:tc>
          <w:p>
            <w:pPr>
              <w:pStyle w:val="Compact"/>
              <w:jc w:val="left"/>
            </w:pPr>
            <w:r>
              <w:t xml:space="preserve">38143 (42.9)</w:t>
            </w:r>
          </w:p>
        </w:tc>
      </w:tr>
      <w:tr>
        <w:tc>
          <w:p/>
        </w:tc>
        <w:tc>
          <w:p>
            <w:pPr>
              <w:pStyle w:val="Compact"/>
              <w:jc w:val="left"/>
            </w:pPr>
            <w:r>
              <w:t xml:space="preserve">Class I obesity</w:t>
            </w:r>
          </w:p>
        </w:tc>
        <w:tc>
          <w:p>
            <w:pPr>
              <w:pStyle w:val="Compact"/>
              <w:jc w:val="left"/>
            </w:pPr>
            <w:r>
              <w:t xml:space="preserve">531 (24.4)</w:t>
            </w:r>
          </w:p>
        </w:tc>
        <w:tc>
          <w:p>
            <w:pPr>
              <w:pStyle w:val="Compact"/>
              <w:jc w:val="left"/>
            </w:pPr>
            <w:r>
              <w:t xml:space="preserve">15693 (18.1)</w:t>
            </w:r>
          </w:p>
        </w:tc>
        <w:tc>
          <w:p>
            <w:pPr>
              <w:pStyle w:val="Compact"/>
              <w:jc w:val="left"/>
            </w:pPr>
            <w:r>
              <w:t xml:space="preserve">16224 (18.3)</w:t>
            </w:r>
          </w:p>
        </w:tc>
      </w:tr>
      <w:tr>
        <w:tc>
          <w:p/>
        </w:tc>
        <w:tc>
          <w:p>
            <w:pPr>
              <w:pStyle w:val="Compact"/>
              <w:jc w:val="left"/>
            </w:pPr>
            <w:r>
              <w:t xml:space="preserve">Class II-III obesity</w:t>
            </w:r>
          </w:p>
        </w:tc>
        <w:tc>
          <w:p>
            <w:pPr>
              <w:pStyle w:val="Compact"/>
              <w:jc w:val="left"/>
            </w:pPr>
            <w:r>
              <w:t xml:space="preserve">292 (13.4)</w:t>
            </w:r>
          </w:p>
        </w:tc>
        <w:tc>
          <w:p>
            <w:pPr>
              <w:pStyle w:val="Compact"/>
              <w:jc w:val="left"/>
            </w:pPr>
            <w:r>
              <w:t xml:space="preserve">4740 ( 5.5)</w:t>
            </w:r>
          </w:p>
        </w:tc>
        <w:tc>
          <w:p>
            <w:pPr>
              <w:pStyle w:val="Compact"/>
              <w:jc w:val="left"/>
            </w:pPr>
            <w:r>
              <w:t xml:space="preserve">5032 ( 5.7)</w:t>
            </w:r>
          </w:p>
        </w:tc>
      </w:tr>
      <w:tr>
        <w:tc>
          <w:p>
            <w:pPr>
              <w:pStyle w:val="Compact"/>
              <w:jc w:val="left"/>
            </w:pPr>
            <w:r>
              <w:t xml:space="preserve">ASA class (%)</w:t>
            </w:r>
          </w:p>
        </w:tc>
        <w:tc>
          <w:p/>
        </w:tc>
        <w:tc>
          <w:p/>
        </w:tc>
        <w:tc>
          <w:p/>
        </w:tc>
        <w:tc>
          <w:p/>
        </w:tc>
      </w:tr>
      <w:tr>
        <w:tc>
          <w:p/>
        </w:tc>
        <w:tc>
          <w:p>
            <w:pPr>
              <w:pStyle w:val="Compact"/>
              <w:jc w:val="left"/>
            </w:pPr>
            <w:r>
              <w:t xml:space="preserve">I</w:t>
            </w:r>
          </w:p>
        </w:tc>
        <w:tc>
          <w:p>
            <w:pPr>
              <w:pStyle w:val="Compact"/>
              <w:jc w:val="left"/>
            </w:pPr>
            <w:r>
              <w:t xml:space="preserve">302 (13.9)</w:t>
            </w:r>
          </w:p>
        </w:tc>
        <w:tc>
          <w:p>
            <w:pPr>
              <w:pStyle w:val="Compact"/>
              <w:jc w:val="left"/>
            </w:pPr>
            <w:r>
              <w:t xml:space="preserve">20785 (24.0)</w:t>
            </w:r>
          </w:p>
        </w:tc>
        <w:tc>
          <w:p>
            <w:pPr>
              <w:pStyle w:val="Compact"/>
              <w:jc w:val="left"/>
            </w:pPr>
            <w:r>
              <w:t xml:space="preserve">21087 (23.7)</w:t>
            </w:r>
          </w:p>
        </w:tc>
      </w:tr>
      <w:tr>
        <w:tc>
          <w:p/>
        </w:tc>
        <w:tc>
          <w:p>
            <w:pPr>
              <w:pStyle w:val="Compact"/>
              <w:jc w:val="left"/>
            </w:pPr>
            <w:r>
              <w:t xml:space="preserve">II</w:t>
            </w:r>
          </w:p>
        </w:tc>
        <w:tc>
          <w:p>
            <w:pPr>
              <w:pStyle w:val="Compact"/>
              <w:jc w:val="left"/>
            </w:pPr>
            <w:r>
              <w:t xml:space="preserve">1228 (56.5)</w:t>
            </w:r>
          </w:p>
        </w:tc>
        <w:tc>
          <w:p>
            <w:pPr>
              <w:pStyle w:val="Compact"/>
              <w:jc w:val="left"/>
            </w:pPr>
            <w:r>
              <w:t xml:space="preserve">51570 (59.5)</w:t>
            </w:r>
          </w:p>
        </w:tc>
        <w:tc>
          <w:p>
            <w:pPr>
              <w:pStyle w:val="Compact"/>
              <w:jc w:val="left"/>
            </w:pPr>
            <w:r>
              <w:t xml:space="preserve">52798 (59.4)</w:t>
            </w:r>
          </w:p>
        </w:tc>
      </w:tr>
      <w:tr>
        <w:tc>
          <w:p/>
        </w:tc>
        <w:tc>
          <w:p>
            <w:pPr>
              <w:pStyle w:val="Compact"/>
              <w:jc w:val="left"/>
            </w:pPr>
            <w:r>
              <w:t xml:space="preserve">III</w:t>
            </w:r>
          </w:p>
        </w:tc>
        <w:tc>
          <w:p>
            <w:pPr>
              <w:pStyle w:val="Compact"/>
              <w:jc w:val="left"/>
            </w:pPr>
            <w:r>
              <w:t xml:space="preserve">643 (29.6)</w:t>
            </w:r>
          </w:p>
        </w:tc>
        <w:tc>
          <w:p>
            <w:pPr>
              <w:pStyle w:val="Compact"/>
              <w:jc w:val="left"/>
            </w:pPr>
            <w:r>
              <w:t xml:space="preserve">14302 (16.5)</w:t>
            </w:r>
          </w:p>
        </w:tc>
        <w:tc>
          <w:p>
            <w:pPr>
              <w:pStyle w:val="Compact"/>
              <w:jc w:val="left"/>
            </w:pPr>
            <w:r>
              <w:t xml:space="preserve">14945 (16.8)</w:t>
            </w:r>
          </w:p>
        </w:tc>
      </w:tr>
      <w:tr>
        <w:tc>
          <w:p>
            <w:pPr>
              <w:pStyle w:val="Compact"/>
              <w:jc w:val="left"/>
            </w:pPr>
            <w:r>
              <w:t xml:space="preserve">Diagnosis (%)</w:t>
            </w:r>
          </w:p>
        </w:tc>
        <w:tc>
          <w:p/>
        </w:tc>
        <w:tc>
          <w:p/>
        </w:tc>
        <w:tc>
          <w:p/>
        </w:tc>
        <w:tc>
          <w:p/>
        </w:tc>
      </w:tr>
      <w:tr>
        <w:tc>
          <w:p/>
        </w:tc>
        <w:tc>
          <w:p>
            <w:pPr>
              <w:pStyle w:val="Compact"/>
              <w:jc w:val="left"/>
            </w:pPr>
            <w:r>
              <w:t xml:space="preserve">Primary osteoarthritis</w:t>
            </w:r>
          </w:p>
        </w:tc>
        <w:tc>
          <w:p>
            <w:pPr>
              <w:pStyle w:val="Compact"/>
              <w:jc w:val="left"/>
            </w:pPr>
            <w:r>
              <w:t xml:space="preserve">1766 (81.3)</w:t>
            </w:r>
          </w:p>
        </w:tc>
        <w:tc>
          <w:p>
            <w:pPr>
              <w:pStyle w:val="Compact"/>
              <w:jc w:val="left"/>
            </w:pPr>
            <w:r>
              <w:t xml:space="preserve">76812 (88.6)</w:t>
            </w:r>
          </w:p>
        </w:tc>
        <w:tc>
          <w:p>
            <w:pPr>
              <w:pStyle w:val="Compact"/>
              <w:jc w:val="left"/>
            </w:pPr>
            <w:r>
              <w:t xml:space="preserve">78578 (88.5)</w:t>
            </w:r>
          </w:p>
        </w:tc>
      </w:tr>
      <w:tr>
        <w:tc>
          <w:p/>
        </w:tc>
        <w:tc>
          <w:p>
            <w:pPr>
              <w:pStyle w:val="Compact"/>
              <w:jc w:val="left"/>
            </w:pPr>
            <w:r>
              <w:t xml:space="preserve">Secondary osteoarthritis</w:t>
            </w:r>
          </w:p>
        </w:tc>
        <w:tc>
          <w:p>
            <w:pPr>
              <w:pStyle w:val="Compact"/>
              <w:jc w:val="left"/>
            </w:pPr>
            <w:r>
              <w:t xml:space="preserve">232 (10.7)</w:t>
            </w:r>
          </w:p>
        </w:tc>
        <w:tc>
          <w:p>
            <w:pPr>
              <w:pStyle w:val="Compact"/>
              <w:jc w:val="left"/>
            </w:pPr>
            <w:r>
              <w:t xml:space="preserve">5039 ( 5.8)</w:t>
            </w:r>
          </w:p>
        </w:tc>
        <w:tc>
          <w:p>
            <w:pPr>
              <w:pStyle w:val="Compact"/>
              <w:jc w:val="left"/>
            </w:pPr>
            <w:r>
              <w:t xml:space="preserve">5271 ( 5.9)</w:t>
            </w:r>
          </w:p>
        </w:tc>
      </w:tr>
      <w:tr>
        <w:tc>
          <w:p/>
        </w:tc>
        <w:tc>
          <w:p>
            <w:pPr>
              <w:pStyle w:val="Compact"/>
              <w:jc w:val="left"/>
            </w:pPr>
            <w:r>
              <w:t xml:space="preserve">Sequelae after childhood hip disease</w:t>
            </w:r>
          </w:p>
        </w:tc>
        <w:tc>
          <w:p>
            <w:pPr>
              <w:pStyle w:val="Compact"/>
              <w:jc w:val="left"/>
            </w:pPr>
            <w:r>
              <w:t xml:space="preserve">41 ( 1.9)</w:t>
            </w:r>
          </w:p>
        </w:tc>
        <w:tc>
          <w:p>
            <w:pPr>
              <w:pStyle w:val="Compact"/>
              <w:jc w:val="left"/>
            </w:pPr>
            <w:r>
              <w:t xml:space="preserve">1821 ( 2.1)</w:t>
            </w:r>
          </w:p>
        </w:tc>
        <w:tc>
          <w:p>
            <w:pPr>
              <w:pStyle w:val="Compact"/>
              <w:jc w:val="left"/>
            </w:pPr>
            <w:r>
              <w:t xml:space="preserve">1862 ( 2.1)</w:t>
            </w:r>
          </w:p>
        </w:tc>
      </w:tr>
      <w:tr>
        <w:tc>
          <w:p/>
        </w:tc>
        <w:tc>
          <w:p>
            <w:pPr>
              <w:pStyle w:val="Compact"/>
              <w:jc w:val="left"/>
            </w:pPr>
            <w:r>
              <w:t xml:space="preserve">Avascular necrosis of the femoral head (AVN)</w:t>
            </w:r>
          </w:p>
        </w:tc>
        <w:tc>
          <w:p>
            <w:pPr>
              <w:pStyle w:val="Compact"/>
              <w:jc w:val="left"/>
            </w:pPr>
            <w:r>
              <w:t xml:space="preserve">77 ( 3.5)</w:t>
            </w:r>
          </w:p>
        </w:tc>
        <w:tc>
          <w:p>
            <w:pPr>
              <w:pStyle w:val="Compact"/>
              <w:jc w:val="left"/>
            </w:pPr>
            <w:r>
              <w:t xml:space="preserve">1818 ( 2.1)</w:t>
            </w:r>
          </w:p>
        </w:tc>
        <w:tc>
          <w:p>
            <w:pPr>
              <w:pStyle w:val="Compact"/>
              <w:jc w:val="left"/>
            </w:pPr>
            <w:r>
              <w:t xml:space="preserve">1895 ( 2.1)</w:t>
            </w:r>
          </w:p>
        </w:tc>
      </w:tr>
      <w:tr>
        <w:tc>
          <w:p/>
        </w:tc>
        <w:tc>
          <w:p>
            <w:pPr>
              <w:pStyle w:val="Compact"/>
              <w:jc w:val="left"/>
            </w:pPr>
            <w:r>
              <w:t xml:space="preserve">Inflammatory joint disease</w:t>
            </w:r>
          </w:p>
        </w:tc>
        <w:tc>
          <w:p>
            <w:pPr>
              <w:pStyle w:val="Compact"/>
              <w:jc w:val="left"/>
            </w:pPr>
            <w:r>
              <w:t xml:space="preserve">57 ( 2.6)</w:t>
            </w:r>
          </w:p>
        </w:tc>
        <w:tc>
          <w:p>
            <w:pPr>
              <w:pStyle w:val="Compact"/>
              <w:jc w:val="left"/>
            </w:pPr>
            <w:r>
              <w:t xml:space="preserve">1167 ( 1.3)</w:t>
            </w:r>
          </w:p>
        </w:tc>
        <w:tc>
          <w:p>
            <w:pPr>
              <w:pStyle w:val="Compact"/>
              <w:jc w:val="left"/>
            </w:pPr>
            <w:r>
              <w:t xml:space="preserve">1224 ( 1.4)</w:t>
            </w:r>
          </w:p>
        </w:tc>
      </w:tr>
      <w:tr>
        <w:tc>
          <w:p>
            <w:pPr>
              <w:pStyle w:val="Compact"/>
              <w:jc w:val="left"/>
            </w:pPr>
            <w:r>
              <w:t xml:space="preserve">Cemented stem (%)</w:t>
            </w:r>
          </w:p>
        </w:tc>
        <w:tc>
          <w:p/>
        </w:tc>
        <w:tc>
          <w:p>
            <w:pPr>
              <w:pStyle w:val="Compact"/>
              <w:jc w:val="left"/>
            </w:pPr>
            <w:r>
              <w:t xml:space="preserve">1600 (73.6)</w:t>
            </w:r>
          </w:p>
        </w:tc>
        <w:tc>
          <w:p>
            <w:pPr>
              <w:pStyle w:val="Compact"/>
              <w:jc w:val="left"/>
            </w:pPr>
            <w:r>
              <w:t xml:space="preserve">59777 (69.0)</w:t>
            </w:r>
          </w:p>
        </w:tc>
        <w:tc>
          <w:p>
            <w:pPr>
              <w:pStyle w:val="Compact"/>
              <w:jc w:val="left"/>
            </w:pPr>
            <w:r>
              <w:t xml:space="preserve">61377 (69.1)</w:t>
            </w:r>
          </w:p>
        </w:tc>
      </w:tr>
      <w:tr>
        <w:tc>
          <w:p>
            <w:pPr>
              <w:pStyle w:val="Compact"/>
              <w:jc w:val="left"/>
            </w:pPr>
            <w:r>
              <w:t xml:space="preserve">Cemented cup (%)</w:t>
            </w:r>
          </w:p>
        </w:tc>
        <w:tc>
          <w:p/>
        </w:tc>
        <w:tc>
          <w:p>
            <w:pPr>
              <w:pStyle w:val="Compact"/>
              <w:jc w:val="left"/>
            </w:pPr>
            <w:r>
              <w:t xml:space="preserve">1739 (80.0)</w:t>
            </w:r>
          </w:p>
        </w:tc>
        <w:tc>
          <w:p>
            <w:pPr>
              <w:pStyle w:val="Compact"/>
              <w:jc w:val="left"/>
            </w:pPr>
            <w:r>
              <w:t xml:space="preserve">68147 (78.6)</w:t>
            </w:r>
          </w:p>
        </w:tc>
        <w:tc>
          <w:p>
            <w:pPr>
              <w:pStyle w:val="Compact"/>
              <w:jc w:val="left"/>
            </w:pPr>
            <w:r>
              <w:t xml:space="preserve">69886 (78.7)</w:t>
            </w:r>
          </w:p>
        </w:tc>
      </w:tr>
      <w:tr>
        <w:tc>
          <w:p>
            <w:pPr>
              <w:pStyle w:val="Compact"/>
              <w:jc w:val="left"/>
            </w:pPr>
            <w:r>
              <w:t xml:space="preserve">Hospital (%)</w:t>
            </w:r>
          </w:p>
        </w:tc>
        <w:tc>
          <w:p/>
        </w:tc>
        <w:tc>
          <w:p/>
        </w:tc>
        <w:tc>
          <w:p/>
        </w:tc>
        <w:tc>
          <w:p/>
        </w:tc>
      </w:tr>
      <w:tr>
        <w:tc>
          <w:p/>
        </w:tc>
        <w:tc>
          <w:p>
            <w:pPr>
              <w:pStyle w:val="Compact"/>
              <w:jc w:val="left"/>
            </w:pPr>
            <w:r>
              <w:t xml:space="preserve">University</w:t>
            </w:r>
          </w:p>
        </w:tc>
        <w:tc>
          <w:p>
            <w:pPr>
              <w:pStyle w:val="Compact"/>
              <w:jc w:val="left"/>
            </w:pPr>
            <w:r>
              <w:t xml:space="preserve">776 (35.7)</w:t>
            </w:r>
          </w:p>
        </w:tc>
        <w:tc>
          <w:p>
            <w:pPr>
              <w:pStyle w:val="Compact"/>
              <w:jc w:val="left"/>
            </w:pPr>
            <w:r>
              <w:t xml:space="preserve">33162 (38.3)</w:t>
            </w:r>
          </w:p>
        </w:tc>
        <w:tc>
          <w:p>
            <w:pPr>
              <w:pStyle w:val="Compact"/>
              <w:jc w:val="left"/>
            </w:pPr>
            <w:r>
              <w:t xml:space="preserve">33938 (38.2)</w:t>
            </w:r>
          </w:p>
        </w:tc>
      </w:tr>
      <w:tr>
        <w:tc>
          <w:p/>
        </w:tc>
        <w:tc>
          <w:p>
            <w:pPr>
              <w:pStyle w:val="Compact"/>
              <w:jc w:val="left"/>
            </w:pPr>
            <w:r>
              <w:t xml:space="preserve">County</w:t>
            </w:r>
          </w:p>
        </w:tc>
        <w:tc>
          <w:p>
            <w:pPr>
              <w:pStyle w:val="Compact"/>
              <w:jc w:val="left"/>
            </w:pPr>
            <w:r>
              <w:t xml:space="preserve">851 (39.2)</w:t>
            </w:r>
          </w:p>
        </w:tc>
        <w:tc>
          <w:p>
            <w:pPr>
              <w:pStyle w:val="Compact"/>
              <w:jc w:val="left"/>
            </w:pPr>
            <w:r>
              <w:t xml:space="preserve">28369 (32.7)</w:t>
            </w:r>
          </w:p>
        </w:tc>
        <w:tc>
          <w:p>
            <w:pPr>
              <w:pStyle w:val="Compact"/>
              <w:jc w:val="left"/>
            </w:pPr>
            <w:r>
              <w:t xml:space="preserve">29220 (32.9)</w:t>
            </w:r>
          </w:p>
        </w:tc>
      </w:tr>
      <w:tr>
        <w:tc>
          <w:p/>
        </w:tc>
        <w:tc>
          <w:p>
            <w:pPr>
              <w:pStyle w:val="Compact"/>
              <w:jc w:val="left"/>
            </w:pPr>
            <w:r>
              <w:t xml:space="preserve">Rural</w:t>
            </w:r>
          </w:p>
        </w:tc>
        <w:tc>
          <w:p>
            <w:pPr>
              <w:pStyle w:val="Compact"/>
              <w:jc w:val="left"/>
            </w:pPr>
            <w:r>
              <w:t xml:space="preserve">319 (14.7)</w:t>
            </w:r>
          </w:p>
        </w:tc>
        <w:tc>
          <w:p>
            <w:pPr>
              <w:pStyle w:val="Compact"/>
              <w:jc w:val="left"/>
            </w:pPr>
            <w:r>
              <w:t xml:space="preserve">17406 (20.1)</w:t>
            </w:r>
          </w:p>
        </w:tc>
        <w:tc>
          <w:p>
            <w:pPr>
              <w:pStyle w:val="Compact"/>
              <w:jc w:val="left"/>
            </w:pPr>
            <w:r>
              <w:t xml:space="preserve">17725 (20.0)</w:t>
            </w:r>
          </w:p>
        </w:tc>
      </w:tr>
      <w:tr>
        <w:tc>
          <w:p/>
        </w:tc>
        <w:tc>
          <w:p>
            <w:pPr>
              <w:pStyle w:val="Compact"/>
              <w:jc w:val="left"/>
            </w:pPr>
            <w:r>
              <w:t xml:space="preserve">Private</w:t>
            </w:r>
          </w:p>
        </w:tc>
        <w:tc>
          <w:p>
            <w:pPr>
              <w:pStyle w:val="Compact"/>
              <w:jc w:val="left"/>
            </w:pPr>
            <w:r>
              <w:t xml:space="preserve">227 (10.4)</w:t>
            </w:r>
          </w:p>
        </w:tc>
        <w:tc>
          <w:p>
            <w:pPr>
              <w:pStyle w:val="Compact"/>
              <w:jc w:val="left"/>
            </w:pPr>
            <w:r>
              <w:t xml:space="preserve">7720 ( 8.9)</w:t>
            </w:r>
          </w:p>
        </w:tc>
        <w:tc>
          <w:p>
            <w:pPr>
              <w:pStyle w:val="Compact"/>
              <w:jc w:val="left"/>
            </w:pPr>
            <w:r>
              <w:t xml:space="preserve">7947 ( 8.9)</w:t>
            </w:r>
          </w:p>
        </w:tc>
      </w:tr>
      <w:tr>
        <w:tc>
          <w:p>
            <w:pPr>
              <w:pStyle w:val="Compact"/>
              <w:jc w:val="left"/>
            </w:pPr>
            <w:r>
              <w:t xml:space="preserve">Education (%)</w:t>
            </w:r>
          </w:p>
        </w:tc>
        <w:tc>
          <w:p/>
        </w:tc>
        <w:tc>
          <w:p/>
        </w:tc>
        <w:tc>
          <w:p/>
        </w:tc>
        <w:tc>
          <w:p/>
        </w:tc>
      </w:tr>
      <w:tr>
        <w:tc>
          <w:p/>
        </w:tc>
        <w:tc>
          <w:p>
            <w:pPr>
              <w:pStyle w:val="Compact"/>
              <w:jc w:val="left"/>
            </w:pPr>
            <w:r>
              <w:t xml:space="preserve">Low</w:t>
            </w:r>
          </w:p>
        </w:tc>
        <w:tc>
          <w:p>
            <w:pPr>
              <w:pStyle w:val="Compact"/>
              <w:jc w:val="left"/>
            </w:pPr>
            <w:r>
              <w:t xml:space="preserve">453 (20.8)</w:t>
            </w:r>
          </w:p>
        </w:tc>
        <w:tc>
          <w:p>
            <w:pPr>
              <w:pStyle w:val="Compact"/>
              <w:jc w:val="left"/>
            </w:pPr>
            <w:r>
              <w:t xml:space="preserve">22207 (25.6)</w:t>
            </w:r>
          </w:p>
        </w:tc>
        <w:tc>
          <w:p>
            <w:pPr>
              <w:pStyle w:val="Compact"/>
              <w:jc w:val="left"/>
            </w:pPr>
            <w:r>
              <w:t xml:space="preserve">22660 (25.5)</w:t>
            </w:r>
          </w:p>
        </w:tc>
      </w:tr>
      <w:tr>
        <w:tc>
          <w:p/>
        </w:tc>
        <w:tc>
          <w:p>
            <w:pPr>
              <w:pStyle w:val="Compact"/>
              <w:jc w:val="left"/>
            </w:pPr>
            <w:r>
              <w:t xml:space="preserve">Middle</w:t>
            </w:r>
          </w:p>
        </w:tc>
        <w:tc>
          <w:p>
            <w:pPr>
              <w:pStyle w:val="Compact"/>
              <w:jc w:val="left"/>
            </w:pPr>
            <w:r>
              <w:t xml:space="preserve">814 (37.5)</w:t>
            </w:r>
          </w:p>
        </w:tc>
        <w:tc>
          <w:p>
            <w:pPr>
              <w:pStyle w:val="Compact"/>
              <w:jc w:val="left"/>
            </w:pPr>
            <w:r>
              <w:t xml:space="preserve">28509 (32.9)</w:t>
            </w:r>
          </w:p>
        </w:tc>
        <w:tc>
          <w:p>
            <w:pPr>
              <w:pStyle w:val="Compact"/>
              <w:jc w:val="left"/>
            </w:pPr>
            <w:r>
              <w:t xml:space="preserve">29323 (33.0)</w:t>
            </w:r>
          </w:p>
        </w:tc>
      </w:tr>
      <w:tr>
        <w:tc>
          <w:p/>
        </w:tc>
        <w:tc>
          <w:p>
            <w:pPr>
              <w:pStyle w:val="Compact"/>
              <w:jc w:val="left"/>
            </w:pPr>
            <w:r>
              <w:t xml:space="preserve">High</w:t>
            </w:r>
          </w:p>
        </w:tc>
        <w:tc>
          <w:p>
            <w:pPr>
              <w:pStyle w:val="Compact"/>
              <w:jc w:val="left"/>
            </w:pPr>
            <w:r>
              <w:t xml:space="preserve">906 (41.7)</w:t>
            </w:r>
          </w:p>
        </w:tc>
        <w:tc>
          <w:p>
            <w:pPr>
              <w:pStyle w:val="Compact"/>
              <w:jc w:val="left"/>
            </w:pPr>
            <w:r>
              <w:t xml:space="preserve">35941 (41.5)</w:t>
            </w:r>
          </w:p>
        </w:tc>
        <w:tc>
          <w:p>
            <w:pPr>
              <w:pStyle w:val="Compact"/>
              <w:jc w:val="left"/>
            </w:pPr>
            <w:r>
              <w:t xml:space="preserve">36847 (41.5)</w:t>
            </w:r>
          </w:p>
        </w:tc>
      </w:tr>
      <w:tr>
        <w:tc>
          <w:p>
            <w:pPr>
              <w:pStyle w:val="Compact"/>
              <w:jc w:val="left"/>
            </w:pPr>
            <w:r>
              <w:t xml:space="preserve">Civil status (%)</w:t>
            </w:r>
          </w:p>
        </w:tc>
        <w:tc>
          <w:p/>
        </w:tc>
        <w:tc>
          <w:p/>
        </w:tc>
        <w:tc>
          <w:p/>
        </w:tc>
        <w:tc>
          <w:p/>
        </w:tc>
      </w:tr>
      <w:tr>
        <w:tc>
          <w:p/>
        </w:tc>
        <w:tc>
          <w:p>
            <w:pPr>
              <w:pStyle w:val="Compact"/>
              <w:jc w:val="left"/>
            </w:pPr>
            <w:r>
              <w:t xml:space="preserve">Married</w:t>
            </w:r>
          </w:p>
        </w:tc>
        <w:tc>
          <w:p>
            <w:pPr>
              <w:pStyle w:val="Compact"/>
              <w:jc w:val="left"/>
            </w:pPr>
            <w:r>
              <w:t xml:space="preserve">1134 (52.2)</w:t>
            </w:r>
          </w:p>
        </w:tc>
        <w:tc>
          <w:p>
            <w:pPr>
              <w:pStyle w:val="Compact"/>
              <w:jc w:val="left"/>
            </w:pPr>
            <w:r>
              <w:t xml:space="preserve">47999 (55.4)</w:t>
            </w:r>
          </w:p>
        </w:tc>
        <w:tc>
          <w:p>
            <w:pPr>
              <w:pStyle w:val="Compact"/>
              <w:jc w:val="left"/>
            </w:pPr>
            <w:r>
              <w:t xml:space="preserve">49133 (55.3)</w:t>
            </w:r>
          </w:p>
        </w:tc>
      </w:tr>
      <w:tr>
        <w:tc>
          <w:p/>
        </w:tc>
        <w:tc>
          <w:p>
            <w:pPr>
              <w:pStyle w:val="Compact"/>
              <w:jc w:val="left"/>
            </w:pPr>
            <w:r>
              <w:t xml:space="preserve">Single</w:t>
            </w:r>
          </w:p>
        </w:tc>
        <w:tc>
          <w:p>
            <w:pPr>
              <w:pStyle w:val="Compact"/>
              <w:jc w:val="left"/>
            </w:pPr>
            <w:r>
              <w:t xml:space="preserve">647 (29.8)</w:t>
            </w:r>
          </w:p>
        </w:tc>
        <w:tc>
          <w:p>
            <w:pPr>
              <w:pStyle w:val="Compact"/>
              <w:jc w:val="left"/>
            </w:pPr>
            <w:r>
              <w:t xml:space="preserve">25283 (29.2)</w:t>
            </w:r>
          </w:p>
        </w:tc>
        <w:tc>
          <w:p>
            <w:pPr>
              <w:pStyle w:val="Compact"/>
              <w:jc w:val="left"/>
            </w:pPr>
            <w:r>
              <w:t xml:space="preserve">25930 (29.2)</w:t>
            </w:r>
          </w:p>
        </w:tc>
      </w:tr>
      <w:tr>
        <w:tc>
          <w:p/>
        </w:tc>
        <w:tc>
          <w:p>
            <w:pPr>
              <w:pStyle w:val="Compact"/>
              <w:jc w:val="left"/>
            </w:pPr>
            <w:r>
              <w:t xml:space="preserve">Widow/widower</w:t>
            </w:r>
          </w:p>
        </w:tc>
        <w:tc>
          <w:p>
            <w:pPr>
              <w:pStyle w:val="Compact"/>
              <w:jc w:val="left"/>
            </w:pPr>
            <w:r>
              <w:t xml:space="preserve">392 (18.0)</w:t>
            </w:r>
          </w:p>
        </w:tc>
        <w:tc>
          <w:p>
            <w:pPr>
              <w:pStyle w:val="Compact"/>
              <w:jc w:val="left"/>
            </w:pPr>
            <w:r>
              <w:t xml:space="preserve">13375 (15.4)</w:t>
            </w:r>
          </w:p>
        </w:tc>
        <w:tc>
          <w:p>
            <w:pPr>
              <w:pStyle w:val="Compact"/>
              <w:jc w:val="left"/>
            </w:pPr>
            <w:r>
              <w:t xml:space="preserve">13767 (15.5)</w:t>
            </w:r>
          </w:p>
        </w:tc>
      </w:tr>
      <w:tr>
        <w:tc>
          <w:p>
            <w:pPr>
              <w:pStyle w:val="Compact"/>
              <w:jc w:val="left"/>
            </w:pPr>
            <w:r>
              <w:t xml:space="preserve">Charlson (%)</w:t>
            </w:r>
          </w:p>
        </w:tc>
        <w:tc>
          <w:p/>
        </w:tc>
        <w:tc>
          <w:p/>
        </w:tc>
        <w:tc>
          <w:p/>
        </w:tc>
        <w:tc>
          <w:p/>
        </w:tc>
      </w:tr>
      <w:tr>
        <w:tc>
          <w:p/>
        </w:tc>
        <w:tc>
          <w:p>
            <w:pPr>
              <w:pStyle w:val="Compact"/>
              <w:jc w:val="left"/>
            </w:pPr>
            <w:r>
              <w:t xml:space="preserve">0</w:t>
            </w:r>
          </w:p>
        </w:tc>
        <w:tc>
          <w:p>
            <w:pPr>
              <w:pStyle w:val="Compact"/>
              <w:jc w:val="left"/>
            </w:pPr>
            <w:r>
              <w:t xml:space="preserve">1413 (65.0)</w:t>
            </w:r>
          </w:p>
        </w:tc>
        <w:tc>
          <w:p>
            <w:pPr>
              <w:pStyle w:val="Compact"/>
              <w:jc w:val="left"/>
            </w:pPr>
            <w:r>
              <w:t xml:space="preserve">66024 (76.2)</w:t>
            </w:r>
          </w:p>
        </w:tc>
        <w:tc>
          <w:p>
            <w:pPr>
              <w:pStyle w:val="Compact"/>
              <w:jc w:val="left"/>
            </w:pPr>
            <w:r>
              <w:t xml:space="preserve">67437 (75.9)</w:t>
            </w:r>
          </w:p>
        </w:tc>
      </w:tr>
      <w:tr>
        <w:tc>
          <w:p/>
        </w:tc>
        <w:tc>
          <w:p>
            <w:pPr>
              <w:pStyle w:val="Compact"/>
              <w:jc w:val="left"/>
            </w:pPr>
            <w:r>
              <w:t xml:space="preserve">1</w:t>
            </w:r>
          </w:p>
        </w:tc>
        <w:tc>
          <w:p>
            <w:pPr>
              <w:pStyle w:val="Compact"/>
              <w:jc w:val="left"/>
            </w:pPr>
            <w:r>
              <w:t xml:space="preserve">423 (19.5)</w:t>
            </w:r>
          </w:p>
        </w:tc>
        <w:tc>
          <w:p>
            <w:pPr>
              <w:pStyle w:val="Compact"/>
              <w:jc w:val="left"/>
            </w:pPr>
            <w:r>
              <w:t xml:space="preserve">12281 (14.2)</w:t>
            </w:r>
          </w:p>
        </w:tc>
        <w:tc>
          <w:p>
            <w:pPr>
              <w:pStyle w:val="Compact"/>
              <w:jc w:val="left"/>
            </w:pPr>
            <w:r>
              <w:t xml:space="preserve">12704 (14.3)</w:t>
            </w:r>
          </w:p>
        </w:tc>
      </w:tr>
      <w:tr>
        <w:tc>
          <w:p/>
        </w:tc>
        <w:tc>
          <w:p>
            <w:pPr>
              <w:pStyle w:val="Compact"/>
              <w:jc w:val="left"/>
            </w:pPr>
            <w:r>
              <w:t xml:space="preserve">2</w:t>
            </w:r>
          </w:p>
        </w:tc>
        <w:tc>
          <w:p>
            <w:pPr>
              <w:pStyle w:val="Compact"/>
              <w:jc w:val="left"/>
            </w:pPr>
            <w:r>
              <w:t xml:space="preserve">189 ( 8.7)</w:t>
            </w:r>
          </w:p>
        </w:tc>
        <w:tc>
          <w:p>
            <w:pPr>
              <w:pStyle w:val="Compact"/>
              <w:jc w:val="left"/>
            </w:pPr>
            <w:r>
              <w:t xml:space="preserve">5465 ( 6.3)</w:t>
            </w:r>
          </w:p>
        </w:tc>
        <w:tc>
          <w:p>
            <w:pPr>
              <w:pStyle w:val="Compact"/>
              <w:jc w:val="left"/>
            </w:pPr>
            <w:r>
              <w:t xml:space="preserve">5654 ( 6.4)</w:t>
            </w:r>
          </w:p>
        </w:tc>
      </w:tr>
      <w:tr>
        <w:tc>
          <w:p/>
        </w:tc>
        <w:tc>
          <w:p>
            <w:pPr>
              <w:pStyle w:val="Compact"/>
              <w:jc w:val="left"/>
            </w:pPr>
            <w:r>
              <w:t xml:space="preserve">3</w:t>
            </w:r>
          </w:p>
        </w:tc>
        <w:tc>
          <w:p>
            <w:pPr>
              <w:pStyle w:val="Compact"/>
              <w:jc w:val="left"/>
            </w:pPr>
            <w:r>
              <w:t xml:space="preserve">82 ( 3.8)</w:t>
            </w:r>
          </w:p>
        </w:tc>
        <w:tc>
          <w:p>
            <w:pPr>
              <w:pStyle w:val="Compact"/>
              <w:jc w:val="left"/>
            </w:pPr>
            <w:r>
              <w:t xml:space="preserve">1694 ( 2.0)</w:t>
            </w:r>
          </w:p>
        </w:tc>
        <w:tc>
          <w:p>
            <w:pPr>
              <w:pStyle w:val="Compact"/>
              <w:jc w:val="left"/>
            </w:pPr>
            <w:r>
              <w:t xml:space="preserve">1776 ( 2.0)</w:t>
            </w:r>
          </w:p>
        </w:tc>
      </w:tr>
      <w:tr>
        <w:tc>
          <w:p/>
        </w:tc>
        <w:tc>
          <w:p>
            <w:pPr>
              <w:pStyle w:val="Compact"/>
              <w:jc w:val="left"/>
            </w:pPr>
            <w:r>
              <w:t xml:space="preserve">4+</w:t>
            </w:r>
          </w:p>
        </w:tc>
        <w:tc>
          <w:p>
            <w:pPr>
              <w:pStyle w:val="Compact"/>
              <w:jc w:val="left"/>
            </w:pPr>
            <w:r>
              <w:t xml:space="preserve">66 ( 3.0)</w:t>
            </w:r>
          </w:p>
        </w:tc>
        <w:tc>
          <w:p>
            <w:pPr>
              <w:pStyle w:val="Compact"/>
              <w:jc w:val="left"/>
            </w:pPr>
            <w:r>
              <w:t xml:space="preserve">1193 ( 1.4)</w:t>
            </w:r>
          </w:p>
        </w:tc>
        <w:tc>
          <w:p>
            <w:pPr>
              <w:pStyle w:val="Compact"/>
              <w:jc w:val="left"/>
            </w:pPr>
            <w:r>
              <w:t xml:space="preserve">1259 ( 1.4)</w:t>
            </w:r>
          </w:p>
        </w:tc>
      </w:tr>
      <w:tr>
        <w:tc>
          <w:p>
            <w:pPr>
              <w:pStyle w:val="Compact"/>
              <w:jc w:val="left"/>
            </w:pPr>
            <w:r>
              <w:t xml:space="preserve">Elixhauser (%)</w:t>
            </w:r>
          </w:p>
        </w:tc>
        <w:tc>
          <w:p/>
        </w:tc>
        <w:tc>
          <w:p/>
        </w:tc>
        <w:tc>
          <w:p/>
        </w:tc>
        <w:tc>
          <w:p/>
        </w:tc>
      </w:tr>
      <w:tr>
        <w:tc>
          <w:p/>
        </w:tc>
        <w:tc>
          <w:p>
            <w:pPr>
              <w:pStyle w:val="Compact"/>
              <w:jc w:val="left"/>
            </w:pPr>
            <w:r>
              <w:t xml:space="preserve">0</w:t>
            </w:r>
          </w:p>
        </w:tc>
        <w:tc>
          <w:p>
            <w:pPr>
              <w:pStyle w:val="Compact"/>
              <w:jc w:val="left"/>
            </w:pPr>
            <w:r>
              <w:t xml:space="preserve">946 (43.5)</w:t>
            </w:r>
          </w:p>
        </w:tc>
        <w:tc>
          <w:p>
            <w:pPr>
              <w:pStyle w:val="Compact"/>
              <w:jc w:val="left"/>
            </w:pPr>
            <w:r>
              <w:t xml:space="preserve">49267 (56.9)</w:t>
            </w:r>
          </w:p>
        </w:tc>
        <w:tc>
          <w:p>
            <w:pPr>
              <w:pStyle w:val="Compact"/>
              <w:jc w:val="left"/>
            </w:pPr>
            <w:r>
              <w:t xml:space="preserve">50213 (56.5)</w:t>
            </w:r>
          </w:p>
        </w:tc>
      </w:tr>
      <w:tr>
        <w:tc>
          <w:p/>
        </w:tc>
        <w:tc>
          <w:p>
            <w:pPr>
              <w:pStyle w:val="Compact"/>
              <w:jc w:val="left"/>
            </w:pPr>
            <w:r>
              <w:t xml:space="preserve">1</w:t>
            </w:r>
          </w:p>
        </w:tc>
        <w:tc>
          <w:p>
            <w:pPr>
              <w:pStyle w:val="Compact"/>
              <w:jc w:val="left"/>
            </w:pPr>
            <w:r>
              <w:t xml:space="preserve">539 (24.8)</w:t>
            </w:r>
          </w:p>
        </w:tc>
        <w:tc>
          <w:p>
            <w:pPr>
              <w:pStyle w:val="Compact"/>
              <w:jc w:val="left"/>
            </w:pPr>
            <w:r>
              <w:t xml:space="preserve">20809 (24.0)</w:t>
            </w:r>
          </w:p>
        </w:tc>
        <w:tc>
          <w:p>
            <w:pPr>
              <w:pStyle w:val="Compact"/>
              <w:jc w:val="left"/>
            </w:pPr>
            <w:r>
              <w:t xml:space="preserve">21348 (24.0)</w:t>
            </w:r>
          </w:p>
        </w:tc>
      </w:tr>
      <w:tr>
        <w:tc>
          <w:p/>
        </w:tc>
        <w:tc>
          <w:p>
            <w:pPr>
              <w:pStyle w:val="Compact"/>
              <w:jc w:val="left"/>
            </w:pPr>
            <w:r>
              <w:t xml:space="preserve">2</w:t>
            </w:r>
          </w:p>
        </w:tc>
        <w:tc>
          <w:p>
            <w:pPr>
              <w:pStyle w:val="Compact"/>
              <w:jc w:val="left"/>
            </w:pPr>
            <w:r>
              <w:t xml:space="preserve">372 (17.1)</w:t>
            </w:r>
          </w:p>
        </w:tc>
        <w:tc>
          <w:p>
            <w:pPr>
              <w:pStyle w:val="Compact"/>
              <w:jc w:val="left"/>
            </w:pPr>
            <w:r>
              <w:t xml:space="preserve">10362 (12.0)</w:t>
            </w:r>
          </w:p>
        </w:tc>
        <w:tc>
          <w:p>
            <w:pPr>
              <w:pStyle w:val="Compact"/>
              <w:jc w:val="left"/>
            </w:pPr>
            <w:r>
              <w:t xml:space="preserve">10734 (12.1)</w:t>
            </w:r>
          </w:p>
        </w:tc>
      </w:tr>
      <w:tr>
        <w:tc>
          <w:p/>
        </w:tc>
        <w:tc>
          <w:p>
            <w:pPr>
              <w:pStyle w:val="Compact"/>
              <w:jc w:val="left"/>
            </w:pPr>
            <w:r>
              <w:t xml:space="preserve">3+</w:t>
            </w:r>
          </w:p>
        </w:tc>
        <w:tc>
          <w:p>
            <w:pPr>
              <w:pStyle w:val="Compact"/>
              <w:jc w:val="left"/>
            </w:pPr>
            <w:r>
              <w:t xml:space="preserve">316 (14.5)</w:t>
            </w:r>
          </w:p>
        </w:tc>
        <w:tc>
          <w:p>
            <w:pPr>
              <w:pStyle w:val="Compact"/>
              <w:jc w:val="left"/>
            </w:pPr>
            <w:r>
              <w:t xml:space="preserve">6219 ( 7.2)</w:t>
            </w:r>
          </w:p>
        </w:tc>
        <w:tc>
          <w:p>
            <w:pPr>
              <w:pStyle w:val="Compact"/>
              <w:jc w:val="left"/>
            </w:pPr>
            <w:r>
              <w:t xml:space="preserve">6535 ( 7.4)</w:t>
            </w:r>
          </w:p>
        </w:tc>
      </w:tr>
      <w:tr>
        <w:tc>
          <w:p>
            <w:pPr>
              <w:pStyle w:val="Compact"/>
              <w:jc w:val="left"/>
            </w:pPr>
            <w:r>
              <w:t xml:space="preserve">RxRiskV (mean (SD))</w:t>
            </w:r>
          </w:p>
        </w:tc>
        <w:tc>
          <w:p/>
        </w:tc>
        <w:tc>
          <w:p>
            <w:pPr>
              <w:pStyle w:val="Compact"/>
              <w:jc w:val="left"/>
            </w:pPr>
            <w:r>
              <w:t xml:space="preserve">3.62 (3.35)</w:t>
            </w:r>
          </w:p>
        </w:tc>
        <w:tc>
          <w:p>
            <w:pPr>
              <w:pStyle w:val="Compact"/>
              <w:jc w:val="left"/>
            </w:pPr>
            <w:r>
              <w:t xml:space="preserve">2.68 (3.09)</w:t>
            </w:r>
          </w:p>
        </w:tc>
        <w:tc>
          <w:p>
            <w:pPr>
              <w:pStyle w:val="Compact"/>
              <w:jc w:val="left"/>
            </w:pPr>
            <w:r>
              <w:t xml:space="preserve">2.70 (3.10)</w:t>
            </w:r>
          </w:p>
        </w:tc>
      </w:tr>
      <w:tr>
        <w:tc>
          <w:p>
            <w:pPr>
              <w:pStyle w:val="Compact"/>
              <w:jc w:val="left"/>
            </w:pPr>
            <w:r>
              <w:t xml:space="preserve">AIDS/HIV hiv (%)</w:t>
            </w:r>
          </w:p>
        </w:tc>
        <w:tc>
          <w:p/>
        </w:tc>
        <w:tc>
          <w:p>
            <w:pPr>
              <w:pStyle w:val="Compact"/>
              <w:jc w:val="left"/>
            </w:pPr>
            <w:r>
              <w:t xml:space="preserve">1 ( 0.0)</w:t>
            </w:r>
          </w:p>
        </w:tc>
        <w:tc>
          <w:p>
            <w:pPr>
              <w:pStyle w:val="Compact"/>
              <w:jc w:val="left"/>
            </w:pPr>
            <w:r>
              <w:t xml:space="preserve">15 ( 0.0)</w:t>
            </w:r>
          </w:p>
        </w:tc>
        <w:tc>
          <w:p>
            <w:pPr>
              <w:pStyle w:val="Compact"/>
              <w:jc w:val="left"/>
            </w:pPr>
            <w:r>
              <w:t xml:space="preserve">16 ( 0.0)</w:t>
            </w:r>
          </w:p>
        </w:tc>
      </w:tr>
      <w:tr>
        <w:tc>
          <w:p>
            <w:pPr>
              <w:pStyle w:val="Compact"/>
              <w:jc w:val="left"/>
            </w:pPr>
            <w:r>
              <w:t xml:space="preserve">Anemia (%)</w:t>
            </w:r>
          </w:p>
        </w:tc>
        <w:tc>
          <w:p/>
        </w:tc>
        <w:tc>
          <w:p>
            <w:pPr>
              <w:pStyle w:val="Compact"/>
              <w:jc w:val="left"/>
            </w:pPr>
            <w:r>
              <w:t xml:space="preserve">20 ( 0.9)</w:t>
            </w:r>
          </w:p>
        </w:tc>
        <w:tc>
          <w:p>
            <w:pPr>
              <w:pStyle w:val="Compact"/>
              <w:jc w:val="left"/>
            </w:pPr>
            <w:r>
              <w:t xml:space="preserve">599 ( 0.7)</w:t>
            </w:r>
          </w:p>
        </w:tc>
        <w:tc>
          <w:p>
            <w:pPr>
              <w:pStyle w:val="Compact"/>
              <w:jc w:val="left"/>
            </w:pPr>
            <w:r>
              <w:t xml:space="preserve">619 ( 0.7)</w:t>
            </w:r>
          </w:p>
        </w:tc>
      </w:tr>
      <w:tr>
        <w:tc>
          <w:p>
            <w:pPr>
              <w:pStyle w:val="Compact"/>
              <w:jc w:val="left"/>
            </w:pPr>
            <w:r>
              <w:t xml:space="preserve">Arrhythmia (%)</w:t>
            </w:r>
          </w:p>
        </w:tc>
        <w:tc>
          <w:p/>
        </w:tc>
        <w:tc>
          <w:p>
            <w:pPr>
              <w:pStyle w:val="Compact"/>
              <w:jc w:val="left"/>
            </w:pPr>
            <w:r>
              <w:t xml:space="preserve">271 (12.5)</w:t>
            </w:r>
          </w:p>
        </w:tc>
        <w:tc>
          <w:p>
            <w:pPr>
              <w:pStyle w:val="Compact"/>
              <w:jc w:val="left"/>
            </w:pPr>
            <w:r>
              <w:t xml:space="preserve">6097 ( 7.0)</w:t>
            </w:r>
          </w:p>
        </w:tc>
        <w:tc>
          <w:p>
            <w:pPr>
              <w:pStyle w:val="Compact"/>
              <w:jc w:val="left"/>
            </w:pPr>
            <w:r>
              <w:t xml:space="preserve">6368 ( 7.2)</w:t>
            </w:r>
          </w:p>
        </w:tc>
      </w:tr>
      <w:tr>
        <w:tc>
          <w:p>
            <w:pPr>
              <w:pStyle w:val="Compact"/>
              <w:jc w:val="left"/>
            </w:pPr>
            <w:r>
              <w:t xml:space="preserve">Arterial hypertension (%)</w:t>
            </w:r>
          </w:p>
        </w:tc>
        <w:tc>
          <w:p/>
        </w:tc>
        <w:tc>
          <w:p>
            <w:pPr>
              <w:pStyle w:val="Compact"/>
              <w:jc w:val="left"/>
            </w:pPr>
            <w:r>
              <w:t xml:space="preserve">753 (34.7)</w:t>
            </w:r>
          </w:p>
        </w:tc>
        <w:tc>
          <w:p>
            <w:pPr>
              <w:pStyle w:val="Compact"/>
              <w:jc w:val="left"/>
            </w:pPr>
            <w:r>
              <w:t xml:space="preserve">23305 (26.9)</w:t>
            </w:r>
          </w:p>
        </w:tc>
        <w:tc>
          <w:p>
            <w:pPr>
              <w:pStyle w:val="Compact"/>
              <w:jc w:val="left"/>
            </w:pPr>
            <w:r>
              <w:t xml:space="preserve">24058 (27.1)</w:t>
            </w:r>
          </w:p>
        </w:tc>
      </w:tr>
      <w:tr>
        <w:tc>
          <w:p>
            <w:pPr>
              <w:pStyle w:val="Compact"/>
              <w:jc w:val="left"/>
            </w:pPr>
            <w:r>
              <w:t xml:space="preserve">Cancer (%)</w:t>
            </w:r>
          </w:p>
        </w:tc>
        <w:tc>
          <w:p/>
        </w:tc>
        <w:tc>
          <w:p>
            <w:pPr>
              <w:pStyle w:val="Compact"/>
              <w:jc w:val="left"/>
            </w:pPr>
            <w:r>
              <w:t xml:space="preserve">142 ( 6.5)</w:t>
            </w:r>
          </w:p>
        </w:tc>
        <w:tc>
          <w:p>
            <w:pPr>
              <w:pStyle w:val="Compact"/>
              <w:jc w:val="left"/>
            </w:pPr>
            <w:r>
              <w:t xml:space="preserve">3855 ( 4.4)</w:t>
            </w:r>
          </w:p>
        </w:tc>
        <w:tc>
          <w:p>
            <w:pPr>
              <w:pStyle w:val="Compact"/>
              <w:jc w:val="left"/>
            </w:pPr>
            <w:r>
              <w:t xml:space="preserve">3997 ( 4.5)</w:t>
            </w:r>
          </w:p>
        </w:tc>
      </w:tr>
      <w:tr>
        <w:tc>
          <w:p>
            <w:pPr>
              <w:pStyle w:val="Compact"/>
              <w:jc w:val="left"/>
            </w:pPr>
            <w:r>
              <w:t xml:space="preserve">Cns disease (%)</w:t>
            </w:r>
          </w:p>
        </w:tc>
        <w:tc>
          <w:p/>
        </w:tc>
        <w:tc>
          <w:p>
            <w:pPr>
              <w:pStyle w:val="Compact"/>
              <w:jc w:val="left"/>
            </w:pPr>
            <w:r>
              <w:t xml:space="preserve">166 ( 7.6)</w:t>
            </w:r>
          </w:p>
        </w:tc>
        <w:tc>
          <w:p>
            <w:pPr>
              <w:pStyle w:val="Compact"/>
              <w:jc w:val="left"/>
            </w:pPr>
            <w:r>
              <w:t xml:space="preserve">2976 ( 3.4)</w:t>
            </w:r>
          </w:p>
        </w:tc>
        <w:tc>
          <w:p>
            <w:pPr>
              <w:pStyle w:val="Compact"/>
              <w:jc w:val="left"/>
            </w:pPr>
            <w:r>
              <w:t xml:space="preserve">3142 ( 3.5)</w:t>
            </w:r>
          </w:p>
        </w:tc>
      </w:tr>
      <w:tr>
        <w:tc>
          <w:p>
            <w:pPr>
              <w:pStyle w:val="Compact"/>
              <w:jc w:val="left"/>
            </w:pPr>
            <w:r>
              <w:t xml:space="preserve">Coagulopathy (%)</w:t>
            </w:r>
          </w:p>
        </w:tc>
        <w:tc>
          <w:p/>
        </w:tc>
        <w:tc>
          <w:p>
            <w:pPr>
              <w:pStyle w:val="Compact"/>
              <w:jc w:val="left"/>
            </w:pPr>
            <w:r>
              <w:t xml:space="preserve">9 ( 0.4)</w:t>
            </w:r>
          </w:p>
        </w:tc>
        <w:tc>
          <w:p>
            <w:pPr>
              <w:pStyle w:val="Compact"/>
              <w:jc w:val="left"/>
            </w:pPr>
            <w:r>
              <w:t xml:space="preserve">320 ( 0.4)</w:t>
            </w:r>
          </w:p>
        </w:tc>
        <w:tc>
          <w:p>
            <w:pPr>
              <w:pStyle w:val="Compact"/>
              <w:jc w:val="left"/>
            </w:pPr>
            <w:r>
              <w:t xml:space="preserve">329 ( 0.4)</w:t>
            </w:r>
          </w:p>
        </w:tc>
      </w:tr>
      <w:tr>
        <w:tc>
          <w:p>
            <w:pPr>
              <w:pStyle w:val="Compact"/>
              <w:jc w:val="left"/>
            </w:pPr>
            <w:r>
              <w:t xml:space="preserve">Diabetes (%)</w:t>
            </w:r>
          </w:p>
        </w:tc>
        <w:tc>
          <w:p/>
        </w:tc>
        <w:tc>
          <w:p>
            <w:pPr>
              <w:pStyle w:val="Compact"/>
              <w:jc w:val="left"/>
            </w:pPr>
            <w:r>
              <w:t xml:space="preserve">212 ( 9.8)</w:t>
            </w:r>
          </w:p>
        </w:tc>
        <w:tc>
          <w:p>
            <w:pPr>
              <w:pStyle w:val="Compact"/>
              <w:jc w:val="left"/>
            </w:pPr>
            <w:r>
              <w:t xml:space="preserve">5761 ( 6.6)</w:t>
            </w:r>
          </w:p>
        </w:tc>
        <w:tc>
          <w:p>
            <w:pPr>
              <w:pStyle w:val="Compact"/>
              <w:jc w:val="left"/>
            </w:pPr>
            <w:r>
              <w:t xml:space="preserve">5973 ( 6.7)</w:t>
            </w:r>
          </w:p>
        </w:tc>
      </w:tr>
      <w:tr>
        <w:tc>
          <w:p>
            <w:pPr>
              <w:pStyle w:val="Compact"/>
              <w:jc w:val="left"/>
            </w:pPr>
            <w:r>
              <w:t xml:space="preserve">Drug alcohol abuse (%)</w:t>
            </w:r>
          </w:p>
        </w:tc>
        <w:tc>
          <w:p/>
        </w:tc>
        <w:tc>
          <w:p>
            <w:pPr>
              <w:pStyle w:val="Compact"/>
              <w:jc w:val="left"/>
            </w:pPr>
            <w:r>
              <w:t xml:space="preserve">30 ( 1.4)</w:t>
            </w:r>
          </w:p>
        </w:tc>
        <w:tc>
          <w:p>
            <w:pPr>
              <w:pStyle w:val="Compact"/>
              <w:jc w:val="left"/>
            </w:pPr>
            <w:r>
              <w:t xml:space="preserve">652 ( 0.8)</w:t>
            </w:r>
          </w:p>
        </w:tc>
        <w:tc>
          <w:p>
            <w:pPr>
              <w:pStyle w:val="Compact"/>
              <w:jc w:val="left"/>
            </w:pPr>
            <w:r>
              <w:t xml:space="preserve">682 ( 0.8)</w:t>
            </w:r>
          </w:p>
        </w:tc>
      </w:tr>
      <w:tr>
        <w:tc>
          <w:p>
            <w:pPr>
              <w:pStyle w:val="Compact"/>
              <w:jc w:val="left"/>
            </w:pPr>
            <w:r>
              <w:t xml:space="preserve">Fluid electrolyte disorders (%)</w:t>
            </w:r>
          </w:p>
        </w:tc>
        <w:tc>
          <w:p/>
        </w:tc>
        <w:tc>
          <w:p>
            <w:pPr>
              <w:pStyle w:val="Compact"/>
              <w:jc w:val="left"/>
            </w:pPr>
            <w:r>
              <w:t xml:space="preserve">29 ( 1.3)</w:t>
            </w:r>
          </w:p>
        </w:tc>
        <w:tc>
          <w:p>
            <w:pPr>
              <w:pStyle w:val="Compact"/>
              <w:jc w:val="left"/>
            </w:pPr>
            <w:r>
              <w:t xml:space="preserve">505 ( 0.6)</w:t>
            </w:r>
          </w:p>
        </w:tc>
        <w:tc>
          <w:p>
            <w:pPr>
              <w:pStyle w:val="Compact"/>
              <w:jc w:val="left"/>
            </w:pPr>
            <w:r>
              <w:t xml:space="preserve">534 ( 0.6)</w:t>
            </w:r>
          </w:p>
        </w:tc>
      </w:tr>
      <w:tr>
        <w:tc>
          <w:p>
            <w:pPr>
              <w:pStyle w:val="Compact"/>
              <w:jc w:val="left"/>
            </w:pPr>
            <w:r>
              <w:t xml:space="preserve">Heart condition (%)</w:t>
            </w:r>
          </w:p>
        </w:tc>
        <w:tc>
          <w:p/>
        </w:tc>
        <w:tc>
          <w:p>
            <w:pPr>
              <w:pStyle w:val="Compact"/>
              <w:jc w:val="left"/>
            </w:pPr>
            <w:r>
              <w:t xml:space="preserve">149 ( 6.9)</w:t>
            </w:r>
          </w:p>
        </w:tc>
        <w:tc>
          <w:p>
            <w:pPr>
              <w:pStyle w:val="Compact"/>
              <w:jc w:val="left"/>
            </w:pPr>
            <w:r>
              <w:t xml:space="preserve">3544 ( 4.1)</w:t>
            </w:r>
          </w:p>
        </w:tc>
        <w:tc>
          <w:p>
            <w:pPr>
              <w:pStyle w:val="Compact"/>
              <w:jc w:val="left"/>
            </w:pPr>
            <w:r>
              <w:t xml:space="preserve">3693 ( 4.2)</w:t>
            </w:r>
          </w:p>
        </w:tc>
      </w:tr>
      <w:tr>
        <w:tc>
          <w:p>
            <w:pPr>
              <w:pStyle w:val="Compact"/>
              <w:jc w:val="left"/>
            </w:pPr>
            <w:r>
              <w:t xml:space="preserve">Myocardial infarction (%)</w:t>
            </w:r>
          </w:p>
        </w:tc>
        <w:tc>
          <w:p/>
        </w:tc>
        <w:tc>
          <w:p>
            <w:pPr>
              <w:pStyle w:val="Compact"/>
              <w:jc w:val="left"/>
            </w:pPr>
            <w:r>
              <w:t xml:space="preserve">105 ( 4.8)</w:t>
            </w:r>
          </w:p>
        </w:tc>
        <w:tc>
          <w:p>
            <w:pPr>
              <w:pStyle w:val="Compact"/>
              <w:jc w:val="left"/>
            </w:pPr>
            <w:r>
              <w:t xml:space="preserve">2982 ( 3.4)</w:t>
            </w:r>
          </w:p>
        </w:tc>
        <w:tc>
          <w:p>
            <w:pPr>
              <w:pStyle w:val="Compact"/>
              <w:jc w:val="left"/>
            </w:pPr>
            <w:r>
              <w:t xml:space="preserve">3087 ( 3.5)</w:t>
            </w:r>
          </w:p>
        </w:tc>
      </w:tr>
      <w:tr>
        <w:tc>
          <w:p>
            <w:pPr>
              <w:pStyle w:val="Compact"/>
              <w:jc w:val="left"/>
            </w:pPr>
            <w:r>
              <w:t xml:space="preserve">Hypothyroidism (%)</w:t>
            </w:r>
          </w:p>
        </w:tc>
        <w:tc>
          <w:p/>
        </w:tc>
        <w:tc>
          <w:p>
            <w:pPr>
              <w:pStyle w:val="Compact"/>
              <w:jc w:val="left"/>
            </w:pPr>
            <w:r>
              <w:t xml:space="preserve">82 ( 3.8)</w:t>
            </w:r>
          </w:p>
        </w:tc>
        <w:tc>
          <w:p>
            <w:pPr>
              <w:pStyle w:val="Compact"/>
              <w:jc w:val="left"/>
            </w:pPr>
            <w:r>
              <w:t xml:space="preserve">2501 ( 2.9)</w:t>
            </w:r>
          </w:p>
        </w:tc>
        <w:tc>
          <w:p>
            <w:pPr>
              <w:pStyle w:val="Compact"/>
              <w:jc w:val="left"/>
            </w:pPr>
            <w:r>
              <w:t xml:space="preserve">2583 ( 2.9)</w:t>
            </w:r>
          </w:p>
        </w:tc>
      </w:tr>
      <w:tr>
        <w:tc>
          <w:p>
            <w:pPr>
              <w:pStyle w:val="Compact"/>
              <w:jc w:val="left"/>
            </w:pPr>
            <w:r>
              <w:t xml:space="preserve">Kidney disease (%)</w:t>
            </w:r>
          </w:p>
        </w:tc>
        <w:tc>
          <w:p/>
        </w:tc>
        <w:tc>
          <w:p>
            <w:pPr>
              <w:pStyle w:val="Compact"/>
              <w:jc w:val="left"/>
            </w:pPr>
            <w:r>
              <w:t xml:space="preserve">36 ( 1.7)</w:t>
            </w:r>
          </w:p>
        </w:tc>
        <w:tc>
          <w:p>
            <w:pPr>
              <w:pStyle w:val="Compact"/>
              <w:jc w:val="left"/>
            </w:pPr>
            <w:r>
              <w:t xml:space="preserve">847 ( 1.0)</w:t>
            </w:r>
          </w:p>
        </w:tc>
        <w:tc>
          <w:p>
            <w:pPr>
              <w:pStyle w:val="Compact"/>
              <w:jc w:val="left"/>
            </w:pPr>
            <w:r>
              <w:t xml:space="preserve">883 ( 1.0)</w:t>
            </w:r>
          </w:p>
        </w:tc>
      </w:tr>
      <w:tr>
        <w:tc>
          <w:p>
            <w:pPr>
              <w:pStyle w:val="Compact"/>
              <w:jc w:val="left"/>
            </w:pPr>
            <w:r>
              <w:t xml:space="preserve">Liver disease (%)</w:t>
            </w:r>
          </w:p>
        </w:tc>
        <w:tc>
          <w:p/>
        </w:tc>
        <w:tc>
          <w:p>
            <w:pPr>
              <w:pStyle w:val="Compact"/>
              <w:jc w:val="left"/>
            </w:pPr>
            <w:r>
              <w:t xml:space="preserve">33 ( 1.5)</w:t>
            </w:r>
          </w:p>
        </w:tc>
        <w:tc>
          <w:p>
            <w:pPr>
              <w:pStyle w:val="Compact"/>
              <w:jc w:val="left"/>
            </w:pPr>
            <w:r>
              <w:t xml:space="preserve">491 ( 0.6)</w:t>
            </w:r>
          </w:p>
        </w:tc>
        <w:tc>
          <w:p>
            <w:pPr>
              <w:pStyle w:val="Compact"/>
              <w:jc w:val="left"/>
            </w:pPr>
            <w:r>
              <w:t xml:space="preserve">524 ( 0.6)</w:t>
            </w:r>
          </w:p>
        </w:tc>
      </w:tr>
      <w:tr>
        <w:tc>
          <w:p>
            <w:pPr>
              <w:pStyle w:val="Compact"/>
              <w:jc w:val="left"/>
            </w:pPr>
            <w:r>
              <w:t xml:space="preserve">Lung airways disease (%)</w:t>
            </w:r>
          </w:p>
        </w:tc>
        <w:tc>
          <w:p/>
        </w:tc>
        <w:tc>
          <w:p>
            <w:pPr>
              <w:pStyle w:val="Compact"/>
              <w:jc w:val="left"/>
            </w:pPr>
            <w:r>
              <w:t xml:space="preserve">172 ( 7.9)</w:t>
            </w:r>
          </w:p>
        </w:tc>
        <w:tc>
          <w:p>
            <w:pPr>
              <w:pStyle w:val="Compact"/>
              <w:jc w:val="left"/>
            </w:pPr>
            <w:r>
              <w:t xml:space="preserve">4145 ( 4.8)</w:t>
            </w:r>
          </w:p>
        </w:tc>
        <w:tc>
          <w:p>
            <w:pPr>
              <w:pStyle w:val="Compact"/>
              <w:jc w:val="left"/>
            </w:pPr>
            <w:r>
              <w:t xml:space="preserve">4317 ( 4.9)</w:t>
            </w:r>
          </w:p>
        </w:tc>
      </w:tr>
      <w:tr>
        <w:tc>
          <w:p>
            <w:pPr>
              <w:pStyle w:val="Compact"/>
              <w:jc w:val="left"/>
            </w:pPr>
            <w:r>
              <w:t xml:space="preserve">Peptiulcer (%)</w:t>
            </w:r>
          </w:p>
        </w:tc>
        <w:tc>
          <w:p/>
        </w:tc>
        <w:tc>
          <w:p>
            <w:pPr>
              <w:pStyle w:val="Compact"/>
              <w:jc w:val="left"/>
            </w:pPr>
            <w:r>
              <w:t xml:space="preserve">21 ( 1.0)</w:t>
            </w:r>
          </w:p>
        </w:tc>
        <w:tc>
          <w:p>
            <w:pPr>
              <w:pStyle w:val="Compact"/>
              <w:jc w:val="left"/>
            </w:pPr>
            <w:r>
              <w:t xml:space="preserve">515 ( 0.6)</w:t>
            </w:r>
          </w:p>
        </w:tc>
        <w:tc>
          <w:p>
            <w:pPr>
              <w:pStyle w:val="Compact"/>
              <w:jc w:val="left"/>
            </w:pPr>
            <w:r>
              <w:t xml:space="preserve">536 ( 0.6)</w:t>
            </w:r>
          </w:p>
        </w:tc>
      </w:tr>
      <w:tr>
        <w:tc>
          <w:p>
            <w:pPr>
              <w:pStyle w:val="Compact"/>
              <w:jc w:val="left"/>
            </w:pPr>
            <w:r>
              <w:t xml:space="preserve">Rheumatidisease (%)</w:t>
            </w:r>
          </w:p>
        </w:tc>
        <w:tc>
          <w:p/>
        </w:tc>
        <w:tc>
          <w:p>
            <w:pPr>
              <w:pStyle w:val="Compact"/>
              <w:jc w:val="left"/>
            </w:pPr>
            <w:r>
              <w:t xml:space="preserve">144 ( 6.6)</w:t>
            </w:r>
          </w:p>
        </w:tc>
        <w:tc>
          <w:p>
            <w:pPr>
              <w:pStyle w:val="Compact"/>
              <w:jc w:val="left"/>
            </w:pPr>
            <w:r>
              <w:t xml:space="preserve">3782 ( 4.4)</w:t>
            </w:r>
          </w:p>
        </w:tc>
        <w:tc>
          <w:p>
            <w:pPr>
              <w:pStyle w:val="Compact"/>
              <w:jc w:val="left"/>
            </w:pPr>
            <w:r>
              <w:t xml:space="preserve">3926 ( 4.4)</w:t>
            </w:r>
          </w:p>
        </w:tc>
      </w:tr>
      <w:tr>
        <w:tc>
          <w:p>
            <w:pPr>
              <w:pStyle w:val="Compact"/>
              <w:jc w:val="left"/>
            </w:pPr>
            <w:r>
              <w:t xml:space="preserve">Vascular disease (%)</w:t>
            </w:r>
          </w:p>
        </w:tc>
        <w:tc>
          <w:p/>
        </w:tc>
        <w:tc>
          <w:p>
            <w:pPr>
              <w:pStyle w:val="Compact"/>
              <w:jc w:val="left"/>
            </w:pPr>
            <w:r>
              <w:t xml:space="preserve">89 ( 4.1)</w:t>
            </w:r>
          </w:p>
        </w:tc>
        <w:tc>
          <w:p>
            <w:pPr>
              <w:pStyle w:val="Compact"/>
              <w:jc w:val="left"/>
            </w:pPr>
            <w:r>
              <w:t xml:space="preserve">2434 ( 2.8)</w:t>
            </w:r>
          </w:p>
        </w:tc>
        <w:tc>
          <w:p>
            <w:pPr>
              <w:pStyle w:val="Compact"/>
              <w:jc w:val="left"/>
            </w:pPr>
            <w:r>
              <w:t xml:space="preserve">2523 ( 2.8)</w:t>
            </w:r>
          </w:p>
        </w:tc>
      </w:tr>
      <w:tr>
        <w:tc>
          <w:p>
            <w:pPr>
              <w:pStyle w:val="Compact"/>
              <w:jc w:val="left"/>
            </w:pPr>
            <w:r>
              <w:t xml:space="preserve">Weight loss (%)</w:t>
            </w:r>
          </w:p>
        </w:tc>
        <w:tc>
          <w:p/>
        </w:tc>
        <w:tc>
          <w:p>
            <w:pPr>
              <w:pStyle w:val="Compact"/>
              <w:jc w:val="left"/>
            </w:pPr>
            <w:r>
              <w:t xml:space="preserve">5 ( 0.2)</w:t>
            </w:r>
          </w:p>
        </w:tc>
        <w:tc>
          <w:p>
            <w:pPr>
              <w:pStyle w:val="Compact"/>
              <w:jc w:val="left"/>
            </w:pPr>
            <w:r>
              <w:t xml:space="preserve">64 ( 0.1)</w:t>
            </w:r>
          </w:p>
        </w:tc>
        <w:tc>
          <w:p>
            <w:pPr>
              <w:pStyle w:val="Compact"/>
              <w:jc w:val="left"/>
            </w:pPr>
            <w:r>
              <w:t xml:space="preserve">69 ( 0.1)</w:t>
            </w:r>
          </w:p>
        </w:tc>
      </w:tr>
    </w:tbl>
    <w:bookmarkEnd w:id="58"/>
    <w:bookmarkStart w:id="59" w:name="page-break-11"/>
    <w:p>
      <w:pPr>
        <w:pStyle w:val="Heading5"/>
      </w:pPr>
      <w:r>
        <w:rPr>
          <w:rStyle w:val="SectionNumber"/>
        </w:rPr>
        <w:t xml:space="preserve">8.0.0.0.9</w:t>
      </w:r>
      <w:r>
        <w:tab/>
      </w:r>
      <w:r>
        <w:t xml:space="preserve">PAGE BREAK</w:t>
      </w:r>
    </w:p>
    <w:p>
      <w:pPr>
        <w:pStyle w:val="TableCaption"/>
      </w:pPr>
      <w:r>
        <w:t xml:space="preserve">Table 8.4: Variables selected by the bootstrap ranking procedure. Variables selected at least 10 out of 100 times were used in the main model. Variables chosen at least 80 times were kept in the reduced model as well. (BMI = body mass index. ASA class = American Society for Anesthesiologists classification. CNS = central nervous system.)</w:t>
      </w:r>
    </w:p>
    <w:tbl>
      <w:tblPr>
        <w:tblStyle w:val="Table"/>
        <w:tblW w:type="pct" w:w="0.0"/>
        <w:tblLook w:firstRow="1" w:lastRow="0" w:firstColumn="0" w:lastColumn="0" w:noHBand="0" w:noVBand="0"/>
        <w:tblCaption w:val="Table 8.4: Variables selected by the bootstrap ranking procedure. Variables selected at least 10 out of 100 times were used in the main model. Variables chosen at least 80 times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Fluid electrolyte disorders</w:t>
            </w:r>
          </w:p>
        </w:tc>
        <w:tc>
          <w:p>
            <w:pPr>
              <w:pStyle w:val="Compact"/>
              <w:jc w:val="right"/>
            </w:pPr>
            <w:r>
              <w:t xml:space="preserve">100</w:t>
            </w:r>
          </w:p>
        </w:tc>
      </w:tr>
      <w:tr>
        <w:tc>
          <w:p>
            <w:pPr>
              <w:pStyle w:val="Compact"/>
              <w:jc w:val="left"/>
            </w:pPr>
            <w:r>
              <w:t xml:space="preserve">Liver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BMI: class I obesity</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r>
      <w:tr>
        <w:tc>
          <w:p>
            <w:pPr>
              <w:pStyle w:val="Compact"/>
              <w:jc w:val="left"/>
            </w:pPr>
            <w:r>
              <w:t xml:space="preserve">BMI: overweight</w:t>
            </w:r>
          </w:p>
        </w:tc>
        <w:tc>
          <w:p>
            <w:pPr>
              <w:pStyle w:val="Compact"/>
              <w:jc w:val="right"/>
            </w:pPr>
            <w:r>
              <w:t xml:space="preserve">100</w:t>
            </w:r>
          </w:p>
        </w:tc>
      </w:tr>
      <w:tr>
        <w:tc>
          <w:p>
            <w:pPr>
              <w:pStyle w:val="Compact"/>
              <w:jc w:val="left"/>
            </w:pPr>
            <w:r>
              <w:t xml:space="preserve">Diagnosis: Avascular necrosis of the femoral head (AVN)</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r>
      <w:tr>
        <w:tc>
          <w:p>
            <w:pPr>
              <w:pStyle w:val="Compact"/>
              <w:jc w:val="left"/>
            </w:pPr>
            <w:r>
              <w:t xml:space="preserve">Sex Male</w:t>
            </w:r>
          </w:p>
        </w:tc>
        <w:tc>
          <w:p>
            <w:pPr>
              <w:pStyle w:val="Compact"/>
              <w:jc w:val="right"/>
            </w:pPr>
            <w:r>
              <w:t xml:space="preserve">100</w:t>
            </w:r>
          </w:p>
        </w:tc>
      </w:tr>
      <w:tr>
        <w:tc>
          <w:p>
            <w:pPr>
              <w:pStyle w:val="Compact"/>
              <w:jc w:val="left"/>
            </w:pPr>
            <w:r>
              <w:t xml:space="preserve">Arrhythmia</w:t>
            </w:r>
          </w:p>
        </w:tc>
        <w:tc>
          <w:p>
            <w:pPr>
              <w:pStyle w:val="Compact"/>
              <w:jc w:val="right"/>
            </w:pPr>
            <w:r>
              <w:t xml:space="preserve">95</w:t>
            </w:r>
          </w:p>
        </w:tc>
      </w:tr>
      <w:tr>
        <w:tc>
          <w:p>
            <w:pPr>
              <w:pStyle w:val="Compact"/>
              <w:jc w:val="left"/>
            </w:pPr>
            <w:r>
              <w:t xml:space="preserve">Diagnosis: Sequelae after childhood hip disease</w:t>
            </w:r>
          </w:p>
        </w:tc>
        <w:tc>
          <w:p>
            <w:pPr>
              <w:pStyle w:val="Compact"/>
              <w:jc w:val="right"/>
            </w:pPr>
            <w:r>
              <w:t xml:space="preserve">95</w:t>
            </w:r>
          </w:p>
        </w:tc>
      </w:tr>
      <w:tr>
        <w:tc>
          <w:p>
            <w:pPr>
              <w:pStyle w:val="Compact"/>
              <w:jc w:val="left"/>
            </w:pPr>
            <w:r>
              <w:t xml:space="preserve">Lung airways disease</w:t>
            </w:r>
          </w:p>
        </w:tc>
        <w:tc>
          <w:p>
            <w:pPr>
              <w:pStyle w:val="Compact"/>
              <w:jc w:val="right"/>
            </w:pPr>
            <w:r>
              <w:t xml:space="preserve">93</w:t>
            </w:r>
          </w:p>
        </w:tc>
      </w:tr>
      <w:tr>
        <w:tc>
          <w:p>
            <w:pPr>
              <w:pStyle w:val="Compact"/>
              <w:jc w:val="left"/>
            </w:pPr>
            <w:r>
              <w:t xml:space="preserve">Age</w:t>
            </w:r>
          </w:p>
        </w:tc>
        <w:tc>
          <w:p>
            <w:pPr>
              <w:pStyle w:val="Compact"/>
              <w:jc w:val="right"/>
            </w:pPr>
            <w:r>
              <w:t xml:space="preserve">82</w:t>
            </w:r>
          </w:p>
        </w:tc>
      </w:tr>
      <w:tr>
        <w:tc>
          <w:p>
            <w:pPr>
              <w:pStyle w:val="Compact"/>
              <w:jc w:val="left"/>
            </w:pPr>
            <w:r>
              <w:t xml:space="preserve">Rheumatidisease</w:t>
            </w:r>
          </w:p>
        </w:tc>
        <w:tc>
          <w:p>
            <w:pPr>
              <w:pStyle w:val="Compact"/>
              <w:jc w:val="right"/>
            </w:pPr>
            <w:r>
              <w:t xml:space="preserve">68</w:t>
            </w:r>
          </w:p>
        </w:tc>
      </w:tr>
      <w:tr>
        <w:tc>
          <w:p>
            <w:pPr>
              <w:pStyle w:val="Compact"/>
              <w:jc w:val="left"/>
            </w:pPr>
            <w:r>
              <w:t xml:space="preserve">Cancer</w:t>
            </w:r>
          </w:p>
        </w:tc>
        <w:tc>
          <w:p>
            <w:pPr>
              <w:pStyle w:val="Compact"/>
              <w:jc w:val="right"/>
            </w:pPr>
            <w:r>
              <w:t xml:space="preserve">57</w:t>
            </w:r>
          </w:p>
        </w:tc>
      </w:tr>
      <w:tr>
        <w:tc>
          <w:p>
            <w:pPr>
              <w:pStyle w:val="Compact"/>
              <w:jc w:val="left"/>
            </w:pPr>
            <w:r>
              <w:t xml:space="preserve">Peptiulcer</w:t>
            </w:r>
          </w:p>
        </w:tc>
        <w:tc>
          <w:p>
            <w:pPr>
              <w:pStyle w:val="Compact"/>
              <w:jc w:val="right"/>
            </w:pPr>
            <w:r>
              <w:t xml:space="preserve">43</w:t>
            </w:r>
          </w:p>
        </w:tc>
      </w:tr>
      <w:tr>
        <w:tc>
          <w:p>
            <w:pPr>
              <w:pStyle w:val="Compact"/>
              <w:jc w:val="left"/>
            </w:pPr>
            <w:r>
              <w:t xml:space="preserve">Cemented cup</w:t>
            </w:r>
          </w:p>
        </w:tc>
        <w:tc>
          <w:p>
            <w:pPr>
              <w:pStyle w:val="Compact"/>
              <w:jc w:val="right"/>
            </w:pPr>
            <w:r>
              <w:t xml:space="preserve">41</w:t>
            </w:r>
          </w:p>
        </w:tc>
      </w:tr>
      <w:tr>
        <w:tc>
          <w:p>
            <w:pPr>
              <w:pStyle w:val="Compact"/>
              <w:jc w:val="left"/>
            </w:pPr>
            <w:r>
              <w:t xml:space="preserve">Hospital County</w:t>
            </w:r>
          </w:p>
        </w:tc>
        <w:tc>
          <w:p>
            <w:pPr>
              <w:pStyle w:val="Compact"/>
              <w:jc w:val="right"/>
            </w:pPr>
            <w:r>
              <w:t xml:space="preserve">33</w:t>
            </w:r>
          </w:p>
        </w:tc>
      </w:tr>
      <w:tr>
        <w:tc>
          <w:p>
            <w:pPr>
              <w:pStyle w:val="Compact"/>
              <w:jc w:val="left"/>
            </w:pPr>
            <w:r>
              <w:t xml:space="preserve">ASA class: II</w:t>
            </w:r>
          </w:p>
        </w:tc>
        <w:tc>
          <w:p>
            <w:pPr>
              <w:pStyle w:val="Compact"/>
              <w:jc w:val="right"/>
            </w:pPr>
            <w:r>
              <w:t xml:space="preserve">23</w:t>
            </w:r>
          </w:p>
        </w:tc>
      </w:tr>
      <w:tr>
        <w:tc>
          <w:p>
            <w:pPr>
              <w:pStyle w:val="Compact"/>
              <w:jc w:val="left"/>
            </w:pPr>
            <w:r>
              <w:t xml:space="preserve">Civil status widow widower</w:t>
            </w:r>
          </w:p>
        </w:tc>
        <w:tc>
          <w:p>
            <w:pPr>
              <w:pStyle w:val="Compact"/>
              <w:jc w:val="right"/>
            </w:pPr>
            <w:r>
              <w:t xml:space="preserve">8</w:t>
            </w:r>
          </w:p>
        </w:tc>
      </w:tr>
      <w:tr>
        <w:tc>
          <w:p>
            <w:pPr>
              <w:pStyle w:val="Compact"/>
              <w:jc w:val="left"/>
            </w:pPr>
            <w:r>
              <w:t xml:space="preserve">Hypothyroidism</w:t>
            </w:r>
          </w:p>
        </w:tc>
        <w:tc>
          <w:p>
            <w:pPr>
              <w:pStyle w:val="Compact"/>
              <w:jc w:val="right"/>
            </w:pPr>
            <w:r>
              <w:t xml:space="preserve">3</w:t>
            </w:r>
          </w:p>
        </w:tc>
      </w:tr>
      <w:tr>
        <w:tc>
          <w:p>
            <w:pPr>
              <w:pStyle w:val="Compact"/>
              <w:jc w:val="left"/>
            </w:pPr>
            <w:r>
              <w:t xml:space="preserve">Heart infarct</w:t>
            </w:r>
          </w:p>
        </w:tc>
        <w:tc>
          <w:p>
            <w:pPr>
              <w:pStyle w:val="Compact"/>
              <w:jc w:val="right"/>
            </w:pPr>
            <w:r>
              <w:t xml:space="preserve">1</w:t>
            </w:r>
          </w:p>
        </w:tc>
      </w:tr>
    </w:tbl>
    <w:bookmarkEnd w:id="59"/>
    <w:bookmarkStart w:id="60" w:name="page-break-12"/>
    <w:p>
      <w:pPr>
        <w:pStyle w:val="Heading5"/>
      </w:pPr>
      <w:r>
        <w:rPr>
          <w:rStyle w:val="SectionNumber"/>
        </w:rPr>
        <w:t xml:space="preserve">8.0.0.0.10</w:t>
      </w:r>
      <w:r>
        <w:tab/>
      </w:r>
      <w:r>
        <w:t xml:space="preserve">PAGE BREAK</w:t>
      </w:r>
    </w:p>
    <w:p>
      <w:pPr>
        <w:pStyle w:val="TableCaption"/>
      </w:pPr>
      <w:r>
        <w:t xml:space="preserve">Table 8.5: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lastRow="0" w:firstColumn="0" w:lastColumn="0" w:noHBand="0" w:noVBand="0"/>
        <w:tblCaption w:val="Table 8.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tc>
        <w:tc>
          <w:p>
            <w:pPr>
              <w:pStyle w:val="Compact"/>
              <w:jc w:val="right"/>
            </w:pPr>
            <w:r>
              <w:t xml:space="preserve">-6.31</w:t>
            </w:r>
          </w:p>
        </w:tc>
        <w:tc>
          <w:p/>
        </w:tc>
        <w:tc>
          <w:p/>
        </w:tc>
      </w:tr>
      <w:tr>
        <w:tc>
          <w:p>
            <w:pPr>
              <w:pStyle w:val="Compact"/>
              <w:jc w:val="left"/>
            </w:pPr>
            <w:r>
              <w:t xml:space="preserve">Age</w:t>
            </w:r>
          </w:p>
        </w:tc>
        <w:tc>
          <w:p/>
        </w:tc>
        <w:tc>
          <w:p>
            <w:pPr>
              <w:pStyle w:val="Compact"/>
              <w:jc w:val="right"/>
            </w:pPr>
            <w:r>
              <w:t xml:space="preserve">0.02</w:t>
            </w:r>
          </w:p>
        </w:tc>
        <w:tc>
          <w:p>
            <w:pPr>
              <w:pStyle w:val="Compact"/>
              <w:jc w:val="left"/>
            </w:pPr>
            <w:r>
              <w:t xml:space="preserve">1.02 (1.02-1.03)</w:t>
            </w:r>
          </w:p>
        </w:tc>
        <w:tc>
          <w:p>
            <w:pPr>
              <w:pStyle w:val="Compact"/>
              <w:jc w:val="left"/>
            </w:pPr>
            <w:r>
              <w:t xml:space="preserve">&lt;0.001</w:t>
            </w:r>
          </w:p>
        </w:tc>
      </w:tr>
      <w:tr>
        <w:tc>
          <w:p>
            <w:pPr>
              <w:pStyle w:val="Compact"/>
              <w:jc w:val="left"/>
            </w:pPr>
            <w:r>
              <w:t xml:space="preserve">Arrhythmia</w:t>
            </w:r>
          </w:p>
        </w:tc>
        <w:tc>
          <w:p/>
        </w:tc>
        <w:tc>
          <w:p>
            <w:pPr>
              <w:pStyle w:val="Compact"/>
              <w:jc w:val="right"/>
            </w:pPr>
            <w:r>
              <w:t xml:space="preserve">0.27</w:t>
            </w:r>
          </w:p>
        </w:tc>
        <w:tc>
          <w:p>
            <w:pPr>
              <w:pStyle w:val="Compact"/>
              <w:jc w:val="left"/>
            </w:pPr>
            <w:r>
              <w:t xml:space="preserve">1.30 (1.13-1.49)</w:t>
            </w:r>
          </w:p>
        </w:tc>
        <w:tc>
          <w:p>
            <w:pPr>
              <w:pStyle w:val="Compact"/>
              <w:jc w:val="left"/>
            </w:pPr>
            <w:r>
              <w:t xml:space="preserve">&lt;0.001</w:t>
            </w:r>
          </w:p>
        </w:tc>
      </w:tr>
      <w:tr>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II</w:t>
            </w:r>
          </w:p>
        </w:tc>
        <w:tc>
          <w:p>
            <w:pPr>
              <w:pStyle w:val="Compact"/>
              <w:jc w:val="right"/>
            </w:pPr>
            <w:r>
              <w:t xml:space="preserve">0.18</w:t>
            </w:r>
          </w:p>
        </w:tc>
        <w:tc>
          <w:p>
            <w:pPr>
              <w:pStyle w:val="Compact"/>
              <w:jc w:val="left"/>
            </w:pPr>
            <w:r>
              <w:t xml:space="preserve">1.20 (1.05-1.37)</w:t>
            </w:r>
          </w:p>
        </w:tc>
        <w:tc>
          <w:p>
            <w:pPr>
              <w:pStyle w:val="Compact"/>
              <w:jc w:val="left"/>
            </w:pPr>
            <w:r>
              <w:t xml:space="preserve">0.009</w:t>
            </w:r>
          </w:p>
        </w:tc>
      </w:tr>
      <w:tr>
        <w:tc>
          <w:p/>
        </w:tc>
        <w:tc>
          <w:p>
            <w:pPr>
              <w:pStyle w:val="Compact"/>
              <w:jc w:val="left"/>
            </w:pPr>
            <w:r>
              <w:t xml:space="preserve">III</w:t>
            </w:r>
          </w:p>
        </w:tc>
        <w:tc>
          <w:p>
            <w:pPr>
              <w:pStyle w:val="Compact"/>
              <w:jc w:val="right"/>
            </w:pPr>
            <w:r>
              <w:t xml:space="preserve">0.44</w:t>
            </w:r>
          </w:p>
        </w:tc>
        <w:tc>
          <w:p>
            <w:pPr>
              <w:pStyle w:val="Compact"/>
              <w:jc w:val="left"/>
            </w:pPr>
            <w:r>
              <w:t xml:space="preserve">1.56 (1.33-1.83)</w:t>
            </w:r>
          </w:p>
        </w:tc>
        <w:tc>
          <w:p>
            <w:pPr>
              <w:pStyle w:val="Compact"/>
              <w:jc w:val="left"/>
            </w:pPr>
            <w:r>
              <w:t xml:space="preserve">&lt;0.001</w:t>
            </w:r>
          </w:p>
        </w:tc>
      </w:tr>
      <w:tr>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overweight</w:t>
            </w:r>
          </w:p>
        </w:tc>
        <w:tc>
          <w:p>
            <w:pPr>
              <w:pStyle w:val="Compact"/>
              <w:jc w:val="right"/>
            </w:pPr>
            <w:r>
              <w:t xml:space="preserve">0.39</w:t>
            </w:r>
          </w:p>
        </w:tc>
        <w:tc>
          <w:p>
            <w:pPr>
              <w:pStyle w:val="Compact"/>
              <w:jc w:val="left"/>
            </w:pPr>
            <w:r>
              <w:t xml:space="preserve">1.47 (1.32-1.65)</w:t>
            </w:r>
          </w:p>
        </w:tc>
        <w:tc>
          <w:p>
            <w:pPr>
              <w:pStyle w:val="Compact"/>
              <w:jc w:val="left"/>
            </w:pPr>
            <w:r>
              <w:t xml:space="preserve">&lt;0.001</w:t>
            </w:r>
          </w:p>
        </w:tc>
      </w:tr>
      <w:tr>
        <w:tc>
          <w:p/>
        </w:tc>
        <w:tc>
          <w:p>
            <w:pPr>
              <w:pStyle w:val="Compact"/>
              <w:jc w:val="left"/>
            </w:pPr>
            <w:r>
              <w:t xml:space="preserve">class I obesity</w:t>
            </w:r>
          </w:p>
        </w:tc>
        <w:tc>
          <w:p>
            <w:pPr>
              <w:pStyle w:val="Compact"/>
              <w:jc w:val="right"/>
            </w:pPr>
            <w:r>
              <w:t xml:space="preserve">0.81</w:t>
            </w:r>
          </w:p>
        </w:tc>
        <w:tc>
          <w:p>
            <w:pPr>
              <w:pStyle w:val="Compact"/>
              <w:jc w:val="left"/>
            </w:pPr>
            <w:r>
              <w:t xml:space="preserve">2.24 (1.97-2.55)</w:t>
            </w:r>
          </w:p>
        </w:tc>
        <w:tc>
          <w:p>
            <w:pPr>
              <w:pStyle w:val="Compact"/>
              <w:jc w:val="left"/>
            </w:pPr>
            <w:r>
              <w:t xml:space="preserve">&lt;0.001</w:t>
            </w:r>
          </w:p>
        </w:tc>
      </w:tr>
      <w:tr>
        <w:tc>
          <w:p/>
        </w:tc>
        <w:tc>
          <w:p>
            <w:pPr>
              <w:pStyle w:val="Compact"/>
              <w:jc w:val="left"/>
            </w:pPr>
            <w:r>
              <w:t xml:space="preserve">class II-III obesity</w:t>
            </w:r>
          </w:p>
        </w:tc>
        <w:tc>
          <w:p>
            <w:pPr>
              <w:pStyle w:val="Compact"/>
              <w:jc w:val="right"/>
            </w:pPr>
            <w:r>
              <w:t xml:space="preserve">1.40</w:t>
            </w:r>
          </w:p>
        </w:tc>
        <w:tc>
          <w:p>
            <w:pPr>
              <w:pStyle w:val="Compact"/>
              <w:jc w:val="left"/>
            </w:pPr>
            <w:r>
              <w:t xml:space="preserve">4.05 (3.46-4.75)</w:t>
            </w:r>
          </w:p>
        </w:tc>
        <w:tc>
          <w:p>
            <w:pPr>
              <w:pStyle w:val="Compact"/>
              <w:jc w:val="left"/>
            </w:pPr>
            <w:r>
              <w:t xml:space="preserve">&lt;0.001</w:t>
            </w:r>
          </w:p>
        </w:tc>
      </w:tr>
      <w:tr>
        <w:tc>
          <w:p>
            <w:pPr>
              <w:pStyle w:val="Compact"/>
              <w:jc w:val="left"/>
            </w:pPr>
            <w:r>
              <w:t xml:space="preserve">Cns disease</w:t>
            </w:r>
          </w:p>
        </w:tc>
        <w:tc>
          <w:p/>
        </w:tc>
        <w:tc>
          <w:p>
            <w:pPr>
              <w:pStyle w:val="Compact"/>
              <w:jc w:val="right"/>
            </w:pPr>
            <w:r>
              <w:t xml:space="preserve">0.69</w:t>
            </w:r>
          </w:p>
        </w:tc>
        <w:tc>
          <w:p>
            <w:pPr>
              <w:pStyle w:val="Compact"/>
              <w:jc w:val="left"/>
            </w:pPr>
            <w:r>
              <w:t xml:space="preserve">2.00 (1.68-2.35)</w:t>
            </w:r>
          </w:p>
        </w:tc>
        <w:tc>
          <w:p>
            <w:pPr>
              <w:pStyle w:val="Compact"/>
              <w:jc w:val="left"/>
            </w:pPr>
            <w:r>
              <w:t xml:space="preserve">&lt;0.001</w:t>
            </w:r>
          </w:p>
        </w:tc>
      </w:tr>
      <w:tr>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Sequelae after childhood hip disease</w:t>
            </w:r>
          </w:p>
        </w:tc>
        <w:tc>
          <w:p>
            <w:pPr>
              <w:pStyle w:val="Compact"/>
              <w:jc w:val="right"/>
            </w:pPr>
            <w:r>
              <w:t xml:space="preserve">0.39</w:t>
            </w:r>
          </w:p>
        </w:tc>
        <w:tc>
          <w:p>
            <w:pPr>
              <w:pStyle w:val="Compact"/>
              <w:jc w:val="left"/>
            </w:pPr>
            <w:r>
              <w:t xml:space="preserve">1.48 (1.06-2.01)</w:t>
            </w:r>
          </w:p>
        </w:tc>
        <w:tc>
          <w:p>
            <w:pPr>
              <w:pStyle w:val="Compact"/>
              <w:jc w:val="left"/>
            </w:pPr>
            <w:r>
              <w:t xml:space="preserve">0.016</w:t>
            </w:r>
          </w:p>
        </w:tc>
      </w:tr>
      <w:tr>
        <w:tc>
          <w:p/>
        </w:tc>
        <w:tc>
          <w:p>
            <w:pPr>
              <w:pStyle w:val="Compact"/>
              <w:jc w:val="left"/>
            </w:pPr>
            <w:r>
              <w:t xml:space="preserve">Avascular necrosis of the femoral head (AVN)</w:t>
            </w:r>
          </w:p>
        </w:tc>
        <w:tc>
          <w:p>
            <w:pPr>
              <w:pStyle w:val="Compact"/>
              <w:jc w:val="right"/>
            </w:pPr>
            <w:r>
              <w:t xml:space="preserve">0.58</w:t>
            </w:r>
          </w:p>
        </w:tc>
        <w:tc>
          <w:p>
            <w:pPr>
              <w:pStyle w:val="Compact"/>
              <w:jc w:val="left"/>
            </w:pPr>
            <w:r>
              <w:t xml:space="preserve">1.79 (1.40-2.26)</w:t>
            </w:r>
          </w:p>
        </w:tc>
        <w:tc>
          <w:p>
            <w:pPr>
              <w:pStyle w:val="Compact"/>
              <w:jc w:val="left"/>
            </w:pPr>
            <w:r>
              <w:t xml:space="preserve">&lt;0.001</w:t>
            </w:r>
          </w:p>
        </w:tc>
      </w:tr>
      <w:tr>
        <w:tc>
          <w:p/>
        </w:tc>
        <w:tc>
          <w:p>
            <w:pPr>
              <w:pStyle w:val="Compact"/>
              <w:jc w:val="left"/>
            </w:pPr>
            <w:r>
              <w:t xml:space="preserve">Secondary osteoarthritis</w:t>
            </w:r>
          </w:p>
        </w:tc>
        <w:tc>
          <w:p>
            <w:pPr>
              <w:pStyle w:val="Compact"/>
              <w:jc w:val="right"/>
            </w:pPr>
            <w:r>
              <w:t xml:space="preserve">0.74</w:t>
            </w:r>
          </w:p>
        </w:tc>
        <w:tc>
          <w:p>
            <w:pPr>
              <w:pStyle w:val="Compact"/>
              <w:jc w:val="left"/>
            </w:pPr>
            <w:r>
              <w:t xml:space="preserve">2.09 (1.80-2.41)</w:t>
            </w:r>
          </w:p>
        </w:tc>
        <w:tc>
          <w:p>
            <w:pPr>
              <w:pStyle w:val="Compact"/>
              <w:jc w:val="left"/>
            </w:pPr>
            <w:r>
              <w:t xml:space="preserve">&lt;0.001</w:t>
            </w:r>
          </w:p>
        </w:tc>
      </w:tr>
      <w:tr>
        <w:tc>
          <w:p/>
        </w:tc>
        <w:tc>
          <w:p>
            <w:pPr>
              <w:pStyle w:val="Compact"/>
              <w:jc w:val="left"/>
            </w:pPr>
            <w:r>
              <w:t xml:space="preserve">Inflammatory joint disease</w:t>
            </w:r>
          </w:p>
        </w:tc>
        <w:tc>
          <w:p>
            <w:pPr>
              <w:pStyle w:val="Compact"/>
              <w:jc w:val="right"/>
            </w:pPr>
            <w:r>
              <w:t xml:space="preserve">0.94</w:t>
            </w:r>
          </w:p>
        </w:tc>
        <w:tc>
          <w:p>
            <w:pPr>
              <w:pStyle w:val="Compact"/>
              <w:jc w:val="left"/>
            </w:pPr>
            <w:r>
              <w:t xml:space="preserve">2.55 (1.91-3.33)</w:t>
            </w:r>
          </w:p>
        </w:tc>
        <w:tc>
          <w:p>
            <w:pPr>
              <w:pStyle w:val="Compact"/>
              <w:jc w:val="left"/>
            </w:pPr>
            <w:r>
              <w:t xml:space="preserve">&lt;0.001</w:t>
            </w:r>
          </w:p>
        </w:tc>
      </w:tr>
      <w:tr>
        <w:tc>
          <w:p>
            <w:pPr>
              <w:pStyle w:val="Compact"/>
              <w:jc w:val="left"/>
            </w:pPr>
            <w:r>
              <w:t xml:space="preserve">Fluid electrolyte disorders</w:t>
            </w:r>
          </w:p>
        </w:tc>
        <w:tc>
          <w:p/>
        </w:tc>
        <w:tc>
          <w:p>
            <w:pPr>
              <w:pStyle w:val="Compact"/>
              <w:jc w:val="right"/>
            </w:pPr>
            <w:r>
              <w:t xml:space="preserve">0.42</w:t>
            </w:r>
          </w:p>
        </w:tc>
        <w:tc>
          <w:p>
            <w:pPr>
              <w:pStyle w:val="Compact"/>
              <w:jc w:val="left"/>
            </w:pPr>
            <w:r>
              <w:t xml:space="preserve">1.52 (1.01-2.20)</w:t>
            </w:r>
          </w:p>
        </w:tc>
        <w:tc>
          <w:p>
            <w:pPr>
              <w:pStyle w:val="Compact"/>
              <w:jc w:val="left"/>
            </w:pPr>
            <w:r>
              <w:t xml:space="preserve">0.034</w:t>
            </w:r>
          </w:p>
        </w:tc>
      </w:tr>
      <w:tr>
        <w:tc>
          <w:p>
            <w:pPr>
              <w:pStyle w:val="Compact"/>
              <w:jc w:val="left"/>
            </w:pPr>
            <w:r>
              <w:t xml:space="preserve">Liver disease</w:t>
            </w:r>
          </w:p>
        </w:tc>
        <w:tc>
          <w:p/>
        </w:tc>
        <w:tc>
          <w:p>
            <w:pPr>
              <w:pStyle w:val="Compact"/>
              <w:jc w:val="right"/>
            </w:pPr>
            <w:r>
              <w:t xml:space="preserve">0.75</w:t>
            </w:r>
          </w:p>
        </w:tc>
        <w:tc>
          <w:p>
            <w:pPr>
              <w:pStyle w:val="Compact"/>
              <w:jc w:val="left"/>
            </w:pPr>
            <w:r>
              <w:t xml:space="preserve">2.11 (1.44-3.00)</w:t>
            </w:r>
          </w:p>
        </w:tc>
        <w:tc>
          <w:p>
            <w:pPr>
              <w:pStyle w:val="Compact"/>
              <w:jc w:val="left"/>
            </w:pPr>
            <w:r>
              <w:t xml:space="preserve">&lt;0.001</w:t>
            </w:r>
          </w:p>
        </w:tc>
      </w:tr>
      <w:tr>
        <w:tc>
          <w:p>
            <w:pPr>
              <w:pStyle w:val="Compact"/>
              <w:jc w:val="left"/>
            </w:pPr>
            <w:r>
              <w:t xml:space="preserve">Lung airways disease</w:t>
            </w:r>
          </w:p>
        </w:tc>
        <w:tc>
          <w:p/>
        </w:tc>
        <w:tc>
          <w:p>
            <w:pPr>
              <w:pStyle w:val="Compact"/>
              <w:jc w:val="right"/>
            </w:pPr>
            <w:r>
              <w:t xml:space="preserve">0.27</w:t>
            </w:r>
          </w:p>
        </w:tc>
        <w:tc>
          <w:p>
            <w:pPr>
              <w:pStyle w:val="Compact"/>
              <w:jc w:val="left"/>
            </w:pPr>
            <w:r>
              <w:t xml:space="preserve">1.31 (1.11-1.54)</w:t>
            </w:r>
          </w:p>
        </w:tc>
        <w:tc>
          <w:p>
            <w:pPr>
              <w:pStyle w:val="Compact"/>
              <w:jc w:val="left"/>
            </w:pPr>
            <w:r>
              <w:t xml:space="preserve">0.001</w:t>
            </w:r>
          </w:p>
        </w:tc>
      </w:tr>
      <w:tr>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Male</w:t>
            </w:r>
          </w:p>
        </w:tc>
        <w:tc>
          <w:p>
            <w:pPr>
              <w:pStyle w:val="Compact"/>
              <w:jc w:val="right"/>
            </w:pPr>
            <w:r>
              <w:t xml:space="preserve">0.37</w:t>
            </w:r>
          </w:p>
        </w:tc>
        <w:tc>
          <w:p>
            <w:pPr>
              <w:pStyle w:val="Compact"/>
              <w:jc w:val="left"/>
            </w:pPr>
            <w:r>
              <w:t xml:space="preserve">1.45 (1.33-1.59)</w:t>
            </w:r>
          </w:p>
        </w:tc>
        <w:tc>
          <w:p>
            <w:pPr>
              <w:pStyle w:val="Compact"/>
              <w:jc w:val="left"/>
            </w:pPr>
            <w:r>
              <w:t xml:space="preserve">&lt;0.001</w:t>
            </w:r>
          </w:p>
        </w:tc>
      </w:tr>
    </w:tbl>
    <w:bookmarkEnd w:id="60"/>
    <w:bookmarkStart w:id="61" w:name="page-break-13"/>
    <w:p>
      <w:pPr>
        <w:pStyle w:val="Heading5"/>
      </w:pPr>
      <w:r>
        <w:rPr>
          <w:rStyle w:val="SectionNumber"/>
        </w:rPr>
        <w:t xml:space="preserve">8.0.0.0.11</w:t>
      </w:r>
      <w:r>
        <w:tab/>
      </w:r>
      <w:r>
        <w:t xml:space="preserve">PAGE BREAK</w:t>
      </w:r>
    </w:p>
    <w:bookmarkEnd w:id="61"/>
    <w:bookmarkEnd w:id="62"/>
    <w:bookmarkStart w:id="120" w:name="bibliography"/>
    <w:p>
      <w:pPr>
        <w:pStyle w:val="Heading1"/>
      </w:pPr>
      <w:r>
        <w:t xml:space="preserve">Bibliography</w:t>
      </w:r>
    </w:p>
    <w:bookmarkStart w:id="119" w:name="refs"/>
    <w:bookmarkStart w:id="63" w:name="ref-Zimmerli2006"/>
    <w:p>
      <w:pPr>
        <w:pStyle w:val="Bibliography"/>
      </w:pPr>
      <w:r>
        <w:t xml:space="preserve">1</w:t>
      </w:r>
      <w:r>
        <w:t xml:space="preserve"> </w:t>
      </w:r>
      <w:r>
        <w:t xml:space="preserve">	</w:t>
      </w:r>
      <w:r>
        <w:t xml:space="preserve">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3"/>
    <w:bookmarkStart w:id="64" w:name="ref-Kapadia2016"/>
    <w:p>
      <w:pPr>
        <w:pStyle w:val="Bibliography"/>
      </w:pPr>
      <w:r>
        <w:t xml:space="preserve">2</w:t>
      </w:r>
      <w:r>
        <w:t xml:space="preserve"> </w:t>
      </w:r>
      <w:r>
        <w:t xml:space="preserve">	</w:t>
      </w:r>
      <w:r>
        <w:t xml:space="preserve">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4"/>
    <w:bookmarkStart w:id="65" w:name="ref-Shohat2019"/>
    <w:p>
      <w:pPr>
        <w:pStyle w:val="Bibliography"/>
      </w:pPr>
      <w:r>
        <w:t xml:space="preserve">3</w:t>
      </w:r>
      <w:r>
        <w:t xml:space="preserve"> </w:t>
      </w:r>
      <w:r>
        <w:t xml:space="preserve">	</w:t>
      </w:r>
      <w:r>
        <w:t xml:space="preserve">Shohat N, Bauer T, Buttaro M,</w:t>
      </w:r>
      <w:r>
        <w:t xml:space="preserve"> </w:t>
      </w:r>
      <w:r>
        <w:rPr>
          <w:i/>
        </w:rPr>
        <w:t xml:space="preserve">et al.</w:t>
      </w:r>
      <w:r>
        <w:t xml:space="preserve"> Hip and</w:t>
      </w:r>
      <w:r>
        <w:t xml:space="preserve"> </w:t>
      </w:r>
      <w:r>
        <w:t xml:space="preserve">Knee Section</w:t>
      </w:r>
      <w:r>
        <w:t xml:space="preserve">,</w:t>
      </w:r>
      <w:r>
        <w:t xml:space="preserve"> </w:t>
      </w:r>
      <w:r>
        <w:t xml:space="preserve">What</w:t>
      </w:r>
      <w:r>
        <w:t xml:space="preserve"> </w:t>
      </w:r>
      <w:r>
        <w:t xml:space="preserve">is the</w:t>
      </w:r>
      <w:r>
        <w:t xml:space="preserve"> </w:t>
      </w:r>
      <w:r>
        <w:t xml:space="preserve">Definition</w:t>
      </w:r>
      <w:r>
        <w:t xml:space="preserve"> </w:t>
      </w:r>
      <w:r>
        <w:t xml:space="preserve">of a</w:t>
      </w:r>
      <w:r>
        <w:t xml:space="preserve"> </w:t>
      </w:r>
      <w:r>
        <w:t xml:space="preserve">Periprosthetic Joint Infection</w:t>
      </w:r>
      <w:r>
        <w:t xml:space="preserve"> </w:t>
      </w:r>
      <w:r>
        <w:t xml:space="preserve">(</w:t>
      </w:r>
      <w:r>
        <w:t xml:space="preserve">PJI</w:t>
      </w:r>
      <w:r>
        <w:t xml:space="preserve">) of the</w:t>
      </w:r>
      <w:r>
        <w:t xml:space="preserve"> </w:t>
      </w:r>
      <w:r>
        <w:t xml:space="preserve">Knee</w:t>
      </w:r>
      <w:r>
        <w:t xml:space="preserve"> </w:t>
      </w:r>
      <w:r>
        <w:t xml:space="preserve">and the</w:t>
      </w:r>
      <w:r>
        <w:t xml:space="preserve"> </w:t>
      </w:r>
      <w:r>
        <w:t xml:space="preserve">Hip</w:t>
      </w:r>
      <w:r>
        <w:t xml:space="preserve">?</w:t>
      </w:r>
      <w:r>
        <w:t xml:space="preserve"> </w:t>
      </w:r>
      <w:r>
        <w:t xml:space="preserve">Can</w:t>
      </w:r>
      <w:r>
        <w:t xml:space="preserve"> </w:t>
      </w:r>
      <w:r>
        <w:t xml:space="preserve">the</w:t>
      </w:r>
      <w:r>
        <w:t xml:space="preserve"> </w:t>
      </w:r>
      <w:r>
        <w:t xml:space="preserve">Same Criteria</w:t>
      </w:r>
      <w:r>
        <w:t xml:space="preserve"> </w:t>
      </w:r>
      <w:r>
        <w:t xml:space="preserve">be</w:t>
      </w:r>
      <w:r>
        <w:t xml:space="preserve"> </w:t>
      </w:r>
      <w:r>
        <w:t xml:space="preserve">Used</w:t>
      </w:r>
      <w:r>
        <w:t xml:space="preserve"> </w:t>
      </w:r>
      <w:r>
        <w:t xml:space="preserve">for</w:t>
      </w:r>
      <w:r>
        <w:t xml:space="preserve"> </w:t>
      </w:r>
      <w:r>
        <w:t xml:space="preserve">Both Joints</w:t>
      </w:r>
      <w:r>
        <w:t xml:space="preserve">?:</w:t>
      </w:r>
      <w:r>
        <w:t xml:space="preserve"> </w:t>
      </w:r>
      <w:r>
        <w:t xml:space="preserve">Proceedings</w:t>
      </w:r>
      <w:r>
        <w:t xml:space="preserve"> </w:t>
      </w:r>
      <w:r>
        <w:t xml:space="preserve">of</w:t>
      </w:r>
      <w:r>
        <w:t xml:space="preserve"> </w:t>
      </w:r>
      <w:r>
        <w:t xml:space="preserve">International Consensus</w:t>
      </w:r>
      <w:r>
        <w:t xml:space="preserve"> </w:t>
      </w:r>
      <w:r>
        <w:t xml:space="preserve">on</w:t>
      </w:r>
      <w:r>
        <w:t xml:space="preserve"> </w:t>
      </w:r>
      <w:r>
        <w:t xml:space="preserve">Orthopedic Infections</w:t>
      </w:r>
      <w:r>
        <w:t xml:space="preserve">.</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65"/>
    <w:bookmarkStart w:id="66" w:name="ref-Ridgeway2005"/>
    <w:p>
      <w:pPr>
        <w:pStyle w:val="Bibliography"/>
      </w:pPr>
      <w:r>
        <w:t xml:space="preserve">4</w:t>
      </w:r>
      <w:r>
        <w:t xml:space="preserve"> </w:t>
      </w:r>
      <w:r>
        <w:t xml:space="preserve">	</w:t>
      </w:r>
      <w:r>
        <w:t xml:space="preserve">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66"/>
    <w:bookmarkStart w:id="67" w:name="ref-Lai2007"/>
    <w:p>
      <w:pPr>
        <w:pStyle w:val="Bibliography"/>
      </w:pPr>
      <w:r>
        <w:t xml:space="preserve">5</w:t>
      </w:r>
      <w:r>
        <w:t xml:space="preserve"> </w:t>
      </w:r>
      <w:r>
        <w:t xml:space="preserve">	</w:t>
      </w:r>
      <w:r>
        <w:t xml:space="preserve">Lai K, Bohm ER, Burnell C, Hedden DR. Presence of</w:t>
      </w:r>
      <w:r>
        <w:t xml:space="preserve"> </w:t>
      </w:r>
      <w:r>
        <w:t xml:space="preserve">Medical Comorbidities</w:t>
      </w:r>
      <w:r>
        <w:t xml:space="preserve"> </w:t>
      </w:r>
      <w:r>
        <w:t xml:space="preserve">in</w:t>
      </w:r>
      <w:r>
        <w:t xml:space="preserve"> </w:t>
      </w:r>
      <w:r>
        <w:t xml:space="preserve">Patients With Infected Primary Hip</w:t>
      </w:r>
      <w:r>
        <w:t xml:space="preserve"> </w:t>
      </w:r>
      <w:r>
        <w:t xml:space="preserve">or</w:t>
      </w:r>
      <w:r>
        <w:t xml:space="preserve"> </w:t>
      </w:r>
      <w:r>
        <w:t xml:space="preserve">Knee Arthroplasties</w:t>
      </w:r>
      <w:r>
        <w:t xml:space="preserve">.</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67"/>
    <w:bookmarkStart w:id="68" w:name="ref-Malinzak2009"/>
    <w:p>
      <w:pPr>
        <w:pStyle w:val="Bibliography"/>
      </w:pPr>
      <w:r>
        <w:t xml:space="preserve">6</w:t>
      </w:r>
      <w:r>
        <w:t xml:space="preserve"> </w:t>
      </w:r>
      <w:r>
        <w:t xml:space="preserve">	</w:t>
      </w:r>
      <w:r>
        <w:t xml:space="preserve">Malinzak RA, Ritter MA, Berend ME, Meding JB, Olberding EM, Davis KE. Morbidly</w:t>
      </w:r>
      <w:r>
        <w:t xml:space="preserve"> </w:t>
      </w:r>
      <w:r>
        <w:t xml:space="preserve">Obese</w:t>
      </w:r>
      <w:r>
        <w:t xml:space="preserve">,</w:t>
      </w:r>
      <w:r>
        <w:t xml:space="preserve"> </w:t>
      </w:r>
      <w:r>
        <w:t xml:space="preserve">Diabetic</w:t>
      </w:r>
      <w:r>
        <w:t xml:space="preserve">,</w:t>
      </w:r>
      <w:r>
        <w:t xml:space="preserve"> </w:t>
      </w:r>
      <w:r>
        <w:t xml:space="preserve">Younger</w:t>
      </w:r>
      <w:r>
        <w:t xml:space="preserve">, and</w:t>
      </w:r>
      <w:r>
        <w:t xml:space="preserve"> </w:t>
      </w:r>
      <w:r>
        <w:t xml:space="preserve">Unilateral Joint Arthroplasty Patients Have Elevated Total Joint Arthroplasty Infection Rates</w:t>
      </w:r>
      <w:r>
        <w:t xml:space="preserve">.</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68"/>
    <w:bookmarkStart w:id="69" w:name="ref-Ong2009"/>
    <w:p>
      <w:pPr>
        <w:pStyle w:val="Bibliography"/>
      </w:pPr>
      <w:r>
        <w:t xml:space="preserve">7</w:t>
      </w:r>
      <w:r>
        <w:t xml:space="preserve"> </w:t>
      </w:r>
      <w:r>
        <w:t xml:space="preserve">	</w:t>
      </w:r>
      <w:r>
        <w:t xml:space="preserve">Ong KL, Kurtz SM, Lau E, Bozic KJ, Berry DJ, Parvizi J. Prosthetic</w:t>
      </w:r>
      <w:r>
        <w:t xml:space="preserve"> </w:t>
      </w:r>
      <w:r>
        <w:t xml:space="preserve">Joint Infection Risk After Total Hip Arthroplasty</w:t>
      </w:r>
      <w:r>
        <w:t xml:space="preserve"> </w:t>
      </w:r>
      <w:r>
        <w:t xml:space="preserve">in the</w:t>
      </w:r>
      <w:r>
        <w:t xml:space="preserve"> </w:t>
      </w:r>
      <w:r>
        <w:t xml:space="preserve">Medicare Population</w:t>
      </w:r>
      <w:r>
        <w:t xml:space="preserve">.</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69"/>
    <w:bookmarkStart w:id="70" w:name="ref-Pedersen2010"/>
    <w:p>
      <w:pPr>
        <w:pStyle w:val="Bibliography"/>
      </w:pPr>
      <w:r>
        <w:t xml:space="preserve">8</w:t>
      </w:r>
      <w:r>
        <w:t xml:space="preserve"> </w:t>
      </w:r>
      <w:r>
        <w:t xml:space="preserve">	</w:t>
      </w:r>
      <w:r>
        <w:t xml:space="preserve">Pedersen AB, Mehnert F, Johnsen SP, Sørensen HT. Risk of revision of a total hip replacement in patients with diabetes mellitus:</w:t>
      </w:r>
      <w:r>
        <w:t xml:space="preserve"> </w:t>
      </w:r>
      <w:r>
        <w:t xml:space="preserve">A POPULATION</w:t>
      </w:r>
      <w:r>
        <w:t xml:space="preserve">-</w:t>
      </w:r>
      <w:r>
        <w:t xml:space="preserve">BASED FOLLOW UP STUDY</w:t>
      </w:r>
      <w:r>
        <w:t xml:space="preserve">.</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0"/>
    <w:bookmarkStart w:id="71" w:name="ref-Bozic2012"/>
    <w:p>
      <w:pPr>
        <w:pStyle w:val="Bibliography"/>
      </w:pPr>
      <w:r>
        <w:t xml:space="preserve">9</w:t>
      </w:r>
      <w:r>
        <w:t xml:space="preserve"> </w:t>
      </w:r>
      <w:r>
        <w:t xml:space="preserve">	</w:t>
      </w:r>
      <w:r>
        <w:t xml:space="preserve">Bozic KJ, Lau E, Kurtz S,</w:t>
      </w:r>
      <w:r>
        <w:t xml:space="preserve"> </w:t>
      </w:r>
      <w:r>
        <w:rPr>
          <w:i/>
        </w:rPr>
        <w:t xml:space="preserve">et al.</w:t>
      </w:r>
      <w:r>
        <w:t xml:space="preserve"> 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1"/>
    <w:bookmarkStart w:id="72" w:name="ref-Jamsen2012"/>
    <w:p>
      <w:pPr>
        <w:pStyle w:val="Bibliography"/>
      </w:pPr>
      <w:r>
        <w:t xml:space="preserve">10</w:t>
      </w:r>
      <w:r>
        <w:t xml:space="preserve"> </w:t>
      </w:r>
      <w:r>
        <w:t xml:space="preserve">	</w:t>
      </w:r>
      <w:r>
        <w:t xml:space="preserve">Jämsen E, Nevalainen P, Eskelinen A, Huotari K, Kalliovalkama J, Moilanen T. Obesity,</w:t>
      </w:r>
      <w:r>
        <w:t xml:space="preserve"> </w:t>
      </w:r>
      <w:r>
        <w:t xml:space="preserve">Diabetes</w:t>
      </w:r>
      <w:r>
        <w:t xml:space="preserve">, and</w:t>
      </w:r>
      <w:r>
        <w:t xml:space="preserve"> </w:t>
      </w:r>
      <w:r>
        <w:t xml:space="preserve">Preoperative Hyperglycemia</w:t>
      </w:r>
      <w:r>
        <w:t xml:space="preserve"> </w:t>
      </w:r>
      <w:r>
        <w:t xml:space="preserve">as</w:t>
      </w:r>
      <w:r>
        <w:t xml:space="preserve"> </w:t>
      </w:r>
      <w:r>
        <w:t xml:space="preserve">Predictors</w:t>
      </w:r>
      <w:r>
        <w:t xml:space="preserve"> </w:t>
      </w:r>
      <w:r>
        <w:t xml:space="preserve">of</w:t>
      </w:r>
      <w:r>
        <w:t xml:space="preserve"> </w:t>
      </w:r>
      <w:r>
        <w:t xml:space="preserve">Periprosthetic Joint Infection</w:t>
      </w:r>
      <w:r>
        <w:t xml:space="preserve">:</w:t>
      </w:r>
      <w:r>
        <w:t xml:space="preserve"> </w:t>
      </w:r>
      <w:r>
        <w:t xml:space="preserve">A Single</w:t>
      </w:r>
      <w:r>
        <w:t xml:space="preserve">-</w:t>
      </w:r>
      <w:r>
        <w:t xml:space="preserve">Center Analysis</w:t>
      </w:r>
      <w:r>
        <w:t xml:space="preserve"> </w:t>
      </w:r>
      <w:r>
        <w:t xml:space="preserve">of 7181</w:t>
      </w:r>
      <w:r>
        <w:t xml:space="preserve"> </w:t>
      </w:r>
      <w:r>
        <w:t xml:space="preserve">Primary Hip</w:t>
      </w:r>
      <w:r>
        <w:t xml:space="preserve"> </w:t>
      </w:r>
      <w:r>
        <w:t xml:space="preserve">and</w:t>
      </w:r>
      <w:r>
        <w:t xml:space="preserve"> </w:t>
      </w:r>
      <w:r>
        <w:t xml:space="preserve">Knee Replacements</w:t>
      </w:r>
      <w:r>
        <w:t xml:space="preserve"> </w:t>
      </w:r>
      <w:r>
        <w:t xml:space="preserve">for</w:t>
      </w:r>
      <w:r>
        <w:t xml:space="preserve"> </w:t>
      </w:r>
      <w:r>
        <w:t xml:space="preserve">Osteoarthritis</w:t>
      </w:r>
      <w:r>
        <w:t xml:space="preserve">.</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2"/>
    <w:bookmarkStart w:id="73" w:name="ref-Rasouli2014a"/>
    <w:p>
      <w:pPr>
        <w:pStyle w:val="Bibliography"/>
      </w:pPr>
      <w:r>
        <w:t xml:space="preserve">11</w:t>
      </w:r>
      <w:r>
        <w:t xml:space="preserve"> </w:t>
      </w:r>
      <w:r>
        <w:t xml:space="preserve">	</w:t>
      </w:r>
      <w:r>
        <w:t xml:space="preserve">Rasouli MR, Restrepo C, Maltenfort MG, Purtill JJ, Parvizi J. Risk</w:t>
      </w:r>
      <w:r>
        <w:t xml:space="preserve"> </w:t>
      </w:r>
      <w:r>
        <w:t xml:space="preserve">Factors</w:t>
      </w:r>
      <w:r>
        <w:t xml:space="preserve"> </w:t>
      </w:r>
      <w:r>
        <w:t xml:space="preserve">for</w:t>
      </w:r>
      <w:r>
        <w:t xml:space="preserve"> </w:t>
      </w:r>
      <w:r>
        <w:t xml:space="preserve">Surgical Site Infection Following Total Joint Arthroplasty</w:t>
      </w:r>
      <w:r>
        <w:t xml:space="preserve">:</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3"/>
    <w:bookmarkStart w:id="74" w:name="ref-Maoz2015"/>
    <w:p>
      <w:pPr>
        <w:pStyle w:val="Bibliography"/>
      </w:pPr>
      <w:r>
        <w:t xml:space="preserve">12</w:t>
      </w:r>
      <w:r>
        <w:t xml:space="preserve"> </w:t>
      </w:r>
      <w:r>
        <w:t xml:space="preserve">	</w:t>
      </w:r>
      <w:r>
        <w:t xml:space="preserve">Maoz G, Phillips M, Bosco J,</w:t>
      </w:r>
      <w:r>
        <w:t xml:space="preserve"> </w:t>
      </w:r>
      <w:r>
        <w:rPr>
          <w:i/>
        </w:rPr>
        <w:t xml:space="preserve">et al.</w:t>
      </w:r>
      <w:r>
        <w:t xml:space="preserve"> The</w:t>
      </w:r>
      <w:r>
        <w:t xml:space="preserve"> </w:t>
      </w:r>
      <w:r>
        <w:t xml:space="preserve">Otto Aufranc Award</w:t>
      </w:r>
      <w:r>
        <w:t xml:space="preserve">:</w:t>
      </w:r>
      <w:r>
        <w:t xml:space="preserve"> </w:t>
      </w:r>
      <w:r>
        <w:t xml:space="preserve">Modifiable</w:t>
      </w:r>
      <w:r>
        <w:t xml:space="preserve"> </w:t>
      </w:r>
      <w:r>
        <w:t xml:space="preserve">versus</w:t>
      </w:r>
      <w:r>
        <w:t xml:space="preserve"> </w:t>
      </w:r>
      <w:r>
        <w:t xml:space="preserve">Nonmodifiable Risk Factors</w:t>
      </w:r>
      <w:r>
        <w:t xml:space="preserve"> </w:t>
      </w:r>
      <w:r>
        <w:t xml:space="preserve">for</w:t>
      </w:r>
      <w:r>
        <w:t xml:space="preserve"> </w:t>
      </w:r>
      <w:r>
        <w:t xml:space="preserve">Infection After Hip Arthroplasty</w:t>
      </w:r>
      <w:r>
        <w:t xml:space="preserve">.</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4"/>
    <w:bookmarkStart w:id="75" w:name="ref-Haynes1995"/>
    <w:p>
      <w:pPr>
        <w:pStyle w:val="Bibliography"/>
      </w:pPr>
      <w:r>
        <w:t xml:space="preserve">13</w:t>
      </w:r>
      <w:r>
        <w:t xml:space="preserve"> </w:t>
      </w:r>
      <w:r>
        <w:t xml:space="preserve">	</w:t>
      </w:r>
      <w:r>
        <w:t xml:space="preserve">Haynes SR, Lawler PG. An assessment of the consistency of</w:t>
      </w:r>
      <w:r>
        <w:t xml:space="preserve"> </w:t>
      </w:r>
      <w:r>
        <w:t xml:space="preserve">ASA</w:t>
      </w:r>
      <w:r>
        <w:t xml:space="preserve"> </w:t>
      </w:r>
      <w:r>
        <w:t xml:space="preserve">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5"/>
    <w:bookmarkStart w:id="76" w:name="ref-Berbari2012"/>
    <w:p>
      <w:pPr>
        <w:pStyle w:val="Bibliography"/>
      </w:pPr>
      <w:r>
        <w:t xml:space="preserve">14</w:t>
      </w:r>
      <w:r>
        <w:t xml:space="preserve"> </w:t>
      </w:r>
      <w:r>
        <w:t xml:space="preserve">	</w:t>
      </w:r>
      <w:r>
        <w:t xml:space="preserve">Berbari EF, Osmon DR, Lahr B,</w:t>
      </w:r>
      <w:r>
        <w:t xml:space="preserve"> </w:t>
      </w:r>
      <w:r>
        <w:rPr>
          <w:i/>
        </w:rPr>
        <w:t xml:space="preserve">et al.</w:t>
      </w:r>
      <w:r>
        <w:t xml:space="preserve"> The</w:t>
      </w:r>
      <w:r>
        <w:t xml:space="preserve"> </w:t>
      </w:r>
      <w:r>
        <w:t xml:space="preserve">Mayo Prosthetic Joint Infection Risk Score</w:t>
      </w:r>
      <w:r>
        <w:t xml:space="preserve">:</w:t>
      </w:r>
      <w:r>
        <w:t xml:space="preserve"> </w:t>
      </w:r>
      <w:r>
        <w:t xml:space="preserve">Implication</w:t>
      </w:r>
      <w:r>
        <w:t xml:space="preserve"> </w:t>
      </w:r>
      <w:r>
        <w:t xml:space="preserve">for</w:t>
      </w:r>
      <w:r>
        <w:t xml:space="preserve"> </w:t>
      </w:r>
      <w:r>
        <w:t xml:space="preserve">Surgical Site Infection Reporting</w:t>
      </w:r>
      <w:r>
        <w:t xml:space="preserve"> </w:t>
      </w:r>
      <w:r>
        <w:t xml:space="preserve">and</w:t>
      </w:r>
      <w:r>
        <w:t xml:space="preserve"> </w:t>
      </w:r>
      <w:r>
        <w:t xml:space="preserve">Risk Stratification</w:t>
      </w:r>
      <w:r>
        <w:t xml:space="preserve">.</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76"/>
    <w:bookmarkStart w:id="77" w:name="ref-Charlson1987"/>
    <w:p>
      <w:pPr>
        <w:pStyle w:val="Bibliography"/>
      </w:pPr>
      <w:r>
        <w:t xml:space="preserve">15</w:t>
      </w:r>
      <w:r>
        <w:t xml:space="preserve"> </w:t>
      </w:r>
      <w:r>
        <w:t xml:space="preserve">	</w:t>
      </w:r>
      <w:r>
        <w:t xml:space="preserve">Charlson ME, Pompei P, Ales KL, MacKenzie CR. A new method of classifying prognostic comorbidity in longitudinal studies:</w:t>
      </w:r>
      <w:r>
        <w:t xml:space="preserve"> </w:t>
      </w:r>
      <w:r>
        <w:t xml:space="preserve">Development</w:t>
      </w:r>
      <w:r>
        <w:t xml:space="preserve"> </w:t>
      </w:r>
      <w:r>
        <w:t xml:space="preserve">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77"/>
    <w:bookmarkStart w:id="78" w:name="ref-Elixhauser1998"/>
    <w:p>
      <w:pPr>
        <w:pStyle w:val="Bibliography"/>
      </w:pPr>
      <w:r>
        <w:t xml:space="preserve">16</w:t>
      </w:r>
      <w:r>
        <w:t xml:space="preserve"> </w:t>
      </w:r>
      <w:r>
        <w:t xml:space="preserve">	</w:t>
      </w:r>
      <w:r>
        <w:t xml:space="preserve">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78"/>
    <w:bookmarkStart w:id="79" w:name="ref-Sloan2003"/>
    <w:p>
      <w:pPr>
        <w:pStyle w:val="Bibliography"/>
      </w:pPr>
      <w:r>
        <w:t xml:space="preserve">17</w:t>
      </w:r>
      <w:r>
        <w:t xml:space="preserve"> </w:t>
      </w:r>
      <w:r>
        <w:t xml:space="preserve">	</w:t>
      </w:r>
      <w:r>
        <w:t xml:space="preserve">Sloan KL, Sales AE, Liu C-F,</w:t>
      </w:r>
      <w:r>
        <w:t xml:space="preserve"> </w:t>
      </w:r>
      <w:r>
        <w:rPr>
          <w:i/>
        </w:rPr>
        <w:t xml:space="preserve">et al.</w:t>
      </w:r>
      <w:r>
        <w:t xml:space="preserve"> Construction and characteristics of the</w:t>
      </w:r>
      <w:r>
        <w:t xml:space="preserve"> </w:t>
      </w:r>
      <w:r>
        <w:t xml:space="preserve">RxRisk</w:t>
      </w:r>
      <w:r>
        <w:t xml:space="preserve">-</w:t>
      </w:r>
      <w:r>
        <w:t xml:space="preserve">V</w:t>
      </w:r>
      <w:r>
        <w:t xml:space="preserve">: A</w:t>
      </w:r>
      <w:r>
        <w:t xml:space="preserve"> </w:t>
      </w:r>
      <w:r>
        <w:t xml:space="preserve">VA</w:t>
      </w:r>
      <w:r>
        <w:t xml:space="preserve">-adapted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79"/>
    <w:bookmarkStart w:id="81" w:name="ref-Pratt2018"/>
    <w:p>
      <w:pPr>
        <w:pStyle w:val="Bibliography"/>
      </w:pPr>
      <w:r>
        <w:t xml:space="preserve">18</w:t>
      </w:r>
      <w:r>
        <w:t xml:space="preserve"> </w:t>
      </w:r>
      <w:r>
        <w:t xml:space="preserve">	</w:t>
      </w:r>
      <w:r>
        <w:t xml:space="preserve">Pratt NL, Kerr M, Barratt JD,</w:t>
      </w:r>
      <w:r>
        <w:t xml:space="preserve"> </w:t>
      </w:r>
      <w:r>
        <w:rPr>
          <w:i/>
        </w:rPr>
        <w:t xml:space="preserve">et al.</w:t>
      </w:r>
      <w:r>
        <w:t xml:space="preserve"> The validity of the</w:t>
      </w:r>
      <w:r>
        <w:t xml:space="preserve"> </w:t>
      </w:r>
      <w:r>
        <w:t xml:space="preserve">Rx</w:t>
      </w:r>
      <w:r>
        <w:t xml:space="preserve">-</w:t>
      </w:r>
      <w:r>
        <w:t xml:space="preserve">Risk</w:t>
      </w:r>
      <w:r>
        <w:t xml:space="preserve"> </w:t>
      </w:r>
      <w:r>
        <w:t xml:space="preserve">comorbidity index using medicines mapped to the anatomical therapeutic chemical (</w:t>
      </w:r>
      <w:r>
        <w:t xml:space="preserve">ATC</w:t>
      </w:r>
      <w:r>
        <w:t xml:space="preserve">)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0">
        <w:r>
          <w:rPr>
            <w:rStyle w:val="Hyperlink"/>
          </w:rPr>
          <w:t xml:space="preserve">10.1136/bmjopen-2017-021122</w:t>
        </w:r>
      </w:hyperlink>
      <w:r>
        <w:t xml:space="preserve">.</w:t>
      </w:r>
    </w:p>
    <w:bookmarkEnd w:id="81"/>
    <w:bookmarkStart w:id="82" w:name="ref-Edelstein2015"/>
    <w:p>
      <w:pPr>
        <w:pStyle w:val="Bibliography"/>
      </w:pPr>
      <w:r>
        <w:t xml:space="preserve">19</w:t>
      </w:r>
      <w:r>
        <w:t xml:space="preserve"> </w:t>
      </w:r>
      <w:r>
        <w:t xml:space="preserve">	</w:t>
      </w:r>
      <w:r>
        <w:t xml:space="preserve">Edelstein AI, Kwasny MJ, Suleiman LI,</w:t>
      </w:r>
      <w:r>
        <w:t xml:space="preserve"> </w:t>
      </w:r>
      <w:r>
        <w:rPr>
          <w:i/>
        </w:rPr>
        <w:t xml:space="preserve">et al.</w:t>
      </w:r>
      <w:r>
        <w:t xml:space="preserve"> Can the american college of surgeons risk calculator predict 30-</w:t>
      </w:r>
      <w:r>
        <w:t xml:space="preserve">Day</w:t>
      </w:r>
      <w:r>
        <w:t xml:space="preserve"> </w:t>
      </w:r>
      <w:r>
        <w:t xml:space="preserve">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2"/>
    <w:bookmarkStart w:id="83" w:name="ref-Wingert2016a"/>
    <w:p>
      <w:pPr>
        <w:pStyle w:val="Bibliography"/>
      </w:pPr>
      <w:r>
        <w:t xml:space="preserve">20</w:t>
      </w:r>
      <w:r>
        <w:t xml:space="preserve"> </w:t>
      </w:r>
      <w:r>
        <w:t xml:space="preserve">	</w:t>
      </w:r>
      <w:r>
        <w:t xml:space="preserve">Wingert NC, Gotoff J, Parrilla E, Gotoff R, Hou L, Ghanem E. The</w:t>
      </w:r>
      <w:r>
        <w:t xml:space="preserve"> </w:t>
      </w:r>
      <w:r>
        <w:t xml:space="preserve">ACS NSQIP Risk Calculator Is</w:t>
      </w:r>
      <w:r>
        <w:t xml:space="preserve"> </w:t>
      </w:r>
      <w:r>
        <w:t xml:space="preserve">a</w:t>
      </w:r>
      <w:r>
        <w:t xml:space="preserve"> </w:t>
      </w:r>
      <w:r>
        <w:t xml:space="preserve">Fair Predictor</w:t>
      </w:r>
      <w:r>
        <w:t xml:space="preserve"> </w:t>
      </w:r>
      <w:r>
        <w:t xml:space="preserve">of</w:t>
      </w:r>
      <w:r>
        <w:t xml:space="preserve"> </w:t>
      </w:r>
      <w:r>
        <w:t xml:space="preserve">Acute Periprosthetic Joint Infection</w:t>
      </w:r>
      <w:r>
        <w:t xml:space="preserve">:</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3"/>
    <w:bookmarkStart w:id="84" w:name="ref-Bozic2013a"/>
    <w:p>
      <w:pPr>
        <w:pStyle w:val="Bibliography"/>
      </w:pPr>
      <w:r>
        <w:t xml:space="preserve">21</w:t>
      </w:r>
      <w:r>
        <w:t xml:space="preserve"> </w:t>
      </w:r>
      <w:r>
        <w:t xml:space="preserve">	</w:t>
      </w:r>
      <w:r>
        <w:t xml:space="preserve">Bozic KJ, Ong K, Lau E,</w:t>
      </w:r>
      <w:r>
        <w:t xml:space="preserve"> </w:t>
      </w:r>
      <w:r>
        <w:rPr>
          <w:i/>
        </w:rPr>
        <w:t xml:space="preserve">et al.</w:t>
      </w:r>
      <w:r>
        <w:t xml:space="preserve"> Estimating risk in medicare patients with</w:t>
      </w:r>
      <w:r>
        <w:t xml:space="preserve"> </w:t>
      </w:r>
      <w:r>
        <w:t xml:space="preserve">THA</w:t>
      </w:r>
      <w:r>
        <w:t xml:space="preserve">:</w:t>
      </w:r>
      <w:r>
        <w:t xml:space="preserve"> </w:t>
      </w:r>
      <w:r>
        <w:t xml:space="preserve">An</w:t>
      </w:r>
      <w:r>
        <w:t xml:space="preserve"> </w:t>
      </w:r>
      <w:r>
        <w:t xml:space="preserve">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4"/>
    <w:bookmarkStart w:id="85" w:name="ref-Inacio2015a"/>
    <w:p>
      <w:pPr>
        <w:pStyle w:val="Bibliography"/>
      </w:pPr>
      <w:r>
        <w:t xml:space="preserve">22</w:t>
      </w:r>
      <w:r>
        <w:t xml:space="preserve"> </w:t>
      </w:r>
      <w:r>
        <w:t xml:space="preserve">	</w:t>
      </w:r>
      <w:r>
        <w:t xml:space="preserve">Inacio MCS, Pratt NL, Roughead EE, Graves SE. Predicting</w:t>
      </w:r>
      <w:r>
        <w:t xml:space="preserve"> </w:t>
      </w:r>
      <w:r>
        <w:t xml:space="preserve">Infections After Total Joint Arthroplasty Using</w:t>
      </w:r>
      <w:r>
        <w:t xml:space="preserve"> </w:t>
      </w:r>
      <w:r>
        <w:t xml:space="preserve">a</w:t>
      </w:r>
      <w:r>
        <w:t xml:space="preserve"> </w:t>
      </w:r>
      <w:r>
        <w:t xml:space="preserve">Prescription Based Comorbidity Measure</w:t>
      </w:r>
      <w:r>
        <w:t xml:space="preserv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85"/>
    <w:bookmarkStart w:id="86" w:name="ref-Ludvigsson2009"/>
    <w:p>
      <w:pPr>
        <w:pStyle w:val="Bibliography"/>
      </w:pPr>
      <w:r>
        <w:t xml:space="preserve">23</w:t>
      </w:r>
      <w:r>
        <w:t xml:space="preserve"> </w:t>
      </w:r>
      <w:r>
        <w:t xml:space="preserve">	</w:t>
      </w:r>
      <w:r>
        <w:t xml:space="preserve">Ludvigsson JF, Otterblad-Olausson P, Pettersson BU, Ekbom A. The</w:t>
      </w:r>
      <w:r>
        <w:t xml:space="preserve"> </w:t>
      </w:r>
      <w:r>
        <w:t xml:space="preserve">Swedish</w:t>
      </w:r>
      <w:r>
        <w:t xml:space="preserve"> </w:t>
      </w:r>
      <w:r>
        <w:t xml:space="preserve">personal identity number:</w:t>
      </w:r>
      <w:r>
        <w:t xml:space="preserve"> </w:t>
      </w:r>
      <w:r>
        <w:t xml:space="preserve">Possibilities</w:t>
      </w:r>
      <w:r>
        <w:t xml:space="preserve"> </w:t>
      </w:r>
      <w:r>
        <w:t xml:space="preserve">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6"/>
    <w:bookmarkStart w:id="87" w:name="ref-Cnudde2016"/>
    <w:p>
      <w:pPr>
        <w:pStyle w:val="Bibliography"/>
      </w:pPr>
      <w:r>
        <w:t xml:space="preserve">24</w:t>
      </w:r>
      <w:r>
        <w:t xml:space="preserve"> </w:t>
      </w:r>
      <w:r>
        <w:t xml:space="preserve">	</w:t>
      </w:r>
      <w:r>
        <w:t xml:space="preserve">Cnudde P, Rolfson O, Nemes S,</w:t>
      </w:r>
      <w:r>
        <w:t xml:space="preserve"> </w:t>
      </w:r>
      <w:r>
        <w:rPr>
          <w:i/>
        </w:rPr>
        <w:t xml:space="preserve">et al.</w:t>
      </w:r>
      <w:r>
        <w:t xml:space="preserve"> Linking</w:t>
      </w:r>
      <w:r>
        <w:t xml:space="preserve"> </w:t>
      </w:r>
      <w:r>
        <w:t xml:space="preserve">Swedish</w:t>
      </w:r>
      <w:r>
        <w:t xml:space="preserve"> </w:t>
      </w:r>
      <w:r>
        <w:t xml:space="preserve">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7"/>
    <w:bookmarkStart w:id="89" w:name="ref-Karrholm2018"/>
    <w:p>
      <w:pPr>
        <w:pStyle w:val="Bibliography"/>
      </w:pPr>
      <w:r>
        <w:t xml:space="preserve">25</w:t>
      </w:r>
      <w:r>
        <w:t xml:space="preserve"> </w:t>
      </w:r>
      <w:r>
        <w:t xml:space="preserve">	</w:t>
      </w:r>
      <w:r>
        <w:t xml:space="preserve">Kärrholm J, Mohaddes M, Odin D, Vinblad J, Rogmark C, Rolfson O. Svenska höftprotesregistret årsrapport 2017. 2018</w:t>
      </w:r>
      <w:r>
        <w:t xml:space="preserve"> </w:t>
      </w:r>
      <w:hyperlink r:id="rId88">
        <w:r>
          <w:rPr>
            <w:rStyle w:val="Hyperlink"/>
          </w:rPr>
          <w:t xml:space="preserve">https://doi.org/10.18158/ryAO-C4pW</w:t>
        </w:r>
      </w:hyperlink>
      <w:r>
        <w:t xml:space="preserve">.</w:t>
      </w:r>
    </w:p>
    <w:bookmarkEnd w:id="89"/>
    <w:bookmarkStart w:id="90" w:name="ref-Ludvigsson2011"/>
    <w:p>
      <w:pPr>
        <w:pStyle w:val="Bibliography"/>
      </w:pPr>
      <w:r>
        <w:t xml:space="preserve">26</w:t>
      </w:r>
      <w:r>
        <w:t xml:space="preserve"> </w:t>
      </w:r>
      <w:r>
        <w:t xml:space="preserve">	</w:t>
      </w:r>
      <w:r>
        <w:t xml:space="preserve">Ludvigsson JF, Andersson E, Ekbom A,</w:t>
      </w:r>
      <w:r>
        <w:t xml:space="preserve"> </w:t>
      </w:r>
      <w:r>
        <w:rPr>
          <w:i/>
        </w:rPr>
        <w:t xml:space="preserve">et al.</w:t>
      </w:r>
      <w:r>
        <w:t xml:space="preserve"> External review and validation of the</w:t>
      </w:r>
      <w:r>
        <w:t xml:space="preserve"> </w:t>
      </w:r>
      <w:r>
        <w:t xml:space="preserve">Swedish</w:t>
      </w:r>
      <w:r>
        <w:t xml:space="preserve"> </w:t>
      </w:r>
      <w:r>
        <w:t xml:space="preserve">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0"/>
    <w:bookmarkStart w:id="91" w:name="ref-Bulow2020"/>
    <w:p>
      <w:pPr>
        <w:pStyle w:val="Bibliography"/>
      </w:pPr>
      <w:r>
        <w:t xml:space="preserve">27</w:t>
      </w:r>
      <w:r>
        <w:t xml:space="preserve"> </w:t>
      </w:r>
      <w:r>
        <w:t xml:space="preserve">	</w:t>
      </w:r>
      <w:r>
        <w:t xml:space="preserve">Bülow E, Nemes S, Rolfson O. Are the first or the second hips of staged bilateral</w:t>
      </w:r>
      <w:r>
        <w:t xml:space="preserve"> </w:t>
      </w:r>
      <w:r>
        <w:t xml:space="preserve">THAs</w:t>
      </w:r>
      <w:r>
        <w:t xml:space="preserve"> </w:t>
      </w:r>
      <w:r>
        <w:t xml:space="preserve">more similar to unilateral procedures?</w:t>
      </w:r>
      <w:r>
        <w:t xml:space="preserve"> </w:t>
      </w:r>
      <w:r>
        <w:t xml:space="preserve">A</w:t>
      </w:r>
      <w:r>
        <w:t xml:space="preserve"> </w:t>
      </w:r>
      <w:r>
        <w:t xml:space="preserve">study from the swedish hip arthroplasty register.</w:t>
      </w:r>
      <w:r>
        <w:t xml:space="preserve"> </w:t>
      </w:r>
      <w:r>
        <w:rPr>
          <w:i/>
        </w:rPr>
        <w:t xml:space="preserve">Clinical Orthopaedics and Related Research</w:t>
      </w:r>
      <w:r>
        <w:t xml:space="preserve"> </w:t>
      </w:r>
      <w:r>
        <w:t xml:space="preserve">2020;</w:t>
      </w:r>
      <w:r>
        <w:t xml:space="preserve"> </w:t>
      </w:r>
      <w:r>
        <w:rPr>
          <w:b/>
        </w:rPr>
        <w:t xml:space="preserve">2020</w:t>
      </w:r>
      <w:r>
        <w:t xml:space="preserve">: 11262–70.</w:t>
      </w:r>
    </w:p>
    <w:bookmarkEnd w:id="91"/>
    <w:bookmarkStart w:id="92" w:name="ref-Quan2005"/>
    <w:p>
      <w:pPr>
        <w:pStyle w:val="Bibliography"/>
      </w:pPr>
      <w:r>
        <w:t xml:space="preserve">28</w:t>
      </w:r>
      <w:r>
        <w:t xml:space="preserve"> </w:t>
      </w:r>
      <w:r>
        <w:t xml:space="preserve">	</w:t>
      </w:r>
      <w:r>
        <w:t xml:space="preserve">Quan H, Sundararajan V, Halfon P,</w:t>
      </w:r>
      <w:r>
        <w:t xml:space="preserve"> </w:t>
      </w:r>
      <w:r>
        <w:rPr>
          <w:i/>
        </w:rPr>
        <w:t xml:space="preserve">et al.</w:t>
      </w:r>
      <w:r>
        <w:t xml:space="preserve"> Coding algorithms for defining comorbidities in</w:t>
      </w:r>
      <w:r>
        <w:t xml:space="preserve"> </w:t>
      </w:r>
      <w:r>
        <w:t xml:space="preserve">ICD</w:t>
      </w:r>
      <w:r>
        <w:t xml:space="preserve">-9-</w:t>
      </w:r>
      <w:r>
        <w:t xml:space="preserve">CM</w:t>
      </w:r>
      <w:r>
        <w:t xml:space="preserve"> </w:t>
      </w:r>
      <w:r>
        <w:t xml:space="preserve">and</w:t>
      </w:r>
      <w:r>
        <w:t xml:space="preserve"> </w:t>
      </w:r>
      <w:r>
        <w:t xml:space="preserve">ICD</w:t>
      </w:r>
      <w:r>
        <w:t xml:space="preserve">-10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2"/>
    <w:bookmarkStart w:id="93" w:name="ref-Guo2015"/>
    <w:p>
      <w:pPr>
        <w:pStyle w:val="Bibliography"/>
      </w:pPr>
      <w:r>
        <w:t xml:space="preserve">29</w:t>
      </w:r>
      <w:r>
        <w:t xml:space="preserve"> </w:t>
      </w:r>
      <w:r>
        <w:t xml:space="preserve">	</w:t>
      </w:r>
      <w:r>
        <w:t xml:space="preserve">Guo P, Zeng F, Hu X,</w:t>
      </w:r>
      <w:r>
        <w:t xml:space="preserve"> </w:t>
      </w:r>
      <w:r>
        <w:rPr>
          <w:i/>
        </w:rPr>
        <w:t xml:space="preserve">et al.</w:t>
      </w:r>
      <w:r>
        <w:t xml:space="preserve"> Improved variable selection algorithm using a</w:t>
      </w:r>
      <w:r>
        <w:t xml:space="preserve"> </w:t>
      </w:r>
      <w:r>
        <w:t xml:space="preserve">LASSO</w:t>
      </w:r>
      <w:r>
        <w:t xml:space="preserve">-</w:t>
      </w:r>
      <w:r>
        <w:t xml:space="preserve">Type</w:t>
      </w:r>
      <w:r>
        <w:t xml:space="preserve"> </w:t>
      </w:r>
      <w:r>
        <w:t xml:space="preserve">penalty, with an application to assessing hepatitis</w:t>
      </w:r>
      <w:r>
        <w:t xml:space="preserve"> </w:t>
      </w:r>
      <w:r>
        <w:t xml:space="preserve">B</w:t>
      </w:r>
      <w:r>
        <w:t xml:space="preserve"> </w:t>
      </w:r>
      <w:r>
        <w:t xml:space="preserve">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3"/>
    <w:bookmarkStart w:id="95" w:name="ref-Baranowski2020"/>
    <w:p>
      <w:pPr>
        <w:pStyle w:val="Bibliography"/>
      </w:pPr>
      <w:r>
        <w:t xml:space="preserve">30</w:t>
      </w:r>
      <w:r>
        <w:t xml:space="preserve"> </w:t>
      </w:r>
      <w:r>
        <w:t xml:space="preserve">	</w:t>
      </w:r>
      <w:r>
        <w:t xml:space="preserve">Baranowski R, Chen Y, Fryzlewicz P. Ranking-based variable selection for high-dimensional data.</w:t>
      </w:r>
      <w:r>
        <w:t xml:space="preserve"> </w:t>
      </w:r>
      <w:r>
        <w:rPr>
          <w:i/>
        </w:rPr>
        <w:t xml:space="preserve">Statistica Sinica</w:t>
      </w:r>
      <w:r>
        <w:t xml:space="preserve"> </w:t>
      </w:r>
      <w:r>
        <w:t xml:space="preserve">2020. DOI:</w:t>
      </w:r>
      <w:hyperlink r:id="rId94">
        <w:r>
          <w:rPr>
            <w:rStyle w:val="Hyperlink"/>
          </w:rPr>
          <w:t xml:space="preserve">10.5705/ss.202017.0139</w:t>
        </w:r>
      </w:hyperlink>
      <w:r>
        <w:t xml:space="preserve">.</w:t>
      </w:r>
    </w:p>
    <w:bookmarkEnd w:id="95"/>
    <w:bookmarkStart w:id="96" w:name="ref-Austin2004"/>
    <w:p>
      <w:pPr>
        <w:pStyle w:val="Bibliography"/>
      </w:pPr>
      <w:r>
        <w:t xml:space="preserve">31</w:t>
      </w:r>
      <w:r>
        <w:t xml:space="preserve"> </w:t>
      </w:r>
      <w:r>
        <w:t xml:space="preserve">	</w:t>
      </w:r>
      <w:r>
        <w:t xml:space="preserve">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96"/>
    <w:bookmarkStart w:id="97" w:name="ref-Nattino2016"/>
    <w:p>
      <w:pPr>
        <w:pStyle w:val="Bibliography"/>
      </w:pPr>
      <w:r>
        <w:t xml:space="preserve">32</w:t>
      </w:r>
      <w:r>
        <w:t xml:space="preserve"> </w:t>
      </w:r>
      <w:r>
        <w:t xml:space="preserve">	</w:t>
      </w:r>
      <w:r>
        <w:t xml:space="preserve">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97"/>
    <w:bookmarkStart w:id="98" w:name="ref-Pedersen2010a"/>
    <w:p>
      <w:pPr>
        <w:pStyle w:val="Bibliography"/>
      </w:pPr>
      <w:r>
        <w:t xml:space="preserve">33</w:t>
      </w:r>
      <w:r>
        <w:t xml:space="preserve"> </w:t>
      </w:r>
      <w:r>
        <w:t xml:space="preserve">	</w:t>
      </w:r>
      <w:r>
        <w:t xml:space="preserve">Pedersen AB, Svendsson JE, Johnsen SP, Riis A, Overgaard S. Risk factors for revision due to infection after primary total hip arthroplasty:</w:t>
      </w:r>
      <w:r>
        <w:t xml:space="preserve"> </w:t>
      </w:r>
      <w:r>
        <w:t xml:space="preserve">A</w:t>
      </w:r>
      <w:r>
        <w:t xml:space="preserve"> </w:t>
      </w:r>
      <w:r>
        <w:t xml:space="preserve">population-based study of 80,756 primary procedures in the</w:t>
      </w:r>
      <w:r>
        <w:t xml:space="preserve"> </w:t>
      </w:r>
      <w:r>
        <w:t xml:space="preserve">Danish Hip Arthroplasty Registry</w:t>
      </w:r>
      <w:r>
        <w:t xml:space="preserve">.</w:t>
      </w:r>
      <w:r>
        <w:t xml:space="preserve"> </w:t>
      </w:r>
      <w:r>
        <w:rPr>
          <w:i/>
        </w:rPr>
        <w:t xml:space="preserve">Acta Orthopaedica</w:t>
      </w:r>
      <w:r>
        <w:t xml:space="preserve"> </w:t>
      </w:r>
      <w:r>
        <w:t xml:space="preserve">2010;</w:t>
      </w:r>
      <w:r>
        <w:t xml:space="preserve"> </w:t>
      </w:r>
      <w:r>
        <w:rPr>
          <w:b/>
        </w:rPr>
        <w:t xml:space="preserve">81</w:t>
      </w:r>
      <w:r>
        <w:t xml:space="preserve">: 542–7.</w:t>
      </w:r>
    </w:p>
    <w:bookmarkEnd w:id="98"/>
    <w:bookmarkStart w:id="99" w:name="ref-Dale2012"/>
    <w:p>
      <w:pPr>
        <w:pStyle w:val="Bibliography"/>
      </w:pPr>
      <w:r>
        <w:t xml:space="preserve">34</w:t>
      </w:r>
      <w:r>
        <w:t xml:space="preserve"> </w:t>
      </w:r>
      <w:r>
        <w:t xml:space="preserve">	</w:t>
      </w:r>
      <w:r>
        <w:t xml:space="preserve">Dale H, Fenstad AM, Hallan G,</w:t>
      </w:r>
      <w:r>
        <w:t xml:space="preserve"> </w:t>
      </w:r>
      <w:r>
        <w:rPr>
          <w:i/>
        </w:rPr>
        <w:t xml:space="preserve">et al.</w:t>
      </w:r>
      <w:r>
        <w:t xml:space="preserve"> Increasing risk of prosthetic joint infection after total hip arthroplasty: 2,778 revisions due to infection after 432,168 primary</w:t>
      </w:r>
      <w:r>
        <w:t xml:space="preserve"> </w:t>
      </w:r>
      <w:r>
        <w:t xml:space="preserve">THAs</w:t>
      </w:r>
      <w:r>
        <w:t xml:space="preserve"> </w:t>
      </w:r>
      <w:r>
        <w:t xml:space="preserve">in the</w:t>
      </w:r>
      <w:r>
        <w:t xml:space="preserve"> </w:t>
      </w:r>
      <w:r>
        <w:t xml:space="preserve">Nordic Arthroplasty Register Association</w:t>
      </w:r>
      <w:r>
        <w:t xml:space="preserve"> </w:t>
      </w:r>
      <w:r>
        <w:t xml:space="preserve">(</w:t>
      </w:r>
      <w:r>
        <w:t xml:space="preserve">NARA</w:t>
      </w:r>
      <w:r>
        <w:t xml:space="preserve">).</w:t>
      </w:r>
      <w:r>
        <w:t xml:space="preserve"> </w:t>
      </w:r>
      <w:r>
        <w:rPr>
          <w:i/>
        </w:rPr>
        <w:t xml:space="preserve">Acta Orthopaedica</w:t>
      </w:r>
      <w:r>
        <w:t xml:space="preserve"> </w:t>
      </w:r>
      <w:r>
        <w:t xml:space="preserve">2012;</w:t>
      </w:r>
      <w:r>
        <w:t xml:space="preserve"> </w:t>
      </w:r>
      <w:r>
        <w:rPr>
          <w:b/>
        </w:rPr>
        <w:t xml:space="preserve">83</w:t>
      </w:r>
      <w:r>
        <w:t xml:space="preserve">: 449–58.</w:t>
      </w:r>
    </w:p>
    <w:bookmarkEnd w:id="99"/>
    <w:bookmarkStart w:id="100" w:name="ref-Sayed-Noor2019"/>
    <w:p>
      <w:pPr>
        <w:pStyle w:val="Bibliography"/>
      </w:pPr>
      <w:r>
        <w:t xml:space="preserve">35</w:t>
      </w:r>
      <w:r>
        <w:t xml:space="preserve"> </w:t>
      </w:r>
      <w:r>
        <w:t xml:space="preserve">	</w:t>
      </w:r>
      <w:r>
        <w:t xml:space="preserve">Sayed-Noor AS, Mukka S, Mohaddes M, Kärrholm J, Rolfson O. Body mass index is associated with risk of reoperation and revision after primary total hip arthroplasty: A study of the</w:t>
      </w:r>
      <w:r>
        <w:t xml:space="preserve"> </w:t>
      </w:r>
      <w:r>
        <w:t xml:space="preserve">Swedish Hip Arthroplasty Register</w:t>
      </w:r>
      <w:r>
        <w:t xml:space="preserve"> </w:t>
      </w:r>
      <w:r>
        <w:t xml:space="preserve">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0"/>
    <w:bookmarkStart w:id="101" w:name="ref-Everhart2013"/>
    <w:p>
      <w:pPr>
        <w:pStyle w:val="Bibliography"/>
      </w:pPr>
      <w:r>
        <w:t xml:space="preserve">36</w:t>
      </w:r>
      <w:r>
        <w:t xml:space="preserve"> </w:t>
      </w:r>
      <w:r>
        <w:t xml:space="preserve">	</w:t>
      </w:r>
      <w:r>
        <w:t xml:space="preserve">Everhart JS, Altneu E, Calhoun JH. Medical</w:t>
      </w:r>
      <w:r>
        <w:t xml:space="preserve"> </w:t>
      </w:r>
      <w:r>
        <w:t xml:space="preserve">Comorbidities Are Independent Preoperative Risk Factors</w:t>
      </w:r>
      <w:r>
        <w:t xml:space="preserve"> </w:t>
      </w:r>
      <w:r>
        <w:t xml:space="preserve">for</w:t>
      </w:r>
      <w:r>
        <w:t xml:space="preserve"> </w:t>
      </w:r>
      <w:r>
        <w:t xml:space="preserve">Surgical Infection After Total Joint Arthroplasty</w:t>
      </w:r>
      <w:r>
        <w:t xml:space="preserve">.</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1"/>
    <w:bookmarkStart w:id="103" w:name="ref-Tan2018"/>
    <w:p>
      <w:pPr>
        <w:pStyle w:val="Bibliography"/>
      </w:pPr>
      <w:r>
        <w:t xml:space="preserve">37</w:t>
      </w:r>
      <w:r>
        <w:t xml:space="preserve"> </w:t>
      </w:r>
      <w:r>
        <w:t xml:space="preserve">	</w:t>
      </w:r>
      <w:r>
        <w:t xml:space="preserve">Tan TL, Maltenfort MG, Chen AF,</w:t>
      </w:r>
      <w:r>
        <w:t xml:space="preserve"> </w:t>
      </w:r>
      <w:r>
        <w:rPr>
          <w:i/>
        </w:rPr>
        <w:t xml:space="preserve">et al.</w:t>
      </w:r>
      <w:r>
        <w:t xml:space="preserve"> 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2">
        <w:r>
          <w:rPr>
            <w:rStyle w:val="Hyperlink"/>
          </w:rPr>
          <w:t xml:space="preserve">10.2106/JBJS.16.01435</w:t>
        </w:r>
      </w:hyperlink>
      <w:r>
        <w:t xml:space="preserve">.</w:t>
      </w:r>
    </w:p>
    <w:bookmarkEnd w:id="103"/>
    <w:bookmarkStart w:id="104" w:name="ref-Deleuran2015"/>
    <w:p>
      <w:pPr>
        <w:pStyle w:val="Bibliography"/>
      </w:pPr>
      <w:r>
        <w:t xml:space="preserve">38</w:t>
      </w:r>
      <w:r>
        <w:t xml:space="preserve"> </w:t>
      </w:r>
      <w:r>
        <w:t xml:space="preserve">	</w:t>
      </w:r>
      <w:r>
        <w:t xml:space="preserve">Deleuran T, Vilstrup H, Overgaard S, Jepsen P. Cirrhosis patients have increased risk of complications after hip or knee arthroplasty:</w:t>
      </w:r>
      <w:r>
        <w:t xml:space="preserve"> </w:t>
      </w:r>
      <w:r>
        <w:t xml:space="preserve">A Danish</w:t>
      </w:r>
      <w:r>
        <w:t xml:space="preserve"> </w:t>
      </w:r>
      <w:r>
        <w:t xml:space="preserve">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4"/>
    <w:bookmarkStart w:id="105" w:name="ref-Pulido2008"/>
    <w:p>
      <w:pPr>
        <w:pStyle w:val="Bibliography"/>
      </w:pPr>
      <w:r>
        <w:t xml:space="preserve">39</w:t>
      </w:r>
      <w:r>
        <w:t xml:space="preserve"> </w:t>
      </w:r>
      <w:r>
        <w:t xml:space="preserve">	</w:t>
      </w:r>
      <w:r>
        <w:t xml:space="preserve">Pulido L, Ghanem E, Joshi A, Purtill JJ, Parvizi J. Periprosthetic</w:t>
      </w:r>
      <w:r>
        <w:t xml:space="preserve"> </w:t>
      </w:r>
      <w:r>
        <w:t xml:space="preserve">Joint Infection</w:t>
      </w:r>
      <w:r>
        <w:t xml:space="preserve">:</w:t>
      </w:r>
      <w:r>
        <w:t xml:space="preserve"> </w:t>
      </w:r>
      <w:r>
        <w:t xml:space="preserve">The Incidence</w:t>
      </w:r>
      <w:r>
        <w:t xml:space="preserve">,</w:t>
      </w:r>
      <w:r>
        <w:t xml:space="preserve"> </w:t>
      </w:r>
      <w:r>
        <w:t xml:space="preserve">Timing</w:t>
      </w:r>
      <w:r>
        <w:t xml:space="preserve">, and</w:t>
      </w:r>
      <w:r>
        <w:t xml:space="preserve"> </w:t>
      </w:r>
      <w:r>
        <w:t xml:space="preserve">Predisposing Factors</w:t>
      </w:r>
      <w:r>
        <w:t xml:space="preserve">.</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05"/>
    <w:bookmarkStart w:id="106" w:name="ref-Namba2012"/>
    <w:p>
      <w:pPr>
        <w:pStyle w:val="Bibliography"/>
      </w:pPr>
      <w:r>
        <w:t xml:space="preserve">40</w:t>
      </w:r>
      <w:r>
        <w:t xml:space="preserve"> </w:t>
      </w:r>
      <w:r>
        <w:t xml:space="preserve">	</w:t>
      </w:r>
      <w:r>
        <w:t xml:space="preserve">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06"/>
    <w:bookmarkStart w:id="107" w:name="ref-Higuera2011"/>
    <w:p>
      <w:pPr>
        <w:pStyle w:val="Bibliography"/>
      </w:pPr>
      <w:r>
        <w:t xml:space="preserve">41</w:t>
      </w:r>
      <w:r>
        <w:t xml:space="preserve"> </w:t>
      </w:r>
      <w:r>
        <w:t xml:space="preserve">	</w:t>
      </w:r>
      <w:r>
        <w:t xml:space="preserve">Higuera CA, Elsharkawy K, Klika AK, Brocone M, Barsoum WK. 2010</w:t>
      </w:r>
      <w:r>
        <w:t xml:space="preserve"> </w:t>
      </w:r>
      <w:r>
        <w:t xml:space="preserve">Mid</w:t>
      </w:r>
      <w:r>
        <w:t xml:space="preserve">-</w:t>
      </w:r>
      <w:r>
        <w:t xml:space="preserve">America Orthopaedic Association Physician</w:t>
      </w:r>
      <w:r>
        <w:t xml:space="preserve"> </w:t>
      </w:r>
      <w:r>
        <w:t xml:space="preserve">in</w:t>
      </w:r>
      <w:r>
        <w:t xml:space="preserve"> </w:t>
      </w:r>
      <w:r>
        <w:t xml:space="preserve">Training Award</w:t>
      </w:r>
      <w:r>
        <w:t xml:space="preserve">:</w:t>
      </w:r>
      <w:r>
        <w:t xml:space="preserve"> </w:t>
      </w:r>
      <w:r>
        <w:t xml:space="preserve">Predictors</w:t>
      </w:r>
      <w:r>
        <w:t xml:space="preserve"> </w:t>
      </w:r>
      <w:r>
        <w:t xml:space="preserve">of</w:t>
      </w:r>
      <w:r>
        <w:t xml:space="preserve"> </w:t>
      </w:r>
      <w:r>
        <w:t xml:space="preserve">Early Adverse Outcomes</w:t>
      </w:r>
      <w:r>
        <w:t xml:space="preserve"> </w:t>
      </w:r>
      <w:r>
        <w:t xml:space="preserve">after</w:t>
      </w:r>
      <w:r>
        <w:t xml:space="preserve"> </w:t>
      </w:r>
      <w:r>
        <w:t xml:space="preserve">Knee</w:t>
      </w:r>
      <w:r>
        <w:t xml:space="preserve"> </w:t>
      </w:r>
      <w:r>
        <w:t xml:space="preserve">and</w:t>
      </w:r>
      <w:r>
        <w:t xml:space="preserve"> </w:t>
      </w:r>
      <w:r>
        <w:t xml:space="preserve">Hip Arthroplasty</w:t>
      </w:r>
      <w:r>
        <w:t xml:space="preserve"> </w:t>
      </w:r>
      <w:r>
        <w:t xml:space="preserve">in</w:t>
      </w:r>
      <w:r>
        <w:t xml:space="preserve"> </w:t>
      </w:r>
      <w:r>
        <w:t xml:space="preserve">Geriatric Patients</w:t>
      </w:r>
      <w:r>
        <w:t xml:space="preserve">.</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07"/>
    <w:bookmarkStart w:id="108" w:name="ref-Poultsides2013"/>
    <w:p>
      <w:pPr>
        <w:pStyle w:val="Bibliography"/>
      </w:pPr>
      <w:r>
        <w:t xml:space="preserve">42</w:t>
      </w:r>
      <w:r>
        <w:t xml:space="preserve"> </w:t>
      </w:r>
      <w:r>
        <w:t xml:space="preserve">	</w:t>
      </w:r>
      <w:r>
        <w:t xml:space="preserve">Poultsides LA, Ma Y, Della Valle AG, Chiu Y-L, Sculco TP, Memtsoudis SG. In-</w:t>
      </w:r>
      <w:r>
        <w:t xml:space="preserve">Hospital Surgical Site Infections</w:t>
      </w:r>
      <w:r>
        <w:t xml:space="preserve"> </w:t>
      </w:r>
      <w:r>
        <w:t xml:space="preserve">after</w:t>
      </w:r>
      <w:r>
        <w:t xml:space="preserve"> </w:t>
      </w:r>
      <w:r>
        <w:t xml:space="preserve">Primary Hip</w:t>
      </w:r>
      <w:r>
        <w:t xml:space="preserve"> </w:t>
      </w:r>
      <w:r>
        <w:t xml:space="preserve">and</w:t>
      </w:r>
      <w:r>
        <w:t xml:space="preserve"> </w:t>
      </w:r>
      <w:r>
        <w:t xml:space="preserve">Knee Arthroplasty</w:t>
      </w:r>
      <w:r>
        <w:t xml:space="preserve"> </w:t>
      </w:r>
      <w:r>
        <w:t xml:space="preserve"> </w:t>
      </w:r>
      <w:r>
        <w:t xml:space="preserve">Incidence</w:t>
      </w:r>
      <w:r>
        <w:t xml:space="preserve"> </w:t>
      </w:r>
      <w:r>
        <w:t xml:space="preserve">and</w:t>
      </w:r>
      <w:r>
        <w:t xml:space="preserve"> </w:t>
      </w:r>
      <w:r>
        <w:t xml:space="preserve">Risk Factors</w:t>
      </w:r>
      <w:r>
        <w:t xml:space="preserve">.</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08"/>
    <w:bookmarkStart w:id="109" w:name="ref-Bulow2017"/>
    <w:p>
      <w:pPr>
        <w:pStyle w:val="Bibliography"/>
      </w:pPr>
      <w:r>
        <w:t xml:space="preserve">43</w:t>
      </w:r>
      <w:r>
        <w:t xml:space="preserve"> </w:t>
      </w:r>
      <w:r>
        <w:t xml:space="preserve">	</w:t>
      </w:r>
      <w:r>
        <w:t xml:space="preserve">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09"/>
    <w:bookmarkStart w:id="110" w:name="ref-Bulow2019"/>
    <w:p>
      <w:pPr>
        <w:pStyle w:val="Bibliography"/>
      </w:pPr>
      <w:r>
        <w:t xml:space="preserve">44</w:t>
      </w:r>
      <w:r>
        <w:t xml:space="preserve"> </w:t>
      </w:r>
      <w:r>
        <w:t xml:space="preserve">	</w:t>
      </w:r>
      <w:r>
        <w:t xml:space="preserve">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0"/>
    <w:bookmarkStart w:id="111" w:name="ref-Inacio2015"/>
    <w:p>
      <w:pPr>
        <w:pStyle w:val="Bibliography"/>
      </w:pPr>
      <w:r>
        <w:t xml:space="preserve">46</w:t>
      </w:r>
      <w:r>
        <w:t xml:space="preserve"> </w:t>
      </w:r>
      <w:r>
        <w:t xml:space="preserve">	</w:t>
      </w:r>
      <w:r>
        <w:t xml:space="preserve">Inacio MCS, Pratt NL, Roughead EE, Graves SE. Comparing co-morbidities in total joint arthroplasty patients using the</w:t>
      </w:r>
      <w:r>
        <w:t xml:space="preserve"> </w:t>
      </w:r>
      <w:r>
        <w:t xml:space="preserve">RxRisk</w:t>
      </w:r>
      <w:r>
        <w:t xml:space="preserve">-</w:t>
      </w:r>
      <w:r>
        <w:t xml:space="preserve">V</w:t>
      </w:r>
      <w:r>
        <w:t xml:space="preserve">,</w:t>
      </w:r>
      <w:r>
        <w:t xml:space="preserve"> </w:t>
      </w:r>
      <w:r>
        <w:t xml:space="preserve">Elixhauser</w:t>
      </w:r>
      <w:r>
        <w:t xml:space="preserve">, and</w:t>
      </w:r>
      <w:r>
        <w:t xml:space="preserve"> </w:t>
      </w:r>
      <w:r>
        <w:t xml:space="preserve">Charlson Measures</w:t>
      </w:r>
      <w:r>
        <w:t xml:space="preserve">: A cross-sectional evaluation.</w:t>
      </w:r>
      <w:r>
        <w:t xml:space="preserve"> </w:t>
      </w:r>
      <w:r>
        <w:rPr>
          <w:i/>
        </w:rPr>
        <w:t xml:space="preserve">BMC Musculoskeletal Disorders</w:t>
      </w:r>
      <w:r>
        <w:t xml:space="preserve"> </w:t>
      </w:r>
      <w:r>
        <w:t xml:space="preserve">2015;</w:t>
      </w:r>
      <w:r>
        <w:t xml:space="preserve"> </w:t>
      </w:r>
      <w:r>
        <w:rPr>
          <w:b/>
        </w:rPr>
        <w:t xml:space="preserve">16</w:t>
      </w:r>
      <w:r>
        <w:t xml:space="preserve">: 385.</w:t>
      </w:r>
    </w:p>
    <w:bookmarkEnd w:id="111"/>
    <w:bookmarkStart w:id="112" w:name="ref-Inacio2015"/>
    <w:p>
      <w:pPr>
        <w:pStyle w:val="Bibliography"/>
      </w:pPr>
      <w:r>
        <w:t xml:space="preserve">46</w:t>
      </w:r>
      <w:r>
        <w:t xml:space="preserve"> </w:t>
      </w:r>
      <w:r>
        <w:t xml:space="preserve">	</w:t>
      </w:r>
      <w:r>
        <w:t xml:space="preserve">Inacio MCS, Pratt NL, Roughead EE, Graves SE. Comparing co-morbidities in total joint arthroplasty patients using the</w:t>
      </w:r>
      <w:r>
        <w:t xml:space="preserve"> </w:t>
      </w:r>
      <w:r>
        <w:t xml:space="preserve">RxRisk</w:t>
      </w:r>
      <w:r>
        <w:t xml:space="preserve">-</w:t>
      </w:r>
      <w:r>
        <w:t xml:space="preserve">V</w:t>
      </w:r>
      <w:r>
        <w:t xml:space="preserve">,</w:t>
      </w:r>
      <w:r>
        <w:t xml:space="preserve"> </w:t>
      </w:r>
      <w:r>
        <w:t xml:space="preserve">Elixhauser</w:t>
      </w:r>
      <w:r>
        <w:t xml:space="preserve">, and</w:t>
      </w:r>
      <w:r>
        <w:t xml:space="preserve"> </w:t>
      </w:r>
      <w:r>
        <w:t xml:space="preserve">Charlson Measures</w:t>
      </w:r>
      <w:r>
        <w:t xml:space="preserve">: A cross-sectional evaluation.</w:t>
      </w:r>
      <w:r>
        <w:t xml:space="preserve"> </w:t>
      </w:r>
      <w:r>
        <w:rPr>
          <w:i/>
        </w:rPr>
        <w:t xml:space="preserve">BMC Musculoskeletal Disorders</w:t>
      </w:r>
      <w:r>
        <w:t xml:space="preserve"> </w:t>
      </w:r>
      <w:r>
        <w:t xml:space="preserve">2015;</w:t>
      </w:r>
      <w:r>
        <w:t xml:space="preserve"> </w:t>
      </w:r>
      <w:r>
        <w:rPr>
          <w:b/>
        </w:rPr>
        <w:t xml:space="preserve">16</w:t>
      </w:r>
      <w:r>
        <w:t xml:space="preserve">: 385.</w:t>
      </w:r>
    </w:p>
    <w:bookmarkEnd w:id="112"/>
    <w:bookmarkStart w:id="113" w:name="ref-Mraovic2011"/>
    <w:p>
      <w:pPr>
        <w:pStyle w:val="Bibliography"/>
      </w:pPr>
      <w:r>
        <w:t xml:space="preserve">47</w:t>
      </w:r>
      <w:r>
        <w:t xml:space="preserve"> </w:t>
      </w:r>
      <w:r>
        <w:t xml:space="preserve">	</w:t>
      </w:r>
      <w:r>
        <w:t xml:space="preserve">Mraovic B, Suh D, Jacovides C, Parvizi J. Perioperative</w:t>
      </w:r>
      <w:r>
        <w:t xml:space="preserve"> </w:t>
      </w:r>
      <w:r>
        <w:t xml:space="preserve">Hyperglycemia</w:t>
      </w:r>
      <w:r>
        <w:t xml:space="preserve"> </w:t>
      </w:r>
      <w:r>
        <w:t xml:space="preserve">and</w:t>
      </w:r>
      <w:r>
        <w:t xml:space="preserve"> </w:t>
      </w:r>
      <w:r>
        <w:t xml:space="preserve">Postoperative Infection</w:t>
      </w:r>
      <w:r>
        <w:t xml:space="preserve"> </w:t>
      </w:r>
      <w:r>
        <w:t xml:space="preserve">after</w:t>
      </w:r>
      <w:r>
        <w:t xml:space="preserve"> </w:t>
      </w:r>
      <w:r>
        <w:t xml:space="preserve">Lower Limb Arthroplasty</w:t>
      </w:r>
      <w:r>
        <w:t xml:space="preserve">.</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3"/>
    <w:bookmarkStart w:id="114" w:name="ref-Iorio2012"/>
    <w:p>
      <w:pPr>
        <w:pStyle w:val="Bibliography"/>
      </w:pPr>
      <w:r>
        <w:t xml:space="preserve">48</w:t>
      </w:r>
      <w:r>
        <w:t xml:space="preserve"> </w:t>
      </w:r>
      <w:r>
        <w:t xml:space="preserve">	</w:t>
      </w:r>
      <w:r>
        <w:t xml:space="preserve">Iorio R, Williams KM, Marcantonio AJ, Specht LM, Tilzey JF, Healy WL. Diabetes</w:t>
      </w:r>
      <w:r>
        <w:t xml:space="preserve"> </w:t>
      </w:r>
      <w:r>
        <w:t xml:space="preserve">Mellitus</w:t>
      </w:r>
      <w:r>
        <w:t xml:space="preserve">,</w:t>
      </w:r>
      <w:r>
        <w:t xml:space="preserve"> </w:t>
      </w:r>
      <w:r>
        <w:t xml:space="preserve">Hemoglobin A1C</w:t>
      </w:r>
      <w:r>
        <w:t xml:space="preserve">, and the</w:t>
      </w:r>
      <w:r>
        <w:t xml:space="preserve"> </w:t>
      </w:r>
      <w:r>
        <w:t xml:space="preserve">Incidence</w:t>
      </w:r>
      <w:r>
        <w:t xml:space="preserve"> </w:t>
      </w:r>
      <w:r>
        <w:t xml:space="preserve">of</w:t>
      </w:r>
      <w:r>
        <w:t xml:space="preserve"> </w:t>
      </w:r>
      <w:r>
        <w:t xml:space="preserve">Total Joint Arthroplasty Infection</w:t>
      </w:r>
      <w:r>
        <w:t xml:space="preserve">.</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4"/>
    <w:bookmarkStart w:id="115" w:name="ref-Gilson2010"/>
    <w:p>
      <w:pPr>
        <w:pStyle w:val="Bibliography"/>
      </w:pPr>
      <w:r>
        <w:t xml:space="preserve">49</w:t>
      </w:r>
      <w:r>
        <w:t xml:space="preserve"> </w:t>
      </w:r>
      <w:r>
        <w:t xml:space="preserve">	</w:t>
      </w:r>
      <w:r>
        <w:t xml:space="preserve">Gilson M, Gossec L, Mariette X,</w:t>
      </w:r>
      <w:r>
        <w:t xml:space="preserve"> </w:t>
      </w:r>
      <w:r>
        <w:rPr>
          <w:i/>
        </w:rPr>
        <w:t xml:space="preserve">et al.</w:t>
      </w:r>
      <w:r>
        <w:t xml:space="preserve"> 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5"/>
    <w:bookmarkStart w:id="116" w:name="ref-Momohara2011"/>
    <w:p>
      <w:pPr>
        <w:pStyle w:val="Bibliography"/>
      </w:pPr>
      <w:r>
        <w:t xml:space="preserve">50</w:t>
      </w:r>
      <w:r>
        <w:t xml:space="preserve"> </w:t>
      </w:r>
      <w:r>
        <w:t xml:space="preserve">	</w:t>
      </w:r>
      <w:r>
        <w:t xml:space="preserve">Momohara S, Kawakami K, Iwamoto T,</w:t>
      </w:r>
      <w:r>
        <w:t xml:space="preserve"> </w:t>
      </w:r>
      <w:r>
        <w:rPr>
          <w:i/>
        </w:rPr>
        <w:t xml:space="preserve">et al.</w:t>
      </w:r>
      <w:r>
        <w:t xml:space="preserve"> 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16"/>
    <w:bookmarkStart w:id="117" w:name="ref-Cancienne2015"/>
    <w:p>
      <w:pPr>
        <w:pStyle w:val="Bibliography"/>
      </w:pPr>
      <w:r>
        <w:t xml:space="preserve">51</w:t>
      </w:r>
      <w:r>
        <w:t xml:space="preserve"> </w:t>
      </w:r>
      <w:r>
        <w:t xml:space="preserve">	</w:t>
      </w:r>
      <w:r>
        <w:t xml:space="preserve">Cancienne JM, Werner BC, Luetkemeyer LM, Browne JA. Does</w:t>
      </w:r>
      <w:r>
        <w:t xml:space="preserve"> </w:t>
      </w:r>
      <w:r>
        <w:t xml:space="preserve">Timing</w:t>
      </w:r>
      <w:r>
        <w:t xml:space="preserve"> </w:t>
      </w:r>
      <w:r>
        <w:t xml:space="preserve">of</w:t>
      </w:r>
      <w:r>
        <w:t xml:space="preserve"> </w:t>
      </w:r>
      <w:r>
        <w:t xml:space="preserve">Previous Intra</w:t>
      </w:r>
      <w:r>
        <w:t xml:space="preserve">-</w:t>
      </w:r>
      <w:r>
        <w:t xml:space="preserve">Articular Steroid Injection Affect</w:t>
      </w:r>
      <w:r>
        <w:t xml:space="preserve"> </w:t>
      </w:r>
      <w:r>
        <w:t xml:space="preserve">the</w:t>
      </w:r>
      <w:r>
        <w:t xml:space="preserve"> </w:t>
      </w:r>
      <w:r>
        <w:t xml:space="preserve">Post</w:t>
      </w:r>
      <w:r>
        <w:t xml:space="preserve">-</w:t>
      </w:r>
      <w:r>
        <w:t xml:space="preserve">Operative Rate</w:t>
      </w:r>
      <w:r>
        <w:t xml:space="preserve"> </w:t>
      </w:r>
      <w:r>
        <w:t xml:space="preserve">of</w:t>
      </w:r>
      <w:r>
        <w:t xml:space="preserve"> </w:t>
      </w:r>
      <w:r>
        <w:t xml:space="preserve">Infection</w:t>
      </w:r>
      <w:r>
        <w:t xml:space="preserve"> </w:t>
      </w:r>
      <w:r>
        <w:t xml:space="preserve">in</w:t>
      </w:r>
      <w:r>
        <w:t xml:space="preserve"> </w:t>
      </w:r>
      <w:r>
        <w:t xml:space="preserve">Total Knee Arthroplasty</w:t>
      </w:r>
      <w:r>
        <w:t xml:space="preserve">?</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17"/>
    <w:bookmarkStart w:id="118" w:name="ref-Willis-Owen2010"/>
    <w:p>
      <w:pPr>
        <w:pStyle w:val="Bibliography"/>
      </w:pPr>
      <w:r>
        <w:t xml:space="preserve">52</w:t>
      </w:r>
      <w:r>
        <w:t xml:space="preserve"> </w:t>
      </w:r>
      <w:r>
        <w:t xml:space="preserve">	</w:t>
      </w:r>
      <w:r>
        <w:t xml:space="preserve">Willis-Owen CA, Konyves A, Martin DK. Factors affecting the incidence of infection in hip and knee replacement:</w:t>
      </w:r>
      <w:r>
        <w:t xml:space="preserve"> </w:t>
      </w:r>
      <w:r>
        <w:t xml:space="preserve">AN ANALYSIS OF</w:t>
      </w:r>
      <w:r>
        <w:t xml:space="preserve"> </w:t>
      </w:r>
      <w:r>
        <w:t xml:space="preserve">5277</w:t>
      </w:r>
      <w:r>
        <w:t xml:space="preserve"> </w:t>
      </w:r>
      <w:r>
        <w:t xml:space="preserve">CASES</w:t>
      </w:r>
      <w:r>
        <w:t xml:space="preserve">.</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18"/>
    <w:bookmarkEnd w:id="119"/>
    <w:bookmarkEnd w:id="120"/>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80" Target="https://doi.org/10.1136/bmjopen-2017-021122" TargetMode="External" /><Relationship Type="http://schemas.openxmlformats.org/officeDocument/2006/relationships/hyperlink" Id="rId88" Target="https://doi.org/10.18158/ryAO-C4pW" TargetMode="External" /><Relationship Type="http://schemas.openxmlformats.org/officeDocument/2006/relationships/hyperlink" Id="rId102" Target="https://doi.org/10.2106/JBJS.16.01435" TargetMode="External" /><Relationship Type="http://schemas.openxmlformats.org/officeDocument/2006/relationships/hyperlink" Id="rId94"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0" Target="https://doi.org/10.1136/bmjopen-2017-021122" TargetMode="External" /><Relationship Type="http://schemas.openxmlformats.org/officeDocument/2006/relationships/hyperlink" Id="rId88" Target="https://doi.org/10.18158/ryAO-C4pW" TargetMode="External" /><Relationship Type="http://schemas.openxmlformats.org/officeDocument/2006/relationships/hyperlink" Id="rId102" Target="https://doi.org/10.2106/JBJS.16.01435" TargetMode="External" /><Relationship Type="http://schemas.openxmlformats.org/officeDocument/2006/relationships/hyperlink" Id="rId94"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Denmark</dc:title>
  <dc:creator>Erik Bulow,1,2 Alma Besic Pedersen,3 Ina Trolle Andersen,4 Ola Rolfson,1,2 Nils P. Hailer5</dc:creator>
  <cp:keywords/>
  <dcterms:created xsi:type="dcterms:W3CDTF">2021-02-03T12:57:44Z</dcterms:created>
  <dcterms:modified xsi:type="dcterms:W3CDTF">2021-02-03T12:57:44Z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2021-02-03</vt:lpwstr>
  </property>
  <property fmtid="{D5CDD505-2E9C-101B-9397-08002B2CF9AE}" pid="5" name="output">
    <vt:lpwstr/>
  </property>
</Properties>
</file>