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Denmark</w:t>
      </w:r>
    </w:p>
    <w:p>
      <w:pPr>
        <w:pStyle w:val="Author"/>
      </w:pPr>
      <w:r>
        <w:t xml:space="preserve">Erik</w:t>
      </w:r>
      <w:r>
        <w:t xml:space="preserve"> </w:t>
      </w:r>
      <w:r>
        <w:t xml:space="preserve">Bulow,</w:t>
      </w:r>
      <w:r>
        <w:rPr>
          <w:vertAlign w:val="superscript"/>
        </w:rPr>
        <w:t xml:space="preserve">1,2</w:t>
      </w:r>
      <w:r>
        <w:t xml:space="preserve"> </w:t>
      </w:r>
      <w:r>
        <w:t xml:space="preserve">Alma</w:t>
      </w:r>
      <w:r>
        <w:t xml:space="preserve"> </w:t>
      </w:r>
      <w:r>
        <w:t xml:space="preserve">Besic</w:t>
      </w:r>
      <w:r>
        <w:t xml:space="preserve"> </w:t>
      </w:r>
      <w:r>
        <w:t xml:space="preserve">Pedersen,</w:t>
      </w:r>
      <w:r>
        <w:rPr>
          <w:vertAlign w:val="superscript"/>
        </w:rPr>
        <w:t xml:space="preserve">3</w:t>
      </w:r>
      <w:r>
        <w:t xml:space="preserve"> </w:t>
      </w:r>
      <w:r>
        <w:t xml:space="preserve">Ina</w:t>
      </w:r>
      <w:r>
        <w:t xml:space="preserve"> </w:t>
      </w:r>
      <w:r>
        <w:t xml:space="preserve">Trolle</w:t>
      </w:r>
      <w:r>
        <w:t xml:space="preserve"> </w:t>
      </w:r>
      <w:r>
        <w:t xml:space="preserve">Andersen,</w:t>
      </w:r>
      <w:r>
        <w:rPr>
          <w:vertAlign w:val="superscript"/>
        </w:rPr>
        <w:t xml:space="preserve">4</w:t>
      </w:r>
      <w:r>
        <w:t xml:space="preserve"> </w:t>
      </w:r>
      <w:r>
        <w:t xml:space="preserve">Ola</w:t>
      </w:r>
      <w:r>
        <w:t xml:space="preserve"> </w:t>
      </w:r>
      <w:r>
        <w:t xml:space="preserve">Rolfson,</w:t>
      </w:r>
      <w:r>
        <w:rPr>
          <w:vertAlign w:val="superscript"/>
        </w:rPr>
        <w:t xml:space="preserve">1,2</w:t>
      </w:r>
      <w:r>
        <w:t xml:space="preserve"> </w:t>
      </w:r>
      <w:r>
        <w:t xml:space="preserve">Nils</w:t>
      </w:r>
      <w:r>
        <w:t xml:space="preserve"> </w:t>
      </w:r>
      <w:r>
        <w:t xml:space="preserve">P.</w:t>
      </w:r>
      <w:r>
        <w:t xml:space="preserve"> </w:t>
      </w:r>
      <w:r>
        <w:t xml:space="preserve">Hailer</w:t>
      </w:r>
      <w:r>
        <w:rPr>
          <w:vertAlign w:val="superscript"/>
        </w:rPr>
        <w:t xml:space="preserve">5</w:t>
      </w:r>
    </w:p>
    <w:p>
      <w:pPr>
        <w:pStyle w:val="Date"/>
      </w:pPr>
      <w:r>
        <w:t xml:space="preserve">2021-01-19</w:t>
      </w:r>
    </w:p>
    <w:p>
      <w:pPr>
        <w:numPr>
          <w:ilvl w:val="0"/>
          <w:numId w:val="1001"/>
        </w:numPr>
        <w:pStyle w:val="Compact"/>
      </w:pPr>
      <w:r>
        <w:t xml:space="preserve">The Swedish Hip Arthroplasty Register, Gothenburg, Sweden</w:t>
      </w:r>
    </w:p>
    <w:p>
      <w:pPr>
        <w:numPr>
          <w:ilvl w:val="0"/>
          <w:numId w:val="1001"/>
        </w:numPr>
        <w:pStyle w:val="Compact"/>
      </w:pPr>
      <w:r>
        <w:t xml:space="preserve">Department of Orthopaedics, Institute of Clinical Sciences, The Sahlgrenska Academy, University of Gothenburg, Gothenburg, Sweden</w:t>
      </w:r>
    </w:p>
    <w:p>
      <w:pPr>
        <w:numPr>
          <w:ilvl w:val="0"/>
          <w:numId w:val="1001"/>
        </w:numPr>
        <w:pStyle w:val="Compact"/>
      </w:pPr>
      <w:r>
        <w:t xml:space="preserve">Department of Clinical Medicine - Department of Clinical Epidemiology, Aarhus university, Aarhus, Denmark</w:t>
      </w:r>
    </w:p>
    <w:p>
      <w:pPr>
        <w:numPr>
          <w:ilvl w:val="0"/>
          <w:numId w:val="1001"/>
        </w:numPr>
        <w:pStyle w:val="Compact"/>
      </w:pPr>
      <w:r>
        <w:t xml:space="preserve">XXX, Denmark</w:t>
      </w:r>
    </w:p>
    <w:p>
      <w:pPr>
        <w:numPr>
          <w:ilvl w:val="0"/>
          <w:numId w:val="1001"/>
        </w:numPr>
        <w:pStyle w:val="Compact"/>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1"/>
      </w:pPr>
      <w:bookmarkStart w:id="21" w:name="note"/>
      <w:r>
        <w:t xml:space="preserve">Note!</w:t>
      </w:r>
      <w:bookmarkEnd w:id="21"/>
    </w:p>
    <w:p>
      <w:pPr>
        <w:pStyle w:val="FirstParagraph"/>
      </w:pPr>
      <w:r>
        <w:t xml:space="preserve">Most text in the article is automatically generated! Bold text is not! It is thus possible that this text does not correspond to the rest! It must be updated manually!</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OJECTIVE:</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t xml:space="preserve"> </w:t>
      </w:r>
      <w:r>
        <w:t xml:space="preserve">We analysed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t xml:space="preserve"> </w:t>
      </w:r>
      <w:r>
        <w:t xml:space="preserve">The crude incidence rate of PJI after THA was 2.4 % within 90, days and 3.45 % within two years in the Swedish derivation cohort. A prediction model for PJI within 90 days combined the underlaying diagnosis for THA, body mass index (BMI), American Society for Anesthesiologists (ASA) class, gender, and the precense of arrhythmia, CNS disease, fluid electrolyte disorders, liver disease or lung airways disease, resulting in an AUC = 0.67 (95 % CI: 0.65 to 0.68) internally and</w:t>
      </w:r>
      <w:r>
        <w:t xml:space="preserve"> </w:t>
      </w:r>
      <w:r>
        <w:rPr>
          <w:b/>
        </w:rPr>
        <w:t xml:space="preserve">(AUC=XXX, 95% CI: XXX to XXX)</w:t>
      </w:r>
      <w:r>
        <w:t xml:space="preserve"> </w:t>
      </w:r>
      <w:r>
        <w:t xml:space="preserve">externally. A model for PJI within two years had similar performance internally (AUC = 0.66, 95 % CI: 0.65 to 0.67)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0.56, 95 % CI: 0.55 to 0.57), Elixhauser (AUC = 0.58, 95 % CI: 0.57 to 0.60), and the Rx Risk V (AUC = 0.58, 95 % CI: 0.57 to 0.59) comorbidity indices.</w:t>
      </w:r>
    </w:p>
    <w:p>
      <w:pPr>
        <w:pStyle w:val="BodyText"/>
      </w:pPr>
      <w:r>
        <w:rPr>
          <w:b/>
        </w:rPr>
        <w:t xml:space="preserve">CONCLUSION:</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p>
      <w:pPr>
        <w:pStyle w:val="Heading5"/>
      </w:pPr>
      <w:bookmarkStart w:id="24" w:name="page-break-1"/>
      <w:r>
        <w:t xml:space="preserve">PAGE BREAK</w:t>
      </w:r>
      <w:bookmarkEnd w:id="24"/>
    </w:p>
    <w:p>
      <w:pPr>
        <w:pStyle w:val="Heading1"/>
      </w:pPr>
      <w:bookmarkStart w:id="25" w:name="introduction"/>
      <w:r>
        <w:t xml:space="preserve">Introduction</w:t>
      </w:r>
      <w:bookmarkEnd w:id="25"/>
    </w:p>
    <w:p>
      <w:pPr>
        <w:pStyle w:val="FirstParagraph"/>
      </w:pPr>
      <w:r>
        <w:t xml:space="preserve">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6" w:name="patients-and-methods"/>
      <w:r>
        <w:t xml:space="preserve">Patients and Methods</w:t>
      </w:r>
      <w:bookmarkEnd w:id="26"/>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7" w:name="derivation-cohort-sweden"/>
      <w:r>
        <w:t xml:space="preserve">Derivation cohort (Sweden)</w:t>
      </w:r>
      <w:bookmarkEnd w:id="27"/>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p>
      <w:pPr>
        <w:pStyle w:val="Heading2"/>
      </w:pPr>
      <w:bookmarkStart w:id="28" w:name="external-validation-cohort-xxx"/>
      <w:r>
        <w:t xml:space="preserve">External validation cohort (XXX)</w:t>
      </w:r>
      <w:bookmarkEnd w:id="28"/>
    </w:p>
    <w:p>
      <w:pPr>
        <w:pStyle w:val="Heading2"/>
      </w:pPr>
      <w:bookmarkStart w:id="29" w:name="definitions-of-comorbidity-and-outcomes"/>
      <w:r>
        <w:t xml:space="preserve">Definitions of comorbidity and outcomes</w:t>
      </w:r>
      <w:bookmarkEnd w:id="29"/>
    </w:p>
    <w:p>
      <w:pPr>
        <w:pStyle w:val="FirstParagraph"/>
      </w:pPr>
      <w:r>
        <w:t xml:space="preserve">The Charlson, Elixhauser and Rx Risk V comorbidity indices are based on the presence of ICD-10 and ATC codes grouped into main categories (17, 31, and 46 categories, respectively).</w:t>
      </w:r>
      <w:r>
        <w:rPr>
          <w:vertAlign w:val="superscript"/>
        </w:rPr>
        <w:t xml:space="preserve">18,28</w:t>
      </w:r>
      <w:r>
        <w:t xml:space="preserve"> </w:t>
      </w:r>
      <w:r>
        <w:t xml:space="preserve">Diagnostic categories from all indices were combined to define 21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 recorded in the NPR within 90 days or 2 years (Tab.</w:t>
      </w:r>
      <w:r>
        <w:t xml:space="preserve"> </w:t>
      </w:r>
      <w:r>
        <w:t xml:space="preserve">2</w:t>
      </w:r>
      <w:r>
        <w:t xml:space="preserve">), or if the patient was reported to SHAR as re-operated due to infection within the same time frame.</w:t>
      </w:r>
    </w:p>
    <w:p>
      <w:pPr>
        <w:pStyle w:val="Heading2"/>
      </w:pPr>
      <w:bookmarkStart w:id="30" w:name="model-development"/>
      <w:r>
        <w:t xml:space="preserve">Model development</w:t>
      </w:r>
      <w:bookmarkEnd w:id="30"/>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was divided into four categories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ten-fold cross validation was performed with a range of potential penalty values (</w:t>
      </w:r>
      <m:oMath>
        <m:sSub>
          <m:e>
            <m:r>
              <m:t>λ</m:t>
            </m:r>
          </m:e>
          <m:sub>
            <m:r>
              <m:t>i</m:t>
            </m:r>
          </m:sub>
        </m:sSub>
      </m:oMath>
      <w:r>
        <w:t xml:space="preserve">:s) in a logistic LASSO regression model. We kept the</w:t>
      </w:r>
      <w:r>
        <w:t xml:space="preserve"> </w:t>
      </w:r>
      <m:oMath>
        <m:sSub>
          <m:e>
            <m:r>
              <m:t>λ</m:t>
            </m:r>
          </m:e>
          <m:sub>
            <m:r>
              <m:t>i</m:t>
            </m:r>
          </m:sub>
        </m:sSub>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sSub>
          <m:e>
            <m:r>
              <m:t>λ</m:t>
            </m:r>
          </m:e>
          <m:sub>
            <m:r>
              <m:t>i</m:t>
            </m:r>
          </m:sub>
        </m:sSub>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10 out of 100 times were then used in main effects multivariable logistic regression models without penalty and without pre-normalization of numeric variables. Even more parsimonious models with potential predictors chosen more than 80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1" w:name="model-validation"/>
      <w:r>
        <w:t xml:space="preserve">Model validation</w:t>
      </w:r>
      <w:bookmarkEnd w:id="31"/>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3" w:name="ethical-approval"/>
      <w:r>
        <w:t xml:space="preserve">Ethical approval</w:t>
      </w:r>
      <w:bookmarkEnd w:id="33"/>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4" w:name="results"/>
      <w:r>
        <w:t xml:space="preserve">Results</w:t>
      </w:r>
      <w:bookmarkEnd w:id="34"/>
    </w:p>
    <w:p>
      <w:pPr>
        <w:pStyle w:val="Heading2"/>
      </w:pPr>
      <w:bookmarkStart w:id="35" w:name="study-participants"/>
      <w:r>
        <w:t xml:space="preserve">Study participants</w:t>
      </w:r>
      <w:bookmarkEnd w:id="35"/>
    </w:p>
    <w:p>
      <w:pPr>
        <w:pStyle w:val="FirstParagraph"/>
      </w:pPr>
      <w:r>
        <w:t xml:space="preserve">We included 88,830 patients (43.54 % males) with a mean age of 68 (SD = 11) years in the derivation cohort from the SHAR (Fig.</w:t>
      </w:r>
      <w:r>
        <w:t xml:space="preserve"> </w:t>
      </w:r>
      <w:r>
        <w:t xml:space="preserve">1</w:t>
      </w:r>
      <w:r>
        <w:t xml:space="preserve">, left panel). 2.4 % (n = 2134) of the patients developed a PJI within 90 days, and 3.45 % (n = 3063) within 2 years (Tab.</w:t>
      </w:r>
      <w:r>
        <w:t xml:space="preserve"> </w:t>
      </w:r>
      <w:r>
        <w:t xml:space="preserve">3</w:t>
      </w:r>
      <w:r>
        <w:t xml:space="preserve">). The proportion of patients with ASA class III was 17 % (n = 14,945); 24 % (n = 21,393) had at least one comorbidity according to the Charlson comorbidity index, 43 % (n = 38,617) according to Elixhauser index, and 71 % (n = 62,874) had medications classified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6" w:name="X97f55da61655794c4500bb5dee5b0e7e0a00da4"/>
      <w:r>
        <w:t xml:space="preserve">Model development and internal validation</w:t>
      </w:r>
      <w:bookmarkEnd w:id="36"/>
    </w:p>
    <w:p>
      <w:pPr>
        <w:pStyle w:val="FirstParagraph"/>
      </w:pPr>
      <w:r>
        <w:t xml:space="preserve">Patients with aids/hiv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(BMI), American Society for Anesthesiologists (ASA) class, gender, and the precense of arrhythmia, CNS disease, fluid electrolyte disorders, liver disease or lung airways disease (Tab.</w:t>
      </w:r>
      <w:r>
        <w:t xml:space="preserve"> </w:t>
      </w:r>
      <w:r>
        <w:t xml:space="preserve">5</w:t>
      </w:r>
      <w:r>
        <w:t xml:space="preserve">). This reduced model for the predicition of PJI within 90 days had an AUC = 0.67 (95 % CI: 0.65 to 0.68), whereas ASA class (AUC = 0.59, 95 % CI: 0.58 to 0.60), the Charlson comorbidity index (AUC = 0.56, 95 % CI: 0.55 to 0.57), the Elixhauser comorbidity index (AUC = 0.58, 95 % CI: 0.57 to 0.60),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visualized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cancer, drug alcohol abuse, peptiulcer or rheumatic 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0.66 (95 % CI: 0.65 to 0.67), whereas ASA class (AUC = 0.59, 95 % CI: 0.58 to 0.60), the Charlson comorbidity index (AUC = 0.56, 95 % CI: 0.56 to 0.57), the Elixhauser comorbidity index (AUC = 0.58, 95 % CI: 0.57 to 0.60), and Rx Risk V (AUC = 0.58, 95 % CI: 0.57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7" w:name="external-validation"/>
      <w:r>
        <w:t xml:space="preserve">External validation</w:t>
      </w:r>
      <w:bookmarkEnd w:id="37"/>
    </w:p>
    <w:p>
      <w:pPr>
        <w:pStyle w:val="FirstParagraph"/>
      </w:pPr>
      <w:r>
        <w:t xml:space="preserve">XXX</w:t>
      </w:r>
    </w:p>
    <w:p>
      <w:pPr>
        <w:pStyle w:val="Heading1"/>
      </w:pPr>
      <w:bookmarkStart w:id="38" w:name="discussion"/>
      <w:r>
        <w:t xml:space="preserve">Discussion</w:t>
      </w:r>
      <w:bookmarkEnd w:id="38"/>
    </w:p>
    <w:p>
      <w:pPr>
        <w:pStyle w:val="Heading2"/>
      </w:pPr>
      <w:bookmarkStart w:id="39" w:name="principal-findings"/>
      <w:r>
        <w:t xml:space="preserve">Principal findings</w:t>
      </w:r>
      <w:bookmarkEnd w:id="39"/>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cancer, drug alcohol abuse, peptiulcer or rheumatic disease to the list of predictor variables. This model also performed better than the established comorbidity measures in terms of AUC and calibration.</w:t>
      </w:r>
    </w:p>
    <w:p>
      <w:pPr>
        <w:pStyle w:val="Heading2"/>
      </w:pPr>
      <w:bookmarkStart w:id="40" w:name="clinical-usage"/>
      <w:r>
        <w:t xml:space="preserve">Clinical usage</w:t>
      </w:r>
      <w:bookmarkEnd w:id="40"/>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with normal BMI, primary osteoarthritis and no co-morbidities would have a probability of 1.3 % for PJI within 90 days; a male with overweight, secondary osteoarthritis, psoriasis, dementia</w:t>
      </w:r>
      <w:r>
        <w:t xml:space="preserve"> </w:t>
      </w:r>
      <w:r>
        <w:t xml:space="preserve">(CNS disease) and ASA class III would have a probability of 13.7 %.</w:t>
      </w:r>
    </w:p>
    <w:p>
      <w:pPr>
        <w:pStyle w:val="Heading2"/>
      </w:pPr>
      <w:bookmarkStart w:id="41" w:name="model-predictors"/>
      <w:r>
        <w:t xml:space="preserve">Model predictors</w:t>
      </w:r>
      <w:bookmarkEnd w:id="41"/>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2" w:name="strengths-and-limitations"/>
      <w:r>
        <w:t xml:space="preserve">Strengths and limitations</w:t>
      </w:r>
      <w:bookmarkEnd w:id="42"/>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 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3" w:name="conclusion"/>
      <w:r>
        <w:t xml:space="preserve">Conclusion</w:t>
      </w:r>
      <w:bookmarkEnd w:id="43"/>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4" w:name="page-break-2"/>
      <w:r>
        <w:t xml:space="preserve">Page break</w:t>
      </w:r>
      <w:bookmarkEnd w:id="44"/>
    </w:p>
    <w:p>
      <w:pPr>
        <w:pStyle w:val="Heading1"/>
      </w:pPr>
      <w:bookmarkStart w:id="45" w:name="contribution-of-authors"/>
      <w:r>
        <w:t xml:space="preserve">Contribution of authors</w:t>
      </w:r>
      <w:bookmarkEnd w:id="45"/>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6" w:name="competing-interest-statement"/>
      <w:r>
        <w:t xml:space="preserve">Competing interest statement</w:t>
      </w:r>
      <w:bookmarkEnd w:id="46"/>
    </w:p>
    <w:p>
      <w:pPr>
        <w:pStyle w:val="FirstParagraph"/>
      </w:pPr>
      <w:r>
        <w:t xml:space="preserve">All authors have completed the ICMJE uniform disclosure form at www.icmje.org/coi_disclosure.pdf and declare …</w:t>
      </w:r>
    </w:p>
    <w:p>
      <w:pPr>
        <w:pStyle w:val="Heading1"/>
      </w:pPr>
      <w:bookmarkStart w:id="47" w:name="transparency-statement"/>
      <w:r>
        <w:t xml:space="preserve">Transparency Statement</w:t>
      </w:r>
      <w:bookmarkEnd w:id="47"/>
    </w:p>
    <w:p>
      <w:pPr>
        <w:pStyle w:val="FirstParagraph"/>
      </w:pPr>
      <w:r>
        <w:t xml:space="preserve">NH, the principal investigator of this study, affirms that this is an accurate report with no relevant data or aspects omitted.</w:t>
      </w:r>
    </w:p>
    <w:p>
      <w:pPr>
        <w:pStyle w:val="Heading1"/>
      </w:pPr>
      <w:bookmarkStart w:id="48" w:name="public-and-patient-involvement-statement"/>
      <w:r>
        <w:t xml:space="preserve">Public and patient involvement statement</w:t>
      </w:r>
      <w:bookmarkEnd w:id="48"/>
    </w:p>
    <w:p>
      <w:pPr>
        <w:pStyle w:val="FirstParagraph"/>
      </w:pPr>
      <w:r>
        <w:t xml:space="preserve">There is a patient representative at SHAR to ensure the patients’ interests are respected in planned research.</w:t>
      </w:r>
    </w:p>
    <w:p>
      <w:pPr>
        <w:pStyle w:val="Heading1"/>
      </w:pPr>
      <w:bookmarkStart w:id="49" w:name="data-sharing-statement"/>
      <w:r>
        <w:t xml:space="preserve">Data sharing statement</w:t>
      </w:r>
      <w:bookmarkEnd w:id="49"/>
    </w:p>
    <w:p>
      <w:pPr>
        <w:pStyle w:val="FirstParagraph"/>
      </w:pPr>
      <w:r>
        <w:t xml:space="preserve">Data is available upon reasonable request to the principal investigator.</w:t>
      </w:r>
    </w:p>
    <w:p>
      <w:pPr>
        <w:pStyle w:val="Heading1"/>
      </w:pPr>
      <w:bookmarkStart w:id="50" w:name="acknowledgement"/>
      <w:r>
        <w:t xml:space="preserve">Acknowledgement</w:t>
      </w:r>
      <w:bookmarkEnd w:id="50"/>
    </w:p>
    <w:p>
      <w:pPr>
        <w:pStyle w:val="FirstParagraph"/>
      </w:pPr>
      <w:r>
        <w:t xml:space="preserve">We would like to thank .</w:t>
      </w:r>
    </w:p>
    <w:p>
      <w:pPr>
        <w:pStyle w:val="Heading5"/>
      </w:pPr>
      <w:bookmarkStart w:id="51" w:name="page-break-3"/>
      <w:r>
        <w:t xml:space="preserve">PAGE BREAK</w:t>
      </w:r>
      <w:bookmarkEnd w:id="51"/>
    </w:p>
    <w:p>
      <w:pPr>
        <w:pStyle w:val="CaptionedFigure"/>
      </w:pPr>
      <w:r>
        <w:drawing>
          <wp:inline>
            <wp:extent cx="5969000" cy="5415235"/>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3" w:name="page-break-4"/>
      <w:r>
        <w:t xml:space="preserve">PAGE BREAK</w:t>
      </w:r>
      <w:bookmarkEnd w:id="53"/>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5" w:name="page-break-5"/>
      <w:r>
        <w:t xml:space="preserve">PAGE BREAK</w:t>
      </w:r>
      <w:bookmarkEnd w:id="55"/>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7" w:name="page-break-6"/>
      <w:r>
        <w:t xml:space="preserve">PAGE BREAK</w:t>
      </w:r>
      <w:bookmarkEnd w:id="57"/>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9" w:name="page-break-7"/>
      <w:r>
        <w:t xml:space="preserve">PAGE BREAK</w:t>
      </w:r>
      <w:bookmarkEnd w:id="59"/>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1" w:name="page-break-8"/>
      <w:r>
        <w:t xml:space="preserve">PAGE BREAK</w:t>
      </w:r>
      <w:bookmarkEnd w:id="61"/>
    </w:p>
    <w:p>
      <w:pPr>
        <w:pStyle w:val="TableCaption"/>
      </w:pPr>
      <w:r>
        <w:t xml:space="preserve">Table 1: Categorization of comorbidities from the Charlson, Elixhauser and Rx RIsk V comorbidities. (CNS = central nervous system.)</w:t>
      </w:r>
    </w:p>
    <w:tbl>
      <w:tblPr>
        <w:tblStyle w:val="Table"/>
        <w:tblW w:type="pct" w:w="5000.0"/>
        <w:tblLook w:firstRow="1"/>
        <w:tblCaption w:val="Table 1: Categorization of comorbidities from the Charlson, Elixhauser and Rx RIsk V comorbidities. (CNS = central nervous system.)"/>
      </w:tblPr>
      <w:tblGrid>
        <w:gridCol w:w="1540"/>
        <w:gridCol w:w="2915"/>
        <w:gridCol w:w="3465"/>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2" w:name="page-break-9"/>
      <w:r>
        <w:t xml:space="preserve">PAGE BREAK</w:t>
      </w:r>
      <w:bookmarkEnd w:id="62"/>
    </w:p>
    <w:p>
      <w:pPr>
        <w:pStyle w:val="TableCaption"/>
      </w:pPr>
      <w:r>
        <w:t xml:space="preserve">Table 2: Codes identifying infection if recorded in the national patient register within 90 days or 2 years after THA respectively.</w:t>
      </w:r>
    </w:p>
    <w:tbl>
      <w:tblPr>
        <w:tblStyle w:val="Table"/>
        <w:tblW w:type="pct" w:w="5000.0"/>
        <w:tblLook w:firstRow="1"/>
        <w:tblCaption w:val="Table 2: Codes identifying infection if recorded in the national patient register within 90 days or 2 years after THA respectively."/>
      </w:tblPr>
      <w:tblGrid>
        <w:gridCol w:w="819"/>
        <w:gridCol w:w="7100"/>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T846F,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3" w:name="page-break-10"/>
      <w:r>
        <w:t xml:space="preserve">PAGE BREAK</w:t>
      </w:r>
      <w:bookmarkEnd w:id="63"/>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4999.999999999999"/>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56"/>
        <w:gridCol w:w="2329"/>
        <w:gridCol w:w="724"/>
        <w:gridCol w:w="880"/>
        <w:gridCol w:w="724"/>
        <w:gridCol w:w="880"/>
        <w:gridCol w:w="724"/>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2134</w:t>
            </w:r>
          </w:p>
        </w:tc>
        <w:tc>
          <w:p>
            <w:pPr>
              <w:pStyle w:val="Compact"/>
              <w:jc w:val="left"/>
            </w:pPr>
            <w:r>
              <w:t xml:space="preserve">86696</w:t>
            </w:r>
          </w:p>
        </w:tc>
        <w:tc>
          <w:p>
            <w:pPr>
              <w:pStyle w:val="Compact"/>
              <w:jc w:val="left"/>
            </w:pPr>
            <w:r>
              <w:t xml:space="preserve">3063</w:t>
            </w:r>
          </w:p>
        </w:tc>
        <w:tc>
          <w:p>
            <w:pPr>
              <w:pStyle w:val="Compact"/>
              <w:jc w:val="left"/>
            </w:pPr>
            <w:r>
              <w:t xml:space="preserve">85767</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70.26 (11.24)</w:t>
            </w:r>
          </w:p>
        </w:tc>
        <w:tc>
          <w:p>
            <w:pPr>
              <w:pStyle w:val="Compact"/>
              <w:jc w:val="left"/>
            </w:pPr>
            <w:r>
              <w:t xml:space="preserve">68.39 (10.71)</w:t>
            </w:r>
          </w:p>
        </w:tc>
        <w:tc>
          <w:p>
            <w:pPr>
              <w:pStyle w:val="Compact"/>
              <w:jc w:val="left"/>
            </w:pPr>
            <w:r>
              <w:t xml:space="preserve">69.68 (11.05)</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1093 (51.2)</w:t>
            </w:r>
          </w:p>
        </w:tc>
        <w:tc>
          <w:p>
            <w:pPr>
              <w:pStyle w:val="Compact"/>
              <w:jc w:val="left"/>
            </w:pPr>
            <w:r>
              <w:t xml:space="preserve">37586 (43.4)</w:t>
            </w:r>
          </w:p>
        </w:tc>
        <w:tc>
          <w:p>
            <w:pPr>
              <w:pStyle w:val="Compact"/>
              <w:jc w:val="left"/>
            </w:pPr>
            <w:r>
              <w:t xml:space="preserve">1574 (51.4)</w:t>
            </w:r>
          </w:p>
        </w:tc>
        <w:tc>
          <w:p>
            <w:pPr>
              <w:pStyle w:val="Compact"/>
              <w:jc w:val="left"/>
            </w:pPr>
            <w:r>
              <w:t xml:space="preserve">37105 (43.3)</w:t>
            </w:r>
          </w:p>
        </w:tc>
        <w:tc>
          <w:p>
            <w:pPr>
              <w:pStyle w:val="Compact"/>
              <w:jc w:val="left"/>
            </w:pPr>
            <w:r>
              <w:t xml:space="preserve">38679 (43.5)</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475 (22.3)</w:t>
            </w:r>
          </w:p>
        </w:tc>
        <w:tc>
          <w:p>
            <w:pPr>
              <w:pStyle w:val="Compact"/>
              <w:jc w:val="left"/>
            </w:pPr>
            <w:r>
              <w:t xml:space="preserve">28956 (33.4)</w:t>
            </w:r>
          </w:p>
        </w:tc>
        <w:tc>
          <w:p>
            <w:pPr>
              <w:pStyle w:val="Compact"/>
              <w:jc w:val="left"/>
            </w:pPr>
            <w:r>
              <w:t xml:space="preserve">730 (23.8)</w:t>
            </w:r>
          </w:p>
        </w:tc>
        <w:tc>
          <w:p>
            <w:pPr>
              <w:pStyle w:val="Compact"/>
              <w:jc w:val="left"/>
            </w:pPr>
            <w:r>
              <w:t xml:space="preserve">28701 (33.5)</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851 (39.9)</w:t>
            </w:r>
          </w:p>
        </w:tc>
        <w:tc>
          <w:p>
            <w:pPr>
              <w:pStyle w:val="Compact"/>
              <w:jc w:val="left"/>
            </w:pPr>
            <w:r>
              <w:t xml:space="preserve">37292 (43.0)</w:t>
            </w:r>
          </w:p>
        </w:tc>
        <w:tc>
          <w:p>
            <w:pPr>
              <w:pStyle w:val="Compact"/>
              <w:jc w:val="left"/>
            </w:pPr>
            <w:r>
              <w:t xml:space="preserve">1232 (40.2)</w:t>
            </w:r>
          </w:p>
        </w:tc>
        <w:tc>
          <w:p>
            <w:pPr>
              <w:pStyle w:val="Compact"/>
              <w:jc w:val="left"/>
            </w:pPr>
            <w:r>
              <w:t xml:space="preserve">36911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523 (24.5)</w:t>
            </w:r>
          </w:p>
        </w:tc>
        <w:tc>
          <w:p>
            <w:pPr>
              <w:pStyle w:val="Compact"/>
              <w:jc w:val="left"/>
            </w:pPr>
            <w:r>
              <w:t xml:space="preserve">15701 (18.1)</w:t>
            </w:r>
          </w:p>
        </w:tc>
        <w:tc>
          <w:p>
            <w:pPr>
              <w:pStyle w:val="Compact"/>
              <w:jc w:val="left"/>
            </w:pPr>
            <w:r>
              <w:t xml:space="preserve">737 (24.1)</w:t>
            </w:r>
          </w:p>
        </w:tc>
        <w:tc>
          <w:p>
            <w:pPr>
              <w:pStyle w:val="Compact"/>
              <w:jc w:val="left"/>
            </w:pPr>
            <w:r>
              <w:t xml:space="preserve">15487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285 (13.4)</w:t>
            </w:r>
          </w:p>
        </w:tc>
        <w:tc>
          <w:p>
            <w:pPr>
              <w:pStyle w:val="Compact"/>
              <w:jc w:val="left"/>
            </w:pPr>
            <w:r>
              <w:t xml:space="preserve">4747 ( 5.5)</w:t>
            </w:r>
          </w:p>
        </w:tc>
        <w:tc>
          <w:p>
            <w:pPr>
              <w:pStyle w:val="Compact"/>
              <w:jc w:val="left"/>
            </w:pPr>
            <w:r>
              <w:t xml:space="preserve">364 (11.9)</w:t>
            </w:r>
          </w:p>
        </w:tc>
        <w:tc>
          <w:p>
            <w:pPr>
              <w:pStyle w:val="Compact"/>
              <w:jc w:val="left"/>
            </w:pPr>
            <w:r>
              <w:t xml:space="preserve">4668 ( 5.4)</w:t>
            </w:r>
          </w:p>
        </w:tc>
        <w:tc>
          <w:p>
            <w:pPr>
              <w:pStyle w:val="Compact"/>
              <w:jc w:val="left"/>
            </w:pPr>
            <w:r>
              <w:t xml:space="preserve">5032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299 (14.0)</w:t>
            </w:r>
          </w:p>
        </w:tc>
        <w:tc>
          <w:p>
            <w:pPr>
              <w:pStyle w:val="Compact"/>
              <w:jc w:val="left"/>
            </w:pPr>
            <w:r>
              <w:t xml:space="preserve">20788 (24.0)</w:t>
            </w:r>
          </w:p>
        </w:tc>
        <w:tc>
          <w:p>
            <w:pPr>
              <w:pStyle w:val="Compact"/>
              <w:jc w:val="left"/>
            </w:pPr>
            <w:r>
              <w:t xml:space="preserve">439 (14.3)</w:t>
            </w:r>
          </w:p>
        </w:tc>
        <w:tc>
          <w:p>
            <w:pPr>
              <w:pStyle w:val="Compact"/>
              <w:jc w:val="left"/>
            </w:pPr>
            <w:r>
              <w:t xml:space="preserve">20648 (24.1)</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1205 (56.5)</w:t>
            </w:r>
          </w:p>
        </w:tc>
        <w:tc>
          <w:p>
            <w:pPr>
              <w:pStyle w:val="Compact"/>
              <w:jc w:val="left"/>
            </w:pPr>
            <w:r>
              <w:t xml:space="preserve">51593 (59.5)</w:t>
            </w:r>
          </w:p>
        </w:tc>
        <w:tc>
          <w:p>
            <w:pPr>
              <w:pStyle w:val="Compact"/>
              <w:jc w:val="left"/>
            </w:pPr>
            <w:r>
              <w:t xml:space="preserve">1735 (56.6)</w:t>
            </w:r>
          </w:p>
        </w:tc>
        <w:tc>
          <w:p>
            <w:pPr>
              <w:pStyle w:val="Compact"/>
              <w:jc w:val="left"/>
            </w:pPr>
            <w:r>
              <w:t xml:space="preserve">51063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630 (29.5)</w:t>
            </w:r>
          </w:p>
        </w:tc>
        <w:tc>
          <w:p>
            <w:pPr>
              <w:pStyle w:val="Compact"/>
              <w:jc w:val="left"/>
            </w:pPr>
            <w:r>
              <w:t xml:space="preserve">14315 (16.5)</w:t>
            </w:r>
          </w:p>
        </w:tc>
        <w:tc>
          <w:p>
            <w:pPr>
              <w:pStyle w:val="Compact"/>
              <w:jc w:val="left"/>
            </w:pPr>
            <w:r>
              <w:t xml:space="preserve">889 (29.0)</w:t>
            </w:r>
          </w:p>
        </w:tc>
        <w:tc>
          <w:p>
            <w:pPr>
              <w:pStyle w:val="Compact"/>
              <w:jc w:val="left"/>
            </w:pPr>
            <w:r>
              <w:t xml:space="preserve">14056 (16.4)</w:t>
            </w:r>
          </w:p>
        </w:tc>
        <w:tc>
          <w:p>
            <w:pPr>
              <w:pStyle w:val="Compact"/>
              <w:jc w:val="left"/>
            </w:pPr>
            <w:r>
              <w:t xml:space="preserve">14945 (16.8)</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1733 (81.2)</w:t>
            </w:r>
          </w:p>
        </w:tc>
        <w:tc>
          <w:p>
            <w:pPr>
              <w:pStyle w:val="Compact"/>
              <w:jc w:val="left"/>
            </w:pPr>
            <w:r>
              <w:t xml:space="preserve">76845 (88.6)</w:t>
            </w:r>
          </w:p>
        </w:tc>
        <w:tc>
          <w:p>
            <w:pPr>
              <w:pStyle w:val="Compact"/>
              <w:jc w:val="left"/>
            </w:pPr>
            <w:r>
              <w:t xml:space="preserve">2498 (81.6)</w:t>
            </w:r>
          </w:p>
        </w:tc>
        <w:tc>
          <w:p>
            <w:pPr>
              <w:pStyle w:val="Compact"/>
              <w:jc w:val="left"/>
            </w:pPr>
            <w:r>
              <w:t xml:space="preserve">76080 (88.7)</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229 (10.7)</w:t>
            </w:r>
          </w:p>
        </w:tc>
        <w:tc>
          <w:p>
            <w:pPr>
              <w:pStyle w:val="Compact"/>
              <w:jc w:val="left"/>
            </w:pPr>
            <w:r>
              <w:t xml:space="preserve">5042 ( 5.8)</w:t>
            </w:r>
          </w:p>
        </w:tc>
        <w:tc>
          <w:p>
            <w:pPr>
              <w:pStyle w:val="Compact"/>
              <w:jc w:val="left"/>
            </w:pPr>
            <w:r>
              <w:t xml:space="preserve">311 (10.2)</w:t>
            </w:r>
          </w:p>
        </w:tc>
        <w:tc>
          <w:p>
            <w:pPr>
              <w:pStyle w:val="Compact"/>
              <w:jc w:val="left"/>
            </w:pPr>
            <w:r>
              <w:t xml:space="preserve">4960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( 1.9)</w:t>
            </w:r>
          </w:p>
        </w:tc>
        <w:tc>
          <w:p>
            <w:pPr>
              <w:pStyle w:val="Compact"/>
              <w:jc w:val="left"/>
            </w:pPr>
            <w:r>
              <w:t xml:space="preserve">1821 ( 2.1)</w:t>
            </w:r>
          </w:p>
        </w:tc>
        <w:tc>
          <w:p>
            <w:pPr>
              <w:pStyle w:val="Compact"/>
              <w:jc w:val="left"/>
            </w:pPr>
            <w:r>
              <w:t xml:space="preserve">55 ( 1.8)</w:t>
            </w:r>
          </w:p>
        </w:tc>
        <w:tc>
          <w:p>
            <w:pPr>
              <w:pStyle w:val="Compact"/>
              <w:jc w:val="left"/>
            </w:pPr>
            <w:r>
              <w:t xml:space="preserve">1807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75 ( 3.5)</w:t>
            </w:r>
          </w:p>
        </w:tc>
        <w:tc>
          <w:p>
            <w:pPr>
              <w:pStyle w:val="Compact"/>
              <w:jc w:val="left"/>
            </w:pPr>
            <w:r>
              <w:t xml:space="preserve">1820 ( 2.1)</w:t>
            </w:r>
          </w:p>
        </w:tc>
        <w:tc>
          <w:p>
            <w:pPr>
              <w:pStyle w:val="Compact"/>
              <w:jc w:val="left"/>
            </w:pPr>
            <w:r>
              <w:t xml:space="preserve">111 ( 3.6)</w:t>
            </w:r>
          </w:p>
        </w:tc>
        <w:tc>
          <w:p>
            <w:pPr>
              <w:pStyle w:val="Compact"/>
              <w:jc w:val="left"/>
            </w:pPr>
            <w:r>
              <w:t xml:space="preserve">1784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56 ( 2.6)</w:t>
            </w:r>
          </w:p>
        </w:tc>
        <w:tc>
          <w:p>
            <w:pPr>
              <w:pStyle w:val="Compact"/>
              <w:jc w:val="left"/>
            </w:pPr>
            <w:r>
              <w:t xml:space="preserve">1168 ( 1.3)</w:t>
            </w:r>
          </w:p>
        </w:tc>
        <w:tc>
          <w:p>
            <w:pPr>
              <w:pStyle w:val="Compact"/>
              <w:jc w:val="left"/>
            </w:pPr>
            <w:r>
              <w:t xml:space="preserve">88 ( 2.9)</w:t>
            </w:r>
          </w:p>
        </w:tc>
        <w:tc>
          <w:p>
            <w:pPr>
              <w:pStyle w:val="Compact"/>
              <w:jc w:val="left"/>
            </w:pPr>
            <w:r>
              <w:t xml:space="preserve">1136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1567 (73.4)</w:t>
            </w:r>
          </w:p>
        </w:tc>
        <w:tc>
          <w:p>
            <w:pPr>
              <w:pStyle w:val="Compact"/>
              <w:jc w:val="left"/>
            </w:pPr>
            <w:r>
              <w:t xml:space="preserve">59810 (69.0)</w:t>
            </w:r>
          </w:p>
        </w:tc>
        <w:tc>
          <w:p>
            <w:pPr>
              <w:pStyle w:val="Compact"/>
              <w:jc w:val="left"/>
            </w:pPr>
            <w:r>
              <w:t xml:space="preserve">2204 (72.0)</w:t>
            </w:r>
          </w:p>
        </w:tc>
        <w:tc>
          <w:p>
            <w:pPr>
              <w:pStyle w:val="Compact"/>
              <w:jc w:val="left"/>
            </w:pPr>
            <w:r>
              <w:t xml:space="preserve">59173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1703 (79.8)</w:t>
            </w:r>
          </w:p>
        </w:tc>
        <w:tc>
          <w:p>
            <w:pPr>
              <w:pStyle w:val="Compact"/>
              <w:jc w:val="left"/>
            </w:pPr>
            <w:r>
              <w:t xml:space="preserve">68183 (78.6)</w:t>
            </w:r>
          </w:p>
        </w:tc>
        <w:tc>
          <w:p>
            <w:pPr>
              <w:pStyle w:val="Compact"/>
              <w:jc w:val="left"/>
            </w:pPr>
            <w:r>
              <w:t xml:space="preserve">2429 (79.3)</w:t>
            </w:r>
          </w:p>
        </w:tc>
        <w:tc>
          <w:p>
            <w:pPr>
              <w:pStyle w:val="Compact"/>
              <w:jc w:val="left"/>
            </w:pPr>
            <w:r>
              <w:t xml:space="preserve">67457 (78.7)</w:t>
            </w:r>
          </w:p>
        </w:tc>
        <w:tc>
          <w:p>
            <w:pPr>
              <w:pStyle w:val="Compact"/>
              <w:jc w:val="left"/>
            </w:pPr>
            <w:r>
              <w:t xml:space="preserve">69886 (78.7)</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760 (35.6)</w:t>
            </w:r>
          </w:p>
        </w:tc>
        <w:tc>
          <w:p>
            <w:pPr>
              <w:pStyle w:val="Compact"/>
              <w:jc w:val="left"/>
            </w:pPr>
            <w:r>
              <w:t xml:space="preserve">33178 (38.3)</w:t>
            </w:r>
          </w:p>
        </w:tc>
        <w:tc>
          <w:p>
            <w:pPr>
              <w:pStyle w:val="Compact"/>
              <w:jc w:val="left"/>
            </w:pPr>
            <w:r>
              <w:t xml:space="preserve">1085 (35.4)</w:t>
            </w:r>
          </w:p>
        </w:tc>
        <w:tc>
          <w:p>
            <w:pPr>
              <w:pStyle w:val="Compact"/>
              <w:jc w:val="left"/>
            </w:pPr>
            <w:r>
              <w:t xml:space="preserve">32853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837 (39.2)</w:t>
            </w:r>
          </w:p>
        </w:tc>
        <w:tc>
          <w:p>
            <w:pPr>
              <w:pStyle w:val="Compact"/>
              <w:jc w:val="left"/>
            </w:pPr>
            <w:r>
              <w:t xml:space="preserve">28383 (32.7)</w:t>
            </w:r>
          </w:p>
        </w:tc>
        <w:tc>
          <w:p>
            <w:pPr>
              <w:pStyle w:val="Compact"/>
              <w:jc w:val="left"/>
            </w:pPr>
            <w:r>
              <w:t xml:space="preserve">1145 (37.4)</w:t>
            </w:r>
          </w:p>
        </w:tc>
        <w:tc>
          <w:p>
            <w:pPr>
              <w:pStyle w:val="Compact"/>
              <w:jc w:val="left"/>
            </w:pPr>
            <w:r>
              <w:t xml:space="preserve">28075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311 (14.6)</w:t>
            </w:r>
          </w:p>
        </w:tc>
        <w:tc>
          <w:p>
            <w:pPr>
              <w:pStyle w:val="Compact"/>
              <w:jc w:val="left"/>
            </w:pPr>
            <w:r>
              <w:t xml:space="preserve">17414 (20.1)</w:t>
            </w:r>
          </w:p>
        </w:tc>
        <w:tc>
          <w:p>
            <w:pPr>
              <w:pStyle w:val="Compact"/>
              <w:jc w:val="left"/>
            </w:pPr>
            <w:r>
              <w:t xml:space="preserve">488 (15.9)</w:t>
            </w:r>
          </w:p>
        </w:tc>
        <w:tc>
          <w:p>
            <w:pPr>
              <w:pStyle w:val="Compact"/>
              <w:jc w:val="left"/>
            </w:pPr>
            <w:r>
              <w:t xml:space="preserve">17237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226 (10.6)</w:t>
            </w:r>
          </w:p>
        </w:tc>
        <w:tc>
          <w:p>
            <w:pPr>
              <w:pStyle w:val="Compact"/>
              <w:jc w:val="left"/>
            </w:pPr>
            <w:r>
              <w:t xml:space="preserve">7721 ( 8.9)</w:t>
            </w:r>
          </w:p>
        </w:tc>
        <w:tc>
          <w:p>
            <w:pPr>
              <w:pStyle w:val="Compact"/>
              <w:jc w:val="left"/>
            </w:pPr>
            <w:r>
              <w:t xml:space="preserve">345 (11.3)</w:t>
            </w:r>
          </w:p>
        </w:tc>
        <w:tc>
          <w:p>
            <w:pPr>
              <w:pStyle w:val="Compact"/>
              <w:jc w:val="left"/>
            </w:pPr>
            <w:r>
              <w:t xml:space="preserve">7602 ( 8.9)</w:t>
            </w:r>
          </w:p>
        </w:tc>
        <w:tc>
          <w:p>
            <w:pPr>
              <w:pStyle w:val="Compact"/>
              <w:jc w:val="left"/>
            </w:pPr>
            <w:r>
              <w:t xml:space="preserve">7947 ( 8.9)</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447 (20.9)</w:t>
            </w:r>
          </w:p>
        </w:tc>
        <w:tc>
          <w:p>
            <w:pPr>
              <w:pStyle w:val="Compact"/>
              <w:jc w:val="left"/>
            </w:pPr>
            <w:r>
              <w:t xml:space="preserve">22213 (25.6)</w:t>
            </w:r>
          </w:p>
        </w:tc>
        <w:tc>
          <w:p>
            <w:pPr>
              <w:pStyle w:val="Compact"/>
              <w:jc w:val="left"/>
            </w:pPr>
            <w:r>
              <w:t xml:space="preserve">646 (21.1)</w:t>
            </w:r>
          </w:p>
        </w:tc>
        <w:tc>
          <w:p>
            <w:pPr>
              <w:pStyle w:val="Compact"/>
              <w:jc w:val="left"/>
            </w:pPr>
            <w:r>
              <w:t xml:space="preserve">22014 (25.7)</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800 (37.5)</w:t>
            </w:r>
          </w:p>
        </w:tc>
        <w:tc>
          <w:p>
            <w:pPr>
              <w:pStyle w:val="Compact"/>
              <w:jc w:val="left"/>
            </w:pPr>
            <w:r>
              <w:t xml:space="preserve">28523 (32.9)</w:t>
            </w:r>
          </w:p>
        </w:tc>
        <w:tc>
          <w:p>
            <w:pPr>
              <w:pStyle w:val="Compact"/>
              <w:jc w:val="left"/>
            </w:pPr>
            <w:r>
              <w:t xml:space="preserve">1125 (36.7)</w:t>
            </w:r>
          </w:p>
        </w:tc>
        <w:tc>
          <w:p>
            <w:pPr>
              <w:pStyle w:val="Compact"/>
              <w:jc w:val="left"/>
            </w:pPr>
            <w:r>
              <w:t xml:space="preserve">28198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887 (41.6)</w:t>
            </w:r>
          </w:p>
        </w:tc>
        <w:tc>
          <w:p>
            <w:pPr>
              <w:pStyle w:val="Compact"/>
              <w:jc w:val="left"/>
            </w:pPr>
            <w:r>
              <w:t xml:space="preserve">35960 (41.5)</w:t>
            </w:r>
          </w:p>
        </w:tc>
        <w:tc>
          <w:p>
            <w:pPr>
              <w:pStyle w:val="Compact"/>
              <w:jc w:val="left"/>
            </w:pPr>
            <w:r>
              <w:t xml:space="preserve">1292 (42.2)</w:t>
            </w:r>
          </w:p>
        </w:tc>
        <w:tc>
          <w:p>
            <w:pPr>
              <w:pStyle w:val="Compact"/>
              <w:jc w:val="left"/>
            </w:pPr>
            <w:r>
              <w:t xml:space="preserve">35555 (41.5)</w:t>
            </w:r>
          </w:p>
        </w:tc>
        <w:tc>
          <w:p>
            <w:pPr>
              <w:pStyle w:val="Compact"/>
              <w:jc w:val="left"/>
            </w:pPr>
            <w:r>
              <w:t xml:space="preserve">36847 (41.5)</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1113 (52.2)</w:t>
            </w:r>
          </w:p>
        </w:tc>
        <w:tc>
          <w:p>
            <w:pPr>
              <w:pStyle w:val="Compact"/>
              <w:jc w:val="left"/>
            </w:pPr>
            <w:r>
              <w:t xml:space="preserve">48020 (55.4)</w:t>
            </w:r>
          </w:p>
        </w:tc>
        <w:tc>
          <w:p>
            <w:pPr>
              <w:pStyle w:val="Compact"/>
              <w:jc w:val="left"/>
            </w:pPr>
            <w:r>
              <w:t xml:space="preserve">1617 (52.8)</w:t>
            </w:r>
          </w:p>
        </w:tc>
        <w:tc>
          <w:p>
            <w:pPr>
              <w:pStyle w:val="Compact"/>
              <w:jc w:val="left"/>
            </w:pPr>
            <w:r>
              <w:t xml:space="preserve">47516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638 (29.9)</w:t>
            </w:r>
          </w:p>
        </w:tc>
        <w:tc>
          <w:p>
            <w:pPr>
              <w:pStyle w:val="Compact"/>
              <w:jc w:val="left"/>
            </w:pPr>
            <w:r>
              <w:t xml:space="preserve">25292 (29.2)</w:t>
            </w:r>
          </w:p>
        </w:tc>
        <w:tc>
          <w:p>
            <w:pPr>
              <w:pStyle w:val="Compact"/>
              <w:jc w:val="left"/>
            </w:pPr>
            <w:r>
              <w:t xml:space="preserve">930 (30.4)</w:t>
            </w:r>
          </w:p>
        </w:tc>
        <w:tc>
          <w:p>
            <w:pPr>
              <w:pStyle w:val="Compact"/>
              <w:jc w:val="left"/>
            </w:pPr>
            <w:r>
              <w:t xml:space="preserve">25000 (29.1)</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383 (17.9)</w:t>
            </w:r>
          </w:p>
        </w:tc>
        <w:tc>
          <w:p>
            <w:pPr>
              <w:pStyle w:val="Compact"/>
              <w:jc w:val="left"/>
            </w:pPr>
            <w:r>
              <w:t xml:space="preserve">13384 (15.4)</w:t>
            </w:r>
          </w:p>
        </w:tc>
        <w:tc>
          <w:p>
            <w:pPr>
              <w:pStyle w:val="Compact"/>
              <w:jc w:val="left"/>
            </w:pPr>
            <w:r>
              <w:t xml:space="preserve">516 (16.8)</w:t>
            </w:r>
          </w:p>
        </w:tc>
        <w:tc>
          <w:p>
            <w:pPr>
              <w:pStyle w:val="Compact"/>
              <w:jc w:val="left"/>
            </w:pPr>
            <w:r>
              <w:t xml:space="preserve">13251 (15.4)</w:t>
            </w:r>
          </w:p>
        </w:tc>
        <w:tc>
          <w:p>
            <w:pPr>
              <w:pStyle w:val="Compact"/>
              <w:jc w:val="left"/>
            </w:pPr>
            <w:r>
              <w:t xml:space="preserve">13767 (15.5)</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1385 (64.9)</w:t>
            </w:r>
          </w:p>
        </w:tc>
        <w:tc>
          <w:p>
            <w:pPr>
              <w:pStyle w:val="Compact"/>
              <w:jc w:val="left"/>
            </w:pPr>
            <w:r>
              <w:t xml:space="preserve">66052 (76.2)</w:t>
            </w:r>
          </w:p>
        </w:tc>
        <w:tc>
          <w:p>
            <w:pPr>
              <w:pStyle w:val="Compact"/>
              <w:jc w:val="left"/>
            </w:pPr>
            <w:r>
              <w:t xml:space="preserve">1962 (64.1)</w:t>
            </w:r>
          </w:p>
        </w:tc>
        <w:tc>
          <w:p>
            <w:pPr>
              <w:pStyle w:val="Compact"/>
              <w:jc w:val="left"/>
            </w:pPr>
            <w:r>
              <w:t xml:space="preserve">65475 (76.3)</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413 (19.4)</w:t>
            </w:r>
          </w:p>
        </w:tc>
        <w:tc>
          <w:p>
            <w:pPr>
              <w:pStyle w:val="Compact"/>
              <w:jc w:val="left"/>
            </w:pPr>
            <w:r>
              <w:t xml:space="preserve">12291 (14.2)</w:t>
            </w:r>
          </w:p>
        </w:tc>
        <w:tc>
          <w:p>
            <w:pPr>
              <w:pStyle w:val="Compact"/>
              <w:jc w:val="left"/>
            </w:pPr>
            <w:r>
              <w:t xml:space="preserve">587 (19.2)</w:t>
            </w:r>
          </w:p>
        </w:tc>
        <w:tc>
          <w:p>
            <w:pPr>
              <w:pStyle w:val="Compact"/>
              <w:jc w:val="left"/>
            </w:pPr>
            <w:r>
              <w:t xml:space="preserve">12117 (14.1)</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188 ( 8.8)</w:t>
            </w:r>
          </w:p>
        </w:tc>
        <w:tc>
          <w:p>
            <w:pPr>
              <w:pStyle w:val="Compact"/>
              <w:jc w:val="left"/>
            </w:pPr>
            <w:r>
              <w:t xml:space="preserve">5466 ( 6.3)</w:t>
            </w:r>
          </w:p>
        </w:tc>
        <w:tc>
          <w:p>
            <w:pPr>
              <w:pStyle w:val="Compact"/>
              <w:jc w:val="left"/>
            </w:pPr>
            <w:r>
              <w:t xml:space="preserve">283 ( 9.2)</w:t>
            </w:r>
          </w:p>
        </w:tc>
        <w:tc>
          <w:p>
            <w:pPr>
              <w:pStyle w:val="Compact"/>
              <w:jc w:val="left"/>
            </w:pPr>
            <w:r>
              <w:t xml:space="preserve">5371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82 ( 3.8)</w:t>
            </w:r>
          </w:p>
        </w:tc>
        <w:tc>
          <w:p>
            <w:pPr>
              <w:pStyle w:val="Compact"/>
              <w:jc w:val="left"/>
            </w:pPr>
            <w:r>
              <w:t xml:space="preserve">1694 ( 2.0)</w:t>
            </w:r>
          </w:p>
        </w:tc>
        <w:tc>
          <w:p>
            <w:pPr>
              <w:pStyle w:val="Compact"/>
              <w:jc w:val="left"/>
            </w:pPr>
            <w:r>
              <w:t xml:space="preserve">126 ( 4.1)</w:t>
            </w:r>
          </w:p>
        </w:tc>
        <w:tc>
          <w:p>
            <w:pPr>
              <w:pStyle w:val="Compact"/>
              <w:jc w:val="left"/>
            </w:pPr>
            <w:r>
              <w:t xml:space="preserve">1650 ( 1.9)</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66 ( 3.1)</w:t>
            </w:r>
          </w:p>
        </w:tc>
        <w:tc>
          <w:p>
            <w:pPr>
              <w:pStyle w:val="Compact"/>
              <w:jc w:val="left"/>
            </w:pPr>
            <w:r>
              <w:t xml:space="preserve">1193 ( 1.4)</w:t>
            </w:r>
          </w:p>
        </w:tc>
        <w:tc>
          <w:p>
            <w:pPr>
              <w:pStyle w:val="Compact"/>
              <w:jc w:val="left"/>
            </w:pPr>
            <w:r>
              <w:t xml:space="preserve">105 ( 3.4)</w:t>
            </w:r>
          </w:p>
        </w:tc>
        <w:tc>
          <w:p>
            <w:pPr>
              <w:pStyle w:val="Compact"/>
              <w:jc w:val="left"/>
            </w:pPr>
            <w:r>
              <w:t xml:space="preserve">1154 ( 1.3)</w:t>
            </w:r>
          </w:p>
        </w:tc>
        <w:tc>
          <w:p>
            <w:pPr>
              <w:pStyle w:val="Compact"/>
              <w:jc w:val="left"/>
            </w:pPr>
            <w:r>
              <w:t xml:space="preserve">1259 ( 1.4)</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928 (43.5)</w:t>
            </w:r>
          </w:p>
        </w:tc>
        <w:tc>
          <w:p>
            <w:pPr>
              <w:pStyle w:val="Compact"/>
              <w:jc w:val="left"/>
            </w:pPr>
            <w:r>
              <w:t xml:space="preserve">49285 (56.8)</w:t>
            </w:r>
          </w:p>
        </w:tc>
        <w:tc>
          <w:p>
            <w:pPr>
              <w:pStyle w:val="Compact"/>
              <w:jc w:val="left"/>
            </w:pPr>
            <w:r>
              <w:t xml:space="preserve">1345 (43.9)</w:t>
            </w:r>
          </w:p>
        </w:tc>
        <w:tc>
          <w:p>
            <w:pPr>
              <w:pStyle w:val="Compact"/>
              <w:jc w:val="left"/>
            </w:pPr>
            <w:r>
              <w:t xml:space="preserve">48868 (57.0)</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527 (24.7)</w:t>
            </w:r>
          </w:p>
        </w:tc>
        <w:tc>
          <w:p>
            <w:pPr>
              <w:pStyle w:val="Compact"/>
              <w:jc w:val="left"/>
            </w:pPr>
            <w:r>
              <w:t xml:space="preserve">20821 (24.0)</w:t>
            </w:r>
          </w:p>
        </w:tc>
        <w:tc>
          <w:p>
            <w:pPr>
              <w:pStyle w:val="Compact"/>
              <w:jc w:val="left"/>
            </w:pPr>
            <w:r>
              <w:t xml:space="preserve">777 (25.4)</w:t>
            </w:r>
          </w:p>
        </w:tc>
        <w:tc>
          <w:p>
            <w:pPr>
              <w:pStyle w:val="Compact"/>
              <w:jc w:val="left"/>
            </w:pPr>
            <w:r>
              <w:t xml:space="preserve">20571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366 (17.2)</w:t>
            </w:r>
          </w:p>
        </w:tc>
        <w:tc>
          <w:p>
            <w:pPr>
              <w:pStyle w:val="Compact"/>
              <w:jc w:val="left"/>
            </w:pPr>
            <w:r>
              <w:t xml:space="preserve">10368 (12.0)</w:t>
            </w:r>
          </w:p>
        </w:tc>
        <w:tc>
          <w:p>
            <w:pPr>
              <w:pStyle w:val="Compact"/>
              <w:jc w:val="left"/>
            </w:pPr>
            <w:r>
              <w:t xml:space="preserve">492 (16.1)</w:t>
            </w:r>
          </w:p>
        </w:tc>
        <w:tc>
          <w:p>
            <w:pPr>
              <w:pStyle w:val="Compact"/>
              <w:jc w:val="left"/>
            </w:pPr>
            <w:r>
              <w:t xml:space="preserve">10242 (11.9)</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313 (14.7)</w:t>
            </w:r>
          </w:p>
        </w:tc>
        <w:tc>
          <w:p>
            <w:pPr>
              <w:pStyle w:val="Compact"/>
              <w:jc w:val="left"/>
            </w:pPr>
            <w:r>
              <w:t xml:space="preserve">6222 ( 7.2)</w:t>
            </w:r>
          </w:p>
        </w:tc>
        <w:tc>
          <w:p>
            <w:pPr>
              <w:pStyle w:val="Compact"/>
              <w:jc w:val="left"/>
            </w:pPr>
            <w:r>
              <w:t xml:space="preserve">449 (14.7)</w:t>
            </w:r>
          </w:p>
        </w:tc>
        <w:tc>
          <w:p>
            <w:pPr>
              <w:pStyle w:val="Compact"/>
              <w:jc w:val="left"/>
            </w:pPr>
            <w:r>
              <w:t xml:space="preserve">6086 ( 7.1)</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3.63 (3.35)</w:t>
            </w:r>
          </w:p>
        </w:tc>
        <w:tc>
          <w:p>
            <w:pPr>
              <w:pStyle w:val="Compact"/>
              <w:jc w:val="left"/>
            </w:pPr>
            <w:r>
              <w:t xml:space="preserve">2.68 (3.09)</w:t>
            </w:r>
          </w:p>
        </w:tc>
        <w:tc>
          <w:p>
            <w:pPr>
              <w:pStyle w:val="Compact"/>
              <w:jc w:val="left"/>
            </w:pPr>
            <w:r>
              <w:t xml:space="preserve">3.70 (3.36)</w:t>
            </w:r>
          </w:p>
        </w:tc>
        <w:tc>
          <w:p>
            <w:pPr>
              <w:pStyle w:val="Compact"/>
              <w:jc w:val="left"/>
            </w:pPr>
            <w:r>
              <w:t xml:space="preserve">2.66 (3.08)</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1 ( 0.0)</w:t>
            </w:r>
          </w:p>
        </w:tc>
        <w:tc>
          <w:p>
            <w:pPr>
              <w:pStyle w:val="Compact"/>
              <w:jc w:val="left"/>
            </w:pPr>
            <w:r>
              <w:t xml:space="preserve">15 ( 0.0)</w:t>
            </w:r>
          </w:p>
        </w:tc>
        <w:tc>
          <w:p>
            <w:pPr>
              <w:pStyle w:val="Compact"/>
              <w:jc w:val="left"/>
            </w:pPr>
            <w:r>
              <w:t xml:space="preserve">1 ( 0.0)</w:t>
            </w:r>
          </w:p>
        </w:tc>
        <w:tc>
          <w:p>
            <w:pPr>
              <w:pStyle w:val="Compact"/>
              <w:jc w:val="left"/>
            </w:pPr>
            <w:r>
              <w:t xml:space="preserve">15 ( 0.0)</w:t>
            </w:r>
          </w:p>
        </w:tc>
        <w:tc>
          <w:p>
            <w:pPr>
              <w:pStyle w:val="Compact"/>
              <w:jc w:val="left"/>
            </w:pPr>
            <w:r>
              <w:t xml:space="preserve">16 ( 0.0)</w:t>
            </w:r>
          </w:p>
        </w:tc>
      </w:tr>
      <w:tr>
        <w:tc>
          <w:p>
            <w:pPr>
              <w:pStyle w:val="Compact"/>
              <w:jc w:val="left"/>
            </w:pPr>
            <w:r>
              <w:t xml:space="preserve">Anemia (%)</w:t>
            </w:r>
          </w:p>
        </w:tc>
        <w:tc>
          <w:p/>
        </w:tc>
        <w:tc>
          <w:p>
            <w:pPr>
              <w:pStyle w:val="Compact"/>
              <w:jc w:val="left"/>
            </w:pPr>
            <w:r>
              <w:t xml:space="preserve">20 ( 0.9)</w:t>
            </w:r>
          </w:p>
        </w:tc>
        <w:tc>
          <w:p>
            <w:pPr>
              <w:pStyle w:val="Compact"/>
              <w:jc w:val="left"/>
            </w:pPr>
            <w:r>
              <w:t xml:space="preserve">599 ( 0.7)</w:t>
            </w:r>
          </w:p>
        </w:tc>
        <w:tc>
          <w:p>
            <w:pPr>
              <w:pStyle w:val="Compact"/>
              <w:jc w:val="left"/>
            </w:pPr>
            <w:r>
              <w:t xml:space="preserve">32 ( 1.0)</w:t>
            </w:r>
          </w:p>
        </w:tc>
        <w:tc>
          <w:p>
            <w:pPr>
              <w:pStyle w:val="Compact"/>
              <w:jc w:val="left"/>
            </w:pPr>
            <w:r>
              <w:t xml:space="preserve">587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268 (12.6)</w:t>
            </w:r>
          </w:p>
        </w:tc>
        <w:tc>
          <w:p>
            <w:pPr>
              <w:pStyle w:val="Compact"/>
              <w:jc w:val="left"/>
            </w:pPr>
            <w:r>
              <w:t xml:space="preserve">6100 ( 7.0)</w:t>
            </w:r>
          </w:p>
        </w:tc>
        <w:tc>
          <w:p>
            <w:pPr>
              <w:pStyle w:val="Compact"/>
              <w:jc w:val="left"/>
            </w:pPr>
            <w:r>
              <w:t xml:space="preserve">354 (11.6)</w:t>
            </w:r>
          </w:p>
        </w:tc>
        <w:tc>
          <w:p>
            <w:pPr>
              <w:pStyle w:val="Compact"/>
              <w:jc w:val="left"/>
            </w:pPr>
            <w:r>
              <w:t xml:space="preserve">6014 ( 7.0)</w:t>
            </w:r>
          </w:p>
        </w:tc>
        <w:tc>
          <w:p>
            <w:pPr>
              <w:pStyle w:val="Compact"/>
              <w:jc w:val="left"/>
            </w:pPr>
            <w:r>
              <w:t xml:space="preserve">6368 ( 7.2)</w:t>
            </w:r>
          </w:p>
        </w:tc>
      </w:tr>
      <w:tr>
        <w:tc>
          <w:p>
            <w:pPr>
              <w:pStyle w:val="Compact"/>
              <w:jc w:val="left"/>
            </w:pPr>
            <w:r>
              <w:t xml:space="preserve">Arterial hypertension (%)</w:t>
            </w:r>
          </w:p>
        </w:tc>
        <w:tc>
          <w:p/>
        </w:tc>
        <w:tc>
          <w:p>
            <w:pPr>
              <w:pStyle w:val="Compact"/>
              <w:jc w:val="left"/>
            </w:pPr>
            <w:r>
              <w:t xml:space="preserve">737 (34.5)</w:t>
            </w:r>
          </w:p>
        </w:tc>
        <w:tc>
          <w:p>
            <w:pPr>
              <w:pStyle w:val="Compact"/>
              <w:jc w:val="left"/>
            </w:pPr>
            <w:r>
              <w:t xml:space="preserve">23321 (26.9)</w:t>
            </w:r>
          </w:p>
        </w:tc>
        <w:tc>
          <w:p>
            <w:pPr>
              <w:pStyle w:val="Compact"/>
              <w:jc w:val="left"/>
            </w:pPr>
            <w:r>
              <w:t xml:space="preserve">1025 (33.5)</w:t>
            </w:r>
          </w:p>
        </w:tc>
        <w:tc>
          <w:p>
            <w:pPr>
              <w:pStyle w:val="Compact"/>
              <w:jc w:val="left"/>
            </w:pPr>
            <w:r>
              <w:t xml:space="preserve">23033 (26.9)</w:t>
            </w:r>
          </w:p>
        </w:tc>
        <w:tc>
          <w:p>
            <w:pPr>
              <w:pStyle w:val="Compact"/>
              <w:jc w:val="left"/>
            </w:pPr>
            <w:r>
              <w:t xml:space="preserve">24058 (27.1)</w:t>
            </w:r>
          </w:p>
        </w:tc>
      </w:tr>
      <w:tr>
        <w:tc>
          <w:p>
            <w:pPr>
              <w:pStyle w:val="Compact"/>
              <w:jc w:val="left"/>
            </w:pPr>
            <w:r>
              <w:t xml:space="preserve">Cancer (%)</w:t>
            </w:r>
          </w:p>
        </w:tc>
        <w:tc>
          <w:p/>
        </w:tc>
        <w:tc>
          <w:p>
            <w:pPr>
              <w:pStyle w:val="Compact"/>
              <w:jc w:val="left"/>
            </w:pPr>
            <w:r>
              <w:t xml:space="preserve">142 ( 6.7)</w:t>
            </w:r>
          </w:p>
        </w:tc>
        <w:tc>
          <w:p>
            <w:pPr>
              <w:pStyle w:val="Compact"/>
              <w:jc w:val="left"/>
            </w:pPr>
            <w:r>
              <w:t xml:space="preserve">3855 ( 4.4)</w:t>
            </w:r>
          </w:p>
        </w:tc>
        <w:tc>
          <w:p>
            <w:pPr>
              <w:pStyle w:val="Compact"/>
              <w:jc w:val="left"/>
            </w:pPr>
            <w:r>
              <w:t xml:space="preserve">228 ( 7.4)</w:t>
            </w:r>
          </w:p>
        </w:tc>
        <w:tc>
          <w:p>
            <w:pPr>
              <w:pStyle w:val="Compact"/>
              <w:jc w:val="left"/>
            </w:pPr>
            <w:r>
              <w:t xml:space="preserve">3769 ( 4.4)</w:t>
            </w:r>
          </w:p>
        </w:tc>
        <w:tc>
          <w:p>
            <w:pPr>
              <w:pStyle w:val="Compact"/>
              <w:jc w:val="left"/>
            </w:pPr>
            <w:r>
              <w:t xml:space="preserve">3997 ( 4.5)</w:t>
            </w:r>
          </w:p>
        </w:tc>
      </w:tr>
      <w:tr>
        <w:tc>
          <w:p>
            <w:pPr>
              <w:pStyle w:val="Compact"/>
              <w:jc w:val="left"/>
            </w:pPr>
            <w:r>
              <w:t xml:space="preserve">Cns disease (%)</w:t>
            </w:r>
          </w:p>
        </w:tc>
        <w:tc>
          <w:p/>
        </w:tc>
        <w:tc>
          <w:p>
            <w:pPr>
              <w:pStyle w:val="Compact"/>
              <w:jc w:val="left"/>
            </w:pPr>
            <w:r>
              <w:t xml:space="preserve">165 ( 7.7)</w:t>
            </w:r>
          </w:p>
        </w:tc>
        <w:tc>
          <w:p>
            <w:pPr>
              <w:pStyle w:val="Compact"/>
              <w:jc w:val="left"/>
            </w:pPr>
            <w:r>
              <w:t xml:space="preserve">2977 ( 3.4)</w:t>
            </w:r>
          </w:p>
        </w:tc>
        <w:tc>
          <w:p>
            <w:pPr>
              <w:pStyle w:val="Compact"/>
              <w:jc w:val="left"/>
            </w:pPr>
            <w:r>
              <w:t xml:space="preserve">221 ( 7.2)</w:t>
            </w:r>
          </w:p>
        </w:tc>
        <w:tc>
          <w:p>
            <w:pPr>
              <w:pStyle w:val="Compact"/>
              <w:jc w:val="left"/>
            </w:pPr>
            <w:r>
              <w:t xml:space="preserve">2921 ( 3.4)</w:t>
            </w:r>
          </w:p>
        </w:tc>
        <w:tc>
          <w:p>
            <w:pPr>
              <w:pStyle w:val="Compact"/>
              <w:jc w:val="left"/>
            </w:pPr>
            <w:r>
              <w:t xml:space="preserve">3142 ( 3.5)</w:t>
            </w:r>
          </w:p>
        </w:tc>
      </w:tr>
      <w:tr>
        <w:tc>
          <w:p>
            <w:pPr>
              <w:pStyle w:val="Compact"/>
              <w:jc w:val="left"/>
            </w:pPr>
            <w:r>
              <w:t xml:space="preserve">Coagulopathy (%)</w:t>
            </w:r>
          </w:p>
        </w:tc>
        <w:tc>
          <w:p/>
        </w:tc>
        <w:tc>
          <w:p>
            <w:pPr>
              <w:pStyle w:val="Compact"/>
              <w:jc w:val="left"/>
            </w:pPr>
            <w:r>
              <w:t xml:space="preserve">8 ( 0.4)</w:t>
            </w:r>
          </w:p>
        </w:tc>
        <w:tc>
          <w:p>
            <w:pPr>
              <w:pStyle w:val="Compact"/>
              <w:jc w:val="left"/>
            </w:pPr>
            <w:r>
              <w:t xml:space="preserve">321 ( 0.4)</w:t>
            </w:r>
          </w:p>
        </w:tc>
        <w:tc>
          <w:p>
            <w:pPr>
              <w:pStyle w:val="Compact"/>
              <w:jc w:val="left"/>
            </w:pPr>
            <w:r>
              <w:t xml:space="preserve">15 ( 0.5)</w:t>
            </w:r>
          </w:p>
        </w:tc>
        <w:tc>
          <w:p>
            <w:pPr>
              <w:pStyle w:val="Compact"/>
              <w:jc w:val="left"/>
            </w:pPr>
            <w:r>
              <w:t xml:space="preserve">314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209 ( 9.8)</w:t>
            </w:r>
          </w:p>
        </w:tc>
        <w:tc>
          <w:p>
            <w:pPr>
              <w:pStyle w:val="Compact"/>
              <w:jc w:val="left"/>
            </w:pPr>
            <w:r>
              <w:t xml:space="preserve">5764 ( 6.6)</w:t>
            </w:r>
          </w:p>
        </w:tc>
        <w:tc>
          <w:p>
            <w:pPr>
              <w:pStyle w:val="Compact"/>
              <w:jc w:val="left"/>
            </w:pPr>
            <w:r>
              <w:t xml:space="preserve">288 ( 9.4)</w:t>
            </w:r>
          </w:p>
        </w:tc>
        <w:tc>
          <w:p>
            <w:pPr>
              <w:pStyle w:val="Compact"/>
              <w:jc w:val="left"/>
            </w:pPr>
            <w:r>
              <w:t xml:space="preserve">5685 ( 6.6)</w:t>
            </w:r>
          </w:p>
        </w:tc>
        <w:tc>
          <w:p>
            <w:pPr>
              <w:pStyle w:val="Compact"/>
              <w:jc w:val="left"/>
            </w:pPr>
            <w:r>
              <w:t xml:space="preserve">5973 ( 6.7)</w:t>
            </w:r>
          </w:p>
        </w:tc>
      </w:tr>
      <w:tr>
        <w:tc>
          <w:p>
            <w:pPr>
              <w:pStyle w:val="Compact"/>
              <w:jc w:val="left"/>
            </w:pPr>
            <w:r>
              <w:t xml:space="preserve">Drug alcohol abuse (%)</w:t>
            </w:r>
          </w:p>
        </w:tc>
        <w:tc>
          <w:p/>
        </w:tc>
        <w:tc>
          <w:p>
            <w:pPr>
              <w:pStyle w:val="Compact"/>
              <w:jc w:val="left"/>
            </w:pPr>
            <w:r>
              <w:t xml:space="preserve">30 ( 1.4)</w:t>
            </w:r>
          </w:p>
        </w:tc>
        <w:tc>
          <w:p>
            <w:pPr>
              <w:pStyle w:val="Compact"/>
              <w:jc w:val="left"/>
            </w:pPr>
            <w:r>
              <w:t xml:space="preserve">652 ( 0.8)</w:t>
            </w:r>
          </w:p>
        </w:tc>
        <w:tc>
          <w:p>
            <w:pPr>
              <w:pStyle w:val="Compact"/>
              <w:jc w:val="left"/>
            </w:pPr>
            <w:r>
              <w:t xml:space="preserve">53 ( 1.7)</w:t>
            </w:r>
          </w:p>
        </w:tc>
        <w:tc>
          <w:p>
            <w:pPr>
              <w:pStyle w:val="Compact"/>
              <w:jc w:val="left"/>
            </w:pPr>
            <w:r>
              <w:t xml:space="preserve">629 ( 0.7)</w:t>
            </w:r>
          </w:p>
        </w:tc>
        <w:tc>
          <w:p>
            <w:pPr>
              <w:pStyle w:val="Compact"/>
              <w:jc w:val="left"/>
            </w:pPr>
            <w:r>
              <w:t xml:space="preserve">682 ( 0.8)</w:t>
            </w:r>
          </w:p>
        </w:tc>
      </w:tr>
      <w:tr>
        <w:tc>
          <w:p>
            <w:pPr>
              <w:pStyle w:val="Compact"/>
              <w:jc w:val="left"/>
            </w:pPr>
            <w:r>
              <w:t xml:space="preserve">Fluid electrolyte disorders (%)</w:t>
            </w:r>
          </w:p>
        </w:tc>
        <w:tc>
          <w:p/>
        </w:tc>
        <w:tc>
          <w:p>
            <w:pPr>
              <w:pStyle w:val="Compact"/>
              <w:jc w:val="left"/>
            </w:pPr>
            <w:r>
              <w:t xml:space="preserve">29 ( 1.4)</w:t>
            </w:r>
          </w:p>
        </w:tc>
        <w:tc>
          <w:p>
            <w:pPr>
              <w:pStyle w:val="Compact"/>
              <w:jc w:val="left"/>
            </w:pPr>
            <w:r>
              <w:t xml:space="preserve">505 ( 0.6)</w:t>
            </w:r>
          </w:p>
        </w:tc>
        <w:tc>
          <w:p>
            <w:pPr>
              <w:pStyle w:val="Compact"/>
              <w:jc w:val="left"/>
            </w:pPr>
            <w:r>
              <w:t xml:space="preserve">36 ( 1.2)</w:t>
            </w:r>
          </w:p>
        </w:tc>
        <w:tc>
          <w:p>
            <w:pPr>
              <w:pStyle w:val="Compact"/>
              <w:jc w:val="left"/>
            </w:pPr>
            <w:r>
              <w:t xml:space="preserve">498 ( 0.6)</w:t>
            </w:r>
          </w:p>
        </w:tc>
        <w:tc>
          <w:p>
            <w:pPr>
              <w:pStyle w:val="Compact"/>
              <w:jc w:val="left"/>
            </w:pPr>
            <w:r>
              <w:t xml:space="preserve">534 ( 0.6)</w:t>
            </w:r>
          </w:p>
        </w:tc>
      </w:tr>
      <w:tr>
        <w:tc>
          <w:p>
            <w:pPr>
              <w:pStyle w:val="Compact"/>
              <w:jc w:val="left"/>
            </w:pPr>
            <w:r>
              <w:t xml:space="preserve">Heart condition (%)</w:t>
            </w:r>
          </w:p>
        </w:tc>
        <w:tc>
          <w:p/>
        </w:tc>
        <w:tc>
          <w:p>
            <w:pPr>
              <w:pStyle w:val="Compact"/>
              <w:jc w:val="left"/>
            </w:pPr>
            <w:r>
              <w:t xml:space="preserve">147 ( 6.9)</w:t>
            </w:r>
          </w:p>
        </w:tc>
        <w:tc>
          <w:p>
            <w:pPr>
              <w:pStyle w:val="Compact"/>
              <w:jc w:val="left"/>
            </w:pPr>
            <w:r>
              <w:t xml:space="preserve">3546 ( 4.1)</w:t>
            </w:r>
          </w:p>
        </w:tc>
        <w:tc>
          <w:p>
            <w:pPr>
              <w:pStyle w:val="Compact"/>
              <w:jc w:val="left"/>
            </w:pPr>
            <w:r>
              <w:t xml:space="preserve">206 ( 6.7)</w:t>
            </w:r>
          </w:p>
        </w:tc>
        <w:tc>
          <w:p>
            <w:pPr>
              <w:pStyle w:val="Compact"/>
              <w:jc w:val="left"/>
            </w:pPr>
            <w:r>
              <w:t xml:space="preserve">3487 ( 4.1)</w:t>
            </w:r>
          </w:p>
        </w:tc>
        <w:tc>
          <w:p>
            <w:pPr>
              <w:pStyle w:val="Compact"/>
              <w:jc w:val="left"/>
            </w:pPr>
            <w:r>
              <w:t xml:space="preserve">3693 ( 4.2)</w:t>
            </w:r>
          </w:p>
        </w:tc>
      </w:tr>
      <w:tr>
        <w:tc>
          <w:p>
            <w:pPr>
              <w:pStyle w:val="Compact"/>
              <w:jc w:val="left"/>
            </w:pPr>
            <w:r>
              <w:t xml:space="preserve">Myocardial infarction (%)</w:t>
            </w:r>
          </w:p>
        </w:tc>
        <w:tc>
          <w:p/>
        </w:tc>
        <w:tc>
          <w:p>
            <w:pPr>
              <w:pStyle w:val="Compact"/>
              <w:jc w:val="left"/>
            </w:pPr>
            <w:r>
              <w:t xml:space="preserve">103 ( 4.8)</w:t>
            </w:r>
          </w:p>
        </w:tc>
        <w:tc>
          <w:p>
            <w:pPr>
              <w:pStyle w:val="Compact"/>
              <w:jc w:val="left"/>
            </w:pPr>
            <w:r>
              <w:t xml:space="preserve">2984 ( 3.4)</w:t>
            </w:r>
          </w:p>
        </w:tc>
        <w:tc>
          <w:p>
            <w:pPr>
              <w:pStyle w:val="Compact"/>
              <w:jc w:val="left"/>
            </w:pPr>
            <w:r>
              <w:t xml:space="preserve">156 ( 5.1)</w:t>
            </w:r>
          </w:p>
        </w:tc>
        <w:tc>
          <w:p>
            <w:pPr>
              <w:pStyle w:val="Compact"/>
              <w:jc w:val="left"/>
            </w:pPr>
            <w:r>
              <w:t xml:space="preserve">2931 ( 3.4)</w:t>
            </w:r>
          </w:p>
        </w:tc>
        <w:tc>
          <w:p>
            <w:pPr>
              <w:pStyle w:val="Compact"/>
              <w:jc w:val="left"/>
            </w:pPr>
            <w:r>
              <w:t xml:space="preserve">3087 ( 3.5)</w:t>
            </w:r>
          </w:p>
        </w:tc>
      </w:tr>
      <w:tr>
        <w:tc>
          <w:p>
            <w:pPr>
              <w:pStyle w:val="Compact"/>
              <w:jc w:val="left"/>
            </w:pPr>
            <w:r>
              <w:t xml:space="preserve">Hypothyroidism (%)</w:t>
            </w:r>
          </w:p>
        </w:tc>
        <w:tc>
          <w:p/>
        </w:tc>
        <w:tc>
          <w:p>
            <w:pPr>
              <w:pStyle w:val="Compact"/>
              <w:jc w:val="left"/>
            </w:pPr>
            <w:r>
              <w:t xml:space="preserve">82 ( 3.8)</w:t>
            </w:r>
          </w:p>
        </w:tc>
        <w:tc>
          <w:p>
            <w:pPr>
              <w:pStyle w:val="Compact"/>
              <w:jc w:val="left"/>
            </w:pPr>
            <w:r>
              <w:t xml:space="preserve">2501 ( 2.9)</w:t>
            </w:r>
          </w:p>
        </w:tc>
        <w:tc>
          <w:p>
            <w:pPr>
              <w:pStyle w:val="Compact"/>
              <w:jc w:val="left"/>
            </w:pPr>
            <w:r>
              <w:t xml:space="preserve">112 ( 3.7)</w:t>
            </w:r>
          </w:p>
        </w:tc>
        <w:tc>
          <w:p>
            <w:pPr>
              <w:pStyle w:val="Compact"/>
              <w:jc w:val="left"/>
            </w:pPr>
            <w:r>
              <w:t xml:space="preserve">2471 ( 2.9)</w:t>
            </w:r>
          </w:p>
        </w:tc>
        <w:tc>
          <w:p>
            <w:pPr>
              <w:pStyle w:val="Compact"/>
              <w:jc w:val="left"/>
            </w:pPr>
            <w:r>
              <w:t xml:space="preserve">2583 ( 2.9)</w:t>
            </w:r>
          </w:p>
        </w:tc>
      </w:tr>
      <w:tr>
        <w:tc>
          <w:p>
            <w:pPr>
              <w:pStyle w:val="Compact"/>
              <w:jc w:val="left"/>
            </w:pPr>
            <w:r>
              <w:t xml:space="preserve">Kidney disease (%)</w:t>
            </w:r>
          </w:p>
        </w:tc>
        <w:tc>
          <w:p/>
        </w:tc>
        <w:tc>
          <w:p>
            <w:pPr>
              <w:pStyle w:val="Compact"/>
              <w:jc w:val="left"/>
            </w:pPr>
            <w:r>
              <w:t xml:space="preserve">36 ( 1.7)</w:t>
            </w:r>
          </w:p>
        </w:tc>
        <w:tc>
          <w:p>
            <w:pPr>
              <w:pStyle w:val="Compact"/>
              <w:jc w:val="left"/>
            </w:pPr>
            <w:r>
              <w:t xml:space="preserve">847 ( 1.0)</w:t>
            </w:r>
          </w:p>
        </w:tc>
        <w:tc>
          <w:p>
            <w:pPr>
              <w:pStyle w:val="Compact"/>
              <w:jc w:val="left"/>
            </w:pPr>
            <w:r>
              <w:t xml:space="preserve">54 ( 1.8)</w:t>
            </w:r>
          </w:p>
        </w:tc>
        <w:tc>
          <w:p>
            <w:pPr>
              <w:pStyle w:val="Compact"/>
              <w:jc w:val="left"/>
            </w:pPr>
            <w:r>
              <w:t xml:space="preserve">829 ( 1.0)</w:t>
            </w:r>
          </w:p>
        </w:tc>
        <w:tc>
          <w:p>
            <w:pPr>
              <w:pStyle w:val="Compact"/>
              <w:jc w:val="left"/>
            </w:pPr>
            <w:r>
              <w:t xml:space="preserve">883 ( 1.0)</w:t>
            </w:r>
          </w:p>
        </w:tc>
      </w:tr>
      <w:tr>
        <w:tc>
          <w:p>
            <w:pPr>
              <w:pStyle w:val="Compact"/>
              <w:jc w:val="left"/>
            </w:pPr>
            <w:r>
              <w:t xml:space="preserve">Liver disease (%)</w:t>
            </w:r>
          </w:p>
        </w:tc>
        <w:tc>
          <w:p/>
        </w:tc>
        <w:tc>
          <w:p>
            <w:pPr>
              <w:pStyle w:val="Compact"/>
              <w:jc w:val="left"/>
            </w:pPr>
            <w:r>
              <w:t xml:space="preserve">32 ( 1.5)</w:t>
            </w:r>
          </w:p>
        </w:tc>
        <w:tc>
          <w:p>
            <w:pPr>
              <w:pStyle w:val="Compact"/>
              <w:jc w:val="left"/>
            </w:pPr>
            <w:r>
              <w:t xml:space="preserve">492 ( 0.6)</w:t>
            </w:r>
          </w:p>
        </w:tc>
        <w:tc>
          <w:p>
            <w:pPr>
              <w:pStyle w:val="Compact"/>
              <w:jc w:val="left"/>
            </w:pPr>
            <w:r>
              <w:t xml:space="preserve">46 ( 1.5)</w:t>
            </w:r>
          </w:p>
        </w:tc>
        <w:tc>
          <w:p>
            <w:pPr>
              <w:pStyle w:val="Compact"/>
              <w:jc w:val="left"/>
            </w:pPr>
            <w:r>
              <w:t xml:space="preserve">478 ( 0.6)</w:t>
            </w:r>
          </w:p>
        </w:tc>
        <w:tc>
          <w:p>
            <w:pPr>
              <w:pStyle w:val="Compact"/>
              <w:jc w:val="left"/>
            </w:pPr>
            <w:r>
              <w:t xml:space="preserve">524 ( 0.6)</w:t>
            </w:r>
          </w:p>
        </w:tc>
      </w:tr>
      <w:tr>
        <w:tc>
          <w:p>
            <w:pPr>
              <w:pStyle w:val="Compact"/>
              <w:jc w:val="left"/>
            </w:pPr>
            <w:r>
              <w:t xml:space="preserve">Lung airways disease (%)</w:t>
            </w:r>
          </w:p>
        </w:tc>
        <w:tc>
          <w:p/>
        </w:tc>
        <w:tc>
          <w:p>
            <w:pPr>
              <w:pStyle w:val="Compact"/>
              <w:jc w:val="left"/>
            </w:pPr>
            <w:r>
              <w:t xml:space="preserve">169 ( 7.9)</w:t>
            </w:r>
          </w:p>
        </w:tc>
        <w:tc>
          <w:p>
            <w:pPr>
              <w:pStyle w:val="Compact"/>
              <w:jc w:val="left"/>
            </w:pPr>
            <w:r>
              <w:t xml:space="preserve">4148 ( 4.8)</w:t>
            </w:r>
          </w:p>
        </w:tc>
        <w:tc>
          <w:p>
            <w:pPr>
              <w:pStyle w:val="Compact"/>
              <w:jc w:val="left"/>
            </w:pPr>
            <w:r>
              <w:t xml:space="preserve">241 ( 7.9)</w:t>
            </w:r>
          </w:p>
        </w:tc>
        <w:tc>
          <w:p>
            <w:pPr>
              <w:pStyle w:val="Compact"/>
              <w:jc w:val="left"/>
            </w:pPr>
            <w:r>
              <w:t xml:space="preserve">4076 ( 4.8)</w:t>
            </w:r>
          </w:p>
        </w:tc>
        <w:tc>
          <w:p>
            <w:pPr>
              <w:pStyle w:val="Compact"/>
              <w:jc w:val="left"/>
            </w:pPr>
            <w:r>
              <w:t xml:space="preserve">4317 ( 4.9)</w:t>
            </w:r>
          </w:p>
        </w:tc>
      </w:tr>
      <w:tr>
        <w:tc>
          <w:p>
            <w:pPr>
              <w:pStyle w:val="Compact"/>
              <w:jc w:val="left"/>
            </w:pPr>
            <w:r>
              <w:t xml:space="preserve">Peptiulcer (%)</w:t>
            </w:r>
          </w:p>
        </w:tc>
        <w:tc>
          <w:p/>
        </w:tc>
        <w:tc>
          <w:p>
            <w:pPr>
              <w:pStyle w:val="Compact"/>
              <w:jc w:val="left"/>
            </w:pPr>
            <w:r>
              <w:t xml:space="preserve">20 ( 0.9)</w:t>
            </w:r>
          </w:p>
        </w:tc>
        <w:tc>
          <w:p>
            <w:pPr>
              <w:pStyle w:val="Compact"/>
              <w:jc w:val="left"/>
            </w:pPr>
            <w:r>
              <w:t xml:space="preserve">516 ( 0.6)</w:t>
            </w:r>
          </w:p>
        </w:tc>
        <w:tc>
          <w:p>
            <w:pPr>
              <w:pStyle w:val="Compact"/>
              <w:jc w:val="left"/>
            </w:pPr>
            <w:r>
              <w:t xml:space="preserve">32 ( 1.0)</w:t>
            </w:r>
          </w:p>
        </w:tc>
        <w:tc>
          <w:p>
            <w:pPr>
              <w:pStyle w:val="Compact"/>
              <w:jc w:val="left"/>
            </w:pPr>
            <w:r>
              <w:t xml:space="preserve">504 ( 0.6)</w:t>
            </w:r>
          </w:p>
        </w:tc>
        <w:tc>
          <w:p>
            <w:pPr>
              <w:pStyle w:val="Compact"/>
              <w:jc w:val="left"/>
            </w:pPr>
            <w:r>
              <w:t xml:space="preserve">536 ( 0.6)</w:t>
            </w:r>
          </w:p>
        </w:tc>
      </w:tr>
      <w:tr>
        <w:tc>
          <w:p>
            <w:pPr>
              <w:pStyle w:val="Compact"/>
              <w:jc w:val="left"/>
            </w:pPr>
            <w:r>
              <w:t xml:space="preserve">Rheumatidisease (%)</w:t>
            </w:r>
          </w:p>
        </w:tc>
        <w:tc>
          <w:p/>
        </w:tc>
        <w:tc>
          <w:p>
            <w:pPr>
              <w:pStyle w:val="Compact"/>
              <w:jc w:val="left"/>
            </w:pPr>
            <w:r>
              <w:t xml:space="preserve">142 ( 6.7)</w:t>
            </w:r>
          </w:p>
        </w:tc>
        <w:tc>
          <w:p>
            <w:pPr>
              <w:pStyle w:val="Compact"/>
              <w:jc w:val="left"/>
            </w:pPr>
            <w:r>
              <w:t xml:space="preserve">3784 ( 4.4)</w:t>
            </w:r>
          </w:p>
        </w:tc>
        <w:tc>
          <w:p>
            <w:pPr>
              <w:pStyle w:val="Compact"/>
              <w:jc w:val="left"/>
            </w:pPr>
            <w:r>
              <w:t xml:space="preserve">225 ( 7.3)</w:t>
            </w:r>
          </w:p>
        </w:tc>
        <w:tc>
          <w:p>
            <w:pPr>
              <w:pStyle w:val="Compact"/>
              <w:jc w:val="left"/>
            </w:pPr>
            <w:r>
              <w:t xml:space="preserve">3701 ( 4.3)</w:t>
            </w:r>
          </w:p>
        </w:tc>
        <w:tc>
          <w:p>
            <w:pPr>
              <w:pStyle w:val="Compact"/>
              <w:jc w:val="left"/>
            </w:pPr>
            <w:r>
              <w:t xml:space="preserve">3926 ( 4.4)</w:t>
            </w:r>
          </w:p>
        </w:tc>
      </w:tr>
      <w:tr>
        <w:tc>
          <w:p>
            <w:pPr>
              <w:pStyle w:val="Compact"/>
              <w:jc w:val="left"/>
            </w:pPr>
            <w:r>
              <w:t xml:space="preserve">Vascular disease (%)</w:t>
            </w:r>
          </w:p>
        </w:tc>
        <w:tc>
          <w:p/>
        </w:tc>
        <w:tc>
          <w:p>
            <w:pPr>
              <w:pStyle w:val="Compact"/>
              <w:jc w:val="left"/>
            </w:pPr>
            <w:r>
              <w:t xml:space="preserve">88 ( 4.1)</w:t>
            </w:r>
          </w:p>
        </w:tc>
        <w:tc>
          <w:p>
            <w:pPr>
              <w:pStyle w:val="Compact"/>
              <w:jc w:val="left"/>
            </w:pPr>
            <w:r>
              <w:t xml:space="preserve">2435 ( 2.8)</w:t>
            </w:r>
          </w:p>
        </w:tc>
        <w:tc>
          <w:p>
            <w:pPr>
              <w:pStyle w:val="Compact"/>
              <w:jc w:val="left"/>
            </w:pPr>
            <w:r>
              <w:t xml:space="preserve">141 ( 4.6)</w:t>
            </w:r>
          </w:p>
        </w:tc>
        <w:tc>
          <w:p>
            <w:pPr>
              <w:pStyle w:val="Compact"/>
              <w:jc w:val="left"/>
            </w:pPr>
            <w:r>
              <w:t xml:space="preserve">2382 ( 2.8)</w:t>
            </w:r>
          </w:p>
        </w:tc>
        <w:tc>
          <w:p>
            <w:pPr>
              <w:pStyle w:val="Compact"/>
              <w:jc w:val="left"/>
            </w:pPr>
            <w:r>
              <w:t xml:space="preserve">2523 ( 2.8)</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p>
      <w:pPr>
        <w:pStyle w:val="Heading5"/>
      </w:pPr>
      <w:bookmarkStart w:id="64" w:name="page-break-11"/>
      <w:r>
        <w:t xml:space="preserve">PAGE BREAK</w:t>
      </w:r>
      <w:bookmarkEnd w:id="64"/>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Cancer</w:t>
            </w:r>
          </w:p>
        </w:tc>
        <w:tc>
          <w:p>
            <w:pPr>
              <w:pStyle w:val="Compact"/>
              <w:jc w:val="right"/>
            </w:pPr>
            <w:r>
              <w:t xml:space="preserve">55</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Drug alcohol abuse</w:t>
            </w:r>
          </w:p>
        </w:tc>
        <w:tc>
          <w:p/>
        </w:tc>
        <w:tc>
          <w:p>
            <w:pPr>
              <w:pStyle w:val="Compact"/>
              <w:jc w:val="right"/>
            </w:pPr>
            <w:r>
              <w:t xml:space="preserve">100</w:t>
            </w:r>
          </w:p>
        </w:tc>
      </w:tr>
      <w:tr>
        <w:tc>
          <w:p>
            <w:pPr>
              <w:pStyle w:val="Compact"/>
              <w:jc w:val="left"/>
            </w:pPr>
            <w:r>
              <w:t xml:space="preserve">Liver disease</w:t>
            </w:r>
          </w:p>
        </w:tc>
        <w:tc>
          <w:p>
            <w:pPr>
              <w:pStyle w:val="Compact"/>
              <w:jc w:val="right"/>
            </w:pPr>
            <w:r>
              <w:t xml:space="preserve">100</w:t>
            </w:r>
          </w:p>
        </w:tc>
        <w:tc>
          <w:p>
            <w:pPr>
              <w:pStyle w:val="Compact"/>
              <w:jc w:val="right"/>
            </w:pPr>
            <w:r>
              <w:t xml:space="preserve">100</w:t>
            </w:r>
          </w:p>
        </w:tc>
      </w:tr>
      <w:tr>
        <w:tc>
          <w:p>
            <w:pPr>
              <w:pStyle w:val="Compact"/>
              <w:jc w:val="left"/>
            </w:pPr>
            <w:r>
              <w:t xml:space="preserve">Rheumatic disease</w:t>
            </w:r>
          </w:p>
        </w:tc>
        <w:tc>
          <w:p>
            <w:pPr>
              <w:pStyle w:val="Compact"/>
              <w:jc w:val="right"/>
            </w:pPr>
            <w:r>
              <w:t xml:space="preserve">66</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overweight</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Avascular necrosis of the femoral head AVN</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Male gender</w:t>
            </w:r>
          </w:p>
        </w:tc>
        <w:tc>
          <w:p>
            <w:pPr>
              <w:pStyle w:val="Compact"/>
              <w:jc w:val="right"/>
            </w:pPr>
            <w:r>
              <w:t xml:space="preserve">100</w:t>
            </w:r>
          </w:p>
        </w:tc>
        <w:tc>
          <w:p>
            <w:pPr>
              <w:pStyle w:val="Compact"/>
              <w:jc w:val="right"/>
            </w:pPr>
            <w:r>
              <w:t xml:space="preserve">100</w:t>
            </w:r>
          </w:p>
        </w:tc>
      </w:tr>
      <w:tr>
        <w:tc>
          <w:p>
            <w:pPr>
              <w:pStyle w:val="Compact"/>
              <w:jc w:val="left"/>
            </w:pPr>
            <w:r>
              <w:t xml:space="preserve">Lung airways disease</w:t>
            </w:r>
          </w:p>
        </w:tc>
        <w:tc>
          <w:p>
            <w:pPr>
              <w:pStyle w:val="Compact"/>
              <w:jc w:val="right"/>
            </w:pPr>
            <w:r>
              <w:t xml:space="preserve">84</w:t>
            </w:r>
          </w:p>
        </w:tc>
        <w:tc>
          <w:p>
            <w:pPr>
              <w:pStyle w:val="Compact"/>
              <w:jc w:val="right"/>
            </w:pPr>
            <w:r>
              <w:t xml:space="preserve">96</w:t>
            </w:r>
          </w:p>
        </w:tc>
      </w:tr>
      <w:tr>
        <w:tc>
          <w:p>
            <w:pPr>
              <w:pStyle w:val="Compact"/>
              <w:jc w:val="left"/>
            </w:pPr>
            <w:r>
              <w:t xml:space="preserve">Peptiulcer</w:t>
            </w:r>
          </w:p>
        </w:tc>
        <w:tc>
          <w:p>
            <w:pPr>
              <w:pStyle w:val="Compact"/>
              <w:jc w:val="right"/>
            </w:pPr>
            <w:r>
              <w:t xml:space="preserve">20</w:t>
            </w:r>
          </w:p>
        </w:tc>
        <w:tc>
          <w:p>
            <w:pPr>
              <w:pStyle w:val="Compact"/>
              <w:jc w:val="right"/>
            </w:pPr>
            <w:r>
              <w:t xml:space="preserve">86</w:t>
            </w:r>
          </w:p>
        </w:tc>
      </w:tr>
      <w:tr>
        <w:tc>
          <w:p>
            <w:pPr>
              <w:pStyle w:val="Compact"/>
              <w:jc w:val="left"/>
            </w:pPr>
            <w:r>
              <w:t xml:space="preserve">Fluid electrolyte disorders</w:t>
            </w:r>
          </w:p>
        </w:tc>
        <w:tc>
          <w:p>
            <w:pPr>
              <w:pStyle w:val="Compact"/>
              <w:jc w:val="right"/>
            </w:pPr>
            <w:r>
              <w:t xml:space="preserve">99</w:t>
            </w:r>
          </w:p>
        </w:tc>
        <w:tc>
          <w:p>
            <w:pPr>
              <w:pStyle w:val="Compact"/>
              <w:jc w:val="right"/>
            </w:pPr>
            <w:r>
              <w:t xml:space="preserve">84</w:t>
            </w:r>
          </w:p>
        </w:tc>
      </w:tr>
      <w:tr>
        <w:tc>
          <w:p>
            <w:pPr>
              <w:pStyle w:val="Compact"/>
              <w:jc w:val="left"/>
            </w:pPr>
            <w:r>
              <w:t xml:space="preserve">ASA class: II</w:t>
            </w:r>
          </w:p>
        </w:tc>
        <w:tc>
          <w:p>
            <w:pPr>
              <w:pStyle w:val="Compact"/>
              <w:jc w:val="right"/>
            </w:pPr>
            <w:r>
              <w:t xml:space="preserve">12</w:t>
            </w:r>
          </w:p>
        </w:tc>
        <w:tc>
          <w:p>
            <w:pPr>
              <w:pStyle w:val="Compact"/>
              <w:jc w:val="right"/>
            </w:pPr>
            <w:r>
              <w:t xml:space="preserve">55</w:t>
            </w:r>
          </w:p>
        </w:tc>
      </w:tr>
      <w:tr>
        <w:tc>
          <w:p>
            <w:pPr>
              <w:pStyle w:val="Compact"/>
              <w:jc w:val="left"/>
            </w:pPr>
            <w:r>
              <w:t xml:space="preserve">Arrhythmia</w:t>
            </w:r>
          </w:p>
        </w:tc>
        <w:tc>
          <w:p>
            <w:pPr>
              <w:pStyle w:val="Compact"/>
              <w:jc w:val="right"/>
            </w:pPr>
            <w:r>
              <w:t xml:space="preserve">92</w:t>
            </w:r>
          </w:p>
        </w:tc>
        <w:tc>
          <w:p>
            <w:pPr>
              <w:pStyle w:val="Compact"/>
              <w:jc w:val="right"/>
            </w:pPr>
            <w:r>
              <w:t xml:space="preserve">50</w:t>
            </w:r>
          </w:p>
        </w:tc>
      </w:tr>
      <w:tr>
        <w:tc>
          <w:p>
            <w:pPr>
              <w:pStyle w:val="Compact"/>
              <w:jc w:val="left"/>
            </w:pPr>
            <w:r>
              <w:t xml:space="preserve">Age</w:t>
            </w:r>
          </w:p>
        </w:tc>
        <w:tc>
          <w:p>
            <w:pPr>
              <w:pStyle w:val="Compact"/>
              <w:jc w:val="right"/>
            </w:pPr>
            <w:r>
              <w:t xml:space="preserve">80</w:t>
            </w:r>
          </w:p>
        </w:tc>
        <w:tc>
          <w:p>
            <w:pPr>
              <w:pStyle w:val="Compact"/>
              <w:jc w:val="right"/>
            </w:pPr>
            <w:r>
              <w:t xml:space="preserve">26</w:t>
            </w:r>
          </w:p>
        </w:tc>
      </w:tr>
      <w:tr>
        <w:tc>
          <w:p>
            <w:pPr>
              <w:pStyle w:val="Compact"/>
              <w:jc w:val="left"/>
            </w:pPr>
            <w:r>
              <w:t xml:space="preserve">Diagnosis: Sequelae after childhood hip disease</w:t>
            </w:r>
          </w:p>
        </w:tc>
        <w:tc>
          <w:p>
            <w:pPr>
              <w:pStyle w:val="Compact"/>
              <w:jc w:val="right"/>
            </w:pPr>
            <w:r>
              <w:t xml:space="preserve">96</w:t>
            </w:r>
          </w:p>
        </w:tc>
        <w:tc>
          <w:p>
            <w:pPr>
              <w:pStyle w:val="Compact"/>
              <w:jc w:val="right"/>
            </w:pPr>
            <w:r>
              <w:t xml:space="preserve">15</w:t>
            </w:r>
          </w:p>
        </w:tc>
      </w:tr>
      <w:tr>
        <w:tc>
          <w:p>
            <w:pPr>
              <w:pStyle w:val="Compact"/>
              <w:jc w:val="left"/>
            </w:pPr>
            <w:r>
              <w:t xml:space="preserve">Cemented cup</w:t>
            </w:r>
          </w:p>
        </w:tc>
        <w:tc>
          <w:p>
            <w:pPr>
              <w:pStyle w:val="Compact"/>
              <w:jc w:val="right"/>
            </w:pPr>
            <w:r>
              <w:t xml:space="preserve">42</w:t>
            </w:r>
          </w:p>
        </w:tc>
        <w:tc>
          <w:p>
            <w:pPr>
              <w:pStyle w:val="Compact"/>
              <w:jc w:val="right"/>
            </w:pPr>
            <w:r>
              <w:t xml:space="preserve">9</w:t>
            </w:r>
          </w:p>
        </w:tc>
      </w:tr>
      <w:tr>
        <w:tc>
          <w:p>
            <w:pPr>
              <w:pStyle w:val="Compact"/>
              <w:jc w:val="left"/>
            </w:pPr>
            <w:r>
              <w:t xml:space="preserve">SurgYear</w:t>
            </w:r>
          </w:p>
        </w:tc>
        <w:tc>
          <w:p/>
        </w:tc>
        <w:tc>
          <w:p>
            <w:pPr>
              <w:pStyle w:val="Compact"/>
              <w:jc w:val="right"/>
            </w:pPr>
            <w:r>
              <w:t xml:space="preserve">3</w:t>
            </w:r>
          </w:p>
        </w:tc>
      </w:tr>
      <w:tr>
        <w:tc>
          <w:p>
            <w:pPr>
              <w:pStyle w:val="Compact"/>
              <w:jc w:val="left"/>
            </w:pPr>
            <w:r>
              <w:t xml:space="preserve">Coagulopathy</w:t>
            </w:r>
          </w:p>
        </w:tc>
        <w:tc>
          <w:p/>
        </w:tc>
        <w:tc>
          <w:p>
            <w:pPr>
              <w:pStyle w:val="Compact"/>
              <w:jc w:val="right"/>
            </w:pPr>
            <w:r>
              <w:t xml:space="preserve">1</w:t>
            </w:r>
          </w:p>
        </w:tc>
      </w:tr>
      <w:tr>
        <w:tc>
          <w:p>
            <w:pPr>
              <w:pStyle w:val="Compact"/>
              <w:jc w:val="left"/>
            </w:pPr>
            <w:r>
              <w:t xml:space="preserve">Kidney disease</w:t>
            </w:r>
          </w:p>
        </w:tc>
        <w:tc>
          <w:p/>
        </w:tc>
        <w:tc>
          <w:p>
            <w:pPr>
              <w:pStyle w:val="Compact"/>
              <w:jc w:val="right"/>
            </w:pPr>
            <w:r>
              <w:t xml:space="preserve">1</w:t>
            </w:r>
          </w:p>
        </w:tc>
      </w:tr>
      <w:tr>
        <w:tc>
          <w:p>
            <w:pPr>
              <w:pStyle w:val="Compact"/>
              <w:jc w:val="left"/>
            </w:pPr>
            <w:r>
              <w:t xml:space="preserve">Vascular disease</w:t>
            </w:r>
          </w:p>
        </w:tc>
        <w:tc>
          <w:p/>
        </w:tc>
        <w:tc>
          <w:p>
            <w:pPr>
              <w:pStyle w:val="Compact"/>
              <w:jc w:val="right"/>
            </w:pPr>
            <w:r>
              <w:t xml:space="preserve">1</w:t>
            </w:r>
          </w:p>
        </w:tc>
      </w:tr>
      <w:tr>
        <w:tc>
          <w:p>
            <w:pPr>
              <w:pStyle w:val="Compact"/>
              <w:jc w:val="left"/>
            </w:pPr>
            <w:r>
              <w:t xml:space="preserve">Hospital County</w:t>
            </w:r>
          </w:p>
        </w:tc>
        <w:tc>
          <w:p>
            <w:pPr>
              <w:pStyle w:val="Compact"/>
              <w:jc w:val="right"/>
            </w:pPr>
            <w:r>
              <w:t xml:space="preserve">34</w:t>
            </w:r>
          </w:p>
        </w:tc>
        <w:tc>
          <w:p/>
        </w:tc>
      </w:tr>
      <w:tr>
        <w:tc>
          <w:p>
            <w:pPr>
              <w:pStyle w:val="Compact"/>
              <w:jc w:val="left"/>
            </w:pPr>
            <w:r>
              <w:t xml:space="preserve">Hypothyroidism</w:t>
            </w:r>
          </w:p>
        </w:tc>
        <w:tc>
          <w:p>
            <w:pPr>
              <w:pStyle w:val="Compact"/>
              <w:jc w:val="right"/>
            </w:pPr>
            <w:r>
              <w:t xml:space="preserve">5</w:t>
            </w:r>
          </w:p>
        </w:tc>
        <w:tc>
          <w:p/>
        </w:tc>
      </w:tr>
      <w:tr>
        <w:tc>
          <w:p>
            <w:pPr>
              <w:pStyle w:val="Compact"/>
              <w:jc w:val="left"/>
            </w:pPr>
            <w:r>
              <w:t xml:space="preserve">Civil status widow widower</w:t>
            </w:r>
          </w:p>
        </w:tc>
        <w:tc>
          <w:p>
            <w:pPr>
              <w:pStyle w:val="Compact"/>
              <w:jc w:val="right"/>
            </w:pPr>
            <w:r>
              <w:t xml:space="preserve">2</w:t>
            </w:r>
          </w:p>
        </w:tc>
        <w:tc>
          <w:p/>
        </w:tc>
      </w:tr>
    </w:tbl>
    <w:p>
      <w:pPr>
        <w:pStyle w:val="Heading5"/>
      </w:pPr>
      <w:bookmarkStart w:id="65" w:name="page-break-12"/>
      <w:r>
        <w:t xml:space="preserve">PAGE BREAK</w:t>
      </w:r>
      <w:bookmarkEnd w:id="65"/>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-4.80</w:t>
            </w:r>
          </w:p>
        </w:tc>
        <w:tc>
          <w:p/>
        </w:tc>
        <w:tc>
          <w:p/>
        </w:tc>
      </w:tr>
      <w:tr>
        <w:tc>
          <w:p/>
        </w:tc>
        <w:tc>
          <w:p>
            <w:pPr>
              <w:pStyle w:val="Compact"/>
              <w:jc w:val="left"/>
            </w:pPr>
            <w:r>
              <w:t xml:space="preserve">Arrhythmia</w:t>
            </w:r>
          </w:p>
        </w:tc>
        <w:tc>
          <w:p/>
        </w:tc>
        <w:tc>
          <w:p>
            <w:pPr>
              <w:pStyle w:val="Compact"/>
              <w:jc w:val="right"/>
            </w:pPr>
            <w:r>
              <w:t xml:space="preserve">0.36</w:t>
            </w:r>
          </w:p>
        </w:tc>
        <w:tc>
          <w:p>
            <w:pPr>
              <w:pStyle w:val="Compact"/>
              <w:jc w:val="left"/>
            </w:pPr>
            <w:r>
              <w:t xml:space="preserve">1.44 (1.25-1.65)</w:t>
            </w:r>
          </w:p>
        </w:tc>
        <w:tc>
          <w:p>
            <w:pPr>
              <w:pStyle w:val="Compact"/>
              <w:jc w:val="left"/>
            </w:pPr>
            <w:r>
              <w:t xml:space="preserve">&lt;0.01</w:t>
            </w:r>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0.34</w:t>
            </w:r>
          </w:p>
        </w:tc>
        <w:tc>
          <w:p>
            <w:pPr>
              <w:pStyle w:val="Compact"/>
              <w:jc w:val="left"/>
            </w:pPr>
            <w:r>
              <w:t xml:space="preserve">1.40 (1.23-1.60)</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0.69</w:t>
            </w:r>
          </w:p>
        </w:tc>
        <w:tc>
          <w:p>
            <w:pPr>
              <w:pStyle w:val="Compact"/>
              <w:jc w:val="left"/>
            </w:pPr>
            <w:r>
              <w:t xml:space="preserve">1.99 (1.71-2.32)</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0.35</w:t>
            </w:r>
          </w:p>
        </w:tc>
        <w:tc>
          <w:p>
            <w:pPr>
              <w:pStyle w:val="Compact"/>
              <w:jc w:val="left"/>
            </w:pPr>
            <w:r>
              <w:t xml:space="preserve">1.42 (1.27-1.60)</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0.70</w:t>
            </w:r>
          </w:p>
        </w:tc>
        <w:tc>
          <w:p>
            <w:pPr>
              <w:pStyle w:val="Compact"/>
              <w:jc w:val="left"/>
            </w:pPr>
            <w:r>
              <w:t xml:space="preserve">2.02 (1.78-2.29)</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1.21</w:t>
            </w:r>
          </w:p>
        </w:tc>
        <w:tc>
          <w:p>
            <w:pPr>
              <w:pStyle w:val="Compact"/>
              <w:jc w:val="left"/>
            </w:pPr>
            <w:r>
              <w:t xml:space="preserve">3.34 (2.86-3.90)</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0.66</w:t>
            </w:r>
          </w:p>
        </w:tc>
        <w:tc>
          <w:p>
            <w:pPr>
              <w:pStyle w:val="Compact"/>
              <w:jc w:val="left"/>
            </w:pPr>
            <w:r>
              <w:t xml:space="preserve">1.94 (1.64-2.29)</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0.14</w:t>
            </w:r>
          </w:p>
        </w:tc>
        <w:tc>
          <w:p>
            <w:pPr>
              <w:pStyle w:val="Compact"/>
              <w:jc w:val="left"/>
            </w:pPr>
            <w:r>
              <w:t xml:space="preserve">1.15 (0.83-1.55)</w:t>
            </w:r>
          </w:p>
        </w:tc>
        <w:tc>
          <w:p>
            <w:pPr>
              <w:pStyle w:val="Compact"/>
              <w:jc w:val="left"/>
            </w:pPr>
            <w:r>
              <w:t xml:space="preserve">0.38</w:t>
            </w:r>
          </w:p>
        </w:tc>
      </w:tr>
      <w:tr>
        <w:tc>
          <w:p/>
        </w:tc>
        <w:tc>
          <w:p/>
        </w:tc>
        <w:tc>
          <w:p>
            <w:pPr>
              <w:pStyle w:val="Compact"/>
              <w:jc w:val="left"/>
            </w:pPr>
            <w:r>
              <w:t xml:space="preserve">Avascular necrosis of the femoral head (AVN)</w:t>
            </w:r>
          </w:p>
        </w:tc>
        <w:tc>
          <w:p>
            <w:pPr>
              <w:pStyle w:val="Compact"/>
              <w:jc w:val="right"/>
            </w:pPr>
            <w:r>
              <w:t xml:space="preserve">0.50</w:t>
            </w:r>
          </w:p>
        </w:tc>
        <w:tc>
          <w:p>
            <w:pPr>
              <w:pStyle w:val="Compact"/>
              <w:jc w:val="left"/>
            </w:pPr>
            <w:r>
              <w:t xml:space="preserve">1.65 (1.29-2.08)</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0.67</w:t>
            </w:r>
          </w:p>
        </w:tc>
        <w:tc>
          <w:p>
            <w:pPr>
              <w:pStyle w:val="Compact"/>
              <w:jc w:val="left"/>
            </w:pPr>
            <w:r>
              <w:t xml:space="preserve">1.96 (1.69-2.27)</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0.77</w:t>
            </w:r>
          </w:p>
        </w:tc>
        <w:tc>
          <w:p>
            <w:pPr>
              <w:pStyle w:val="Compact"/>
              <w:jc w:val="left"/>
            </w:pPr>
            <w:r>
              <w:t xml:space="preserve">2.16 (1.62-2.82)</w:t>
            </w:r>
          </w:p>
        </w:tc>
        <w:tc>
          <w:p>
            <w:pPr>
              <w:pStyle w:val="Compact"/>
              <w:jc w:val="left"/>
            </w:pPr>
            <w:r>
              <w:t xml:space="preserve">&lt;0.01</w:t>
            </w:r>
          </w:p>
        </w:tc>
      </w:tr>
      <w:tr>
        <w:tc>
          <w:p/>
        </w:tc>
        <w:tc>
          <w:p>
            <w:pPr>
              <w:pStyle w:val="Compact"/>
              <w:jc w:val="left"/>
            </w:pPr>
            <w:r>
              <w:t xml:space="preserve">Fluid electrolyte disorders</w:t>
            </w:r>
          </w:p>
        </w:tc>
        <w:tc>
          <w:p/>
        </w:tc>
        <w:tc>
          <w:p>
            <w:pPr>
              <w:pStyle w:val="Compact"/>
              <w:jc w:val="right"/>
            </w:pPr>
            <w:r>
              <w:t xml:space="preserve">0.48</w:t>
            </w:r>
          </w:p>
        </w:tc>
        <w:tc>
          <w:p>
            <w:pPr>
              <w:pStyle w:val="Compact"/>
              <w:jc w:val="left"/>
            </w:pPr>
            <w:r>
              <w:t xml:space="preserve">1.62 (1.08-2.34)</w:t>
            </w:r>
          </w:p>
        </w:tc>
        <w:tc>
          <w:p>
            <w:pPr>
              <w:pStyle w:val="Compact"/>
              <w:jc w:val="left"/>
            </w:pPr>
            <w:r>
              <w:t xml:space="preserve">0.01</w:t>
            </w:r>
          </w:p>
        </w:tc>
      </w:tr>
      <w:tr>
        <w:tc>
          <w:p/>
        </w:tc>
        <w:tc>
          <w:p>
            <w:pPr>
              <w:pStyle w:val="Compact"/>
              <w:jc w:val="left"/>
            </w:pPr>
            <w:r>
              <w:t xml:space="preserve">Liver disease</w:t>
            </w:r>
          </w:p>
        </w:tc>
        <w:tc>
          <w:p/>
        </w:tc>
        <w:tc>
          <w:p>
            <w:pPr>
              <w:pStyle w:val="Compact"/>
              <w:jc w:val="right"/>
            </w:pPr>
            <w:r>
              <w:t xml:space="preserve">0.56</w:t>
            </w:r>
          </w:p>
        </w:tc>
        <w:tc>
          <w:p>
            <w:pPr>
              <w:pStyle w:val="Compact"/>
              <w:jc w:val="left"/>
            </w:pPr>
            <w:r>
              <w:t xml:space="preserve">1.75 (1.18-2.48)</w:t>
            </w:r>
          </w:p>
        </w:tc>
        <w:tc>
          <w:p>
            <w:pPr>
              <w:pStyle w:val="Compact"/>
              <w:jc w:val="left"/>
            </w:pPr>
            <w:r>
              <w:t xml:space="preserve">&lt;0.01</w:t>
            </w:r>
          </w:p>
        </w:tc>
      </w:tr>
      <w:tr>
        <w:tc>
          <w:p/>
        </w:tc>
        <w:tc>
          <w:p>
            <w:pPr>
              <w:pStyle w:val="Compact"/>
              <w:jc w:val="left"/>
            </w:pPr>
            <w:r>
              <w:t xml:space="preserve">Lung airways disease</w:t>
            </w:r>
          </w:p>
        </w:tc>
        <w:tc>
          <w:p/>
        </w:tc>
        <w:tc>
          <w:p>
            <w:pPr>
              <w:pStyle w:val="Compact"/>
              <w:jc w:val="right"/>
            </w:pPr>
            <w:r>
              <w:t xml:space="preserve">0.28</w:t>
            </w:r>
          </w:p>
        </w:tc>
        <w:tc>
          <w:p>
            <w:pPr>
              <w:pStyle w:val="Compact"/>
              <w:jc w:val="left"/>
            </w:pPr>
            <w:r>
              <w:t xml:space="preserve">1.32 (1.12-1.55)</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0.31</w:t>
            </w:r>
          </w:p>
        </w:tc>
        <w:tc>
          <w:p>
            <w:pPr>
              <w:pStyle w:val="Compact"/>
              <w:jc w:val="left"/>
            </w:pPr>
            <w:r>
              <w:t xml:space="preserve">1.37 (1.25-1.49)</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-4.36</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0.33</w:t>
            </w:r>
          </w:p>
        </w:tc>
        <w:tc>
          <w:p>
            <w:pPr>
              <w:pStyle w:val="Compact"/>
              <w:jc w:val="left"/>
            </w:pPr>
            <w:r>
              <w:t xml:space="preserve">1.39 (1.25-1.55)</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0.72</w:t>
            </w:r>
          </w:p>
        </w:tc>
        <w:tc>
          <w:p>
            <w:pPr>
              <w:pStyle w:val="Compact"/>
              <w:jc w:val="left"/>
            </w:pPr>
            <w:r>
              <w:t xml:space="preserve">2.06 (1.82-2.33)</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0.29</w:t>
            </w:r>
          </w:p>
        </w:tc>
        <w:tc>
          <w:p>
            <w:pPr>
              <w:pStyle w:val="Compact"/>
              <w:jc w:val="left"/>
            </w:pPr>
            <w:r>
              <w:t xml:space="preserve">1.34 (1.22-1.47)</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0.62</w:t>
            </w:r>
          </w:p>
        </w:tc>
        <w:tc>
          <w:p>
            <w:pPr>
              <w:pStyle w:val="Compact"/>
              <w:jc w:val="left"/>
            </w:pPr>
            <w:r>
              <w:t xml:space="preserve">1.86 (1.67-2.07)</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1.03</w:t>
            </w:r>
          </w:p>
        </w:tc>
        <w:tc>
          <w:p>
            <w:pPr>
              <w:pStyle w:val="Compact"/>
              <w:jc w:val="left"/>
            </w:pPr>
            <w:r>
              <w:t xml:space="preserve">2.81 (2.46-3.21)</w:t>
            </w:r>
          </w:p>
        </w:tc>
        <w:tc>
          <w:p>
            <w:pPr>
              <w:pStyle w:val="Compact"/>
              <w:jc w:val="left"/>
            </w:pPr>
            <w:r>
              <w:t xml:space="preserve">&lt;0.01</w:t>
            </w:r>
          </w:p>
        </w:tc>
      </w:tr>
      <w:tr>
        <w:tc>
          <w:p/>
        </w:tc>
        <w:tc>
          <w:p>
            <w:pPr>
              <w:pStyle w:val="Compact"/>
              <w:jc w:val="left"/>
            </w:pPr>
            <w:r>
              <w:t xml:space="preserve">Cancer</w:t>
            </w:r>
          </w:p>
        </w:tc>
        <w:tc>
          <w:p/>
        </w:tc>
        <w:tc>
          <w:p>
            <w:pPr>
              <w:pStyle w:val="Compact"/>
              <w:jc w:val="right"/>
            </w:pPr>
            <w:r>
              <w:t xml:space="preserve">0.39</w:t>
            </w:r>
          </w:p>
        </w:tc>
        <w:tc>
          <w:p>
            <w:pPr>
              <w:pStyle w:val="Compact"/>
              <w:jc w:val="left"/>
            </w:pPr>
            <w:r>
              <w:t xml:space="preserve">1.48 (1.28-1.71)</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0.59</w:t>
            </w:r>
          </w:p>
        </w:tc>
        <w:tc>
          <w:p>
            <w:pPr>
              <w:pStyle w:val="Compact"/>
              <w:jc w:val="left"/>
            </w:pPr>
            <w:r>
              <w:t xml:space="preserve">1.81 (1.56-2.09)</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0.06</w:t>
            </w:r>
          </w:p>
        </w:tc>
        <w:tc>
          <w:p>
            <w:pPr>
              <w:pStyle w:val="Compact"/>
              <w:jc w:val="left"/>
            </w:pPr>
            <w:r>
              <w:t xml:space="preserve">1.06 (0.80-1.38)</w:t>
            </w:r>
          </w:p>
        </w:tc>
        <w:tc>
          <w:p>
            <w:pPr>
              <w:pStyle w:val="Compact"/>
              <w:jc w:val="left"/>
            </w:pPr>
            <w:r>
              <w:t xml:space="preserve">0.69</w:t>
            </w:r>
          </w:p>
        </w:tc>
      </w:tr>
      <w:tr>
        <w:tc>
          <w:p/>
        </w:tc>
        <w:tc>
          <w:p/>
        </w:tc>
        <w:tc>
          <w:p>
            <w:pPr>
              <w:pStyle w:val="Compact"/>
              <w:jc w:val="left"/>
            </w:pPr>
            <w:r>
              <w:t xml:space="preserve">Avascular necrosis of the femoral head (AVN)</w:t>
            </w:r>
          </w:p>
        </w:tc>
        <w:tc>
          <w:p>
            <w:pPr>
              <w:pStyle w:val="Compact"/>
              <w:jc w:val="right"/>
            </w:pPr>
            <w:r>
              <w:t xml:space="preserve">0.48</w:t>
            </w:r>
          </w:p>
        </w:tc>
        <w:tc>
          <w:p>
            <w:pPr>
              <w:pStyle w:val="Compact"/>
              <w:jc w:val="left"/>
            </w:pPr>
            <w:r>
              <w:t xml:space="preserve">1.62 (1.32-1.97)</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0.58</w:t>
            </w:r>
          </w:p>
        </w:tc>
        <w:tc>
          <w:p>
            <w:pPr>
              <w:pStyle w:val="Compact"/>
              <w:jc w:val="left"/>
            </w:pPr>
            <w:r>
              <w:t xml:space="preserve">1.79 (1.58-2.03)</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0.62</w:t>
            </w:r>
          </w:p>
        </w:tc>
        <w:tc>
          <w:p>
            <w:pPr>
              <w:pStyle w:val="Compact"/>
              <w:jc w:val="left"/>
            </w:pPr>
            <w:r>
              <w:t xml:space="preserve">1.86 (1.43-2.40)</w:t>
            </w:r>
          </w:p>
        </w:tc>
        <w:tc>
          <w:p>
            <w:pPr>
              <w:pStyle w:val="Compact"/>
              <w:jc w:val="left"/>
            </w:pPr>
            <w:r>
              <w:t xml:space="preserve">&lt;0.01</w:t>
            </w:r>
          </w:p>
        </w:tc>
      </w:tr>
      <w:tr>
        <w:tc>
          <w:p/>
        </w:tc>
        <w:tc>
          <w:p>
            <w:pPr>
              <w:pStyle w:val="Compact"/>
              <w:jc w:val="left"/>
            </w:pPr>
            <w:r>
              <w:t xml:space="preserve">Drug alcohol abuse</w:t>
            </w:r>
          </w:p>
        </w:tc>
        <w:tc>
          <w:p/>
        </w:tc>
        <w:tc>
          <w:p>
            <w:pPr>
              <w:pStyle w:val="Compact"/>
              <w:jc w:val="right"/>
            </w:pPr>
            <w:r>
              <w:t xml:space="preserve">0.22</w:t>
            </w:r>
          </w:p>
        </w:tc>
        <w:tc>
          <w:p>
            <w:pPr>
              <w:pStyle w:val="Compact"/>
              <w:jc w:val="left"/>
            </w:pPr>
            <w:r>
              <w:t xml:space="preserve">1.25 (0.90-1.68)</w:t>
            </w:r>
          </w:p>
        </w:tc>
        <w:tc>
          <w:p>
            <w:pPr>
              <w:pStyle w:val="Compact"/>
              <w:jc w:val="left"/>
            </w:pPr>
            <w:r>
              <w:t xml:space="preserve">0.16</w:t>
            </w:r>
          </w:p>
        </w:tc>
      </w:tr>
      <w:tr>
        <w:tc>
          <w:p/>
        </w:tc>
        <w:tc>
          <w:p>
            <w:pPr>
              <w:pStyle w:val="Compact"/>
              <w:jc w:val="left"/>
            </w:pPr>
            <w:r>
              <w:t xml:space="preserve">Fluid electrolyte disorders</w:t>
            </w:r>
          </w:p>
        </w:tc>
        <w:tc>
          <w:p/>
        </w:tc>
        <w:tc>
          <w:p>
            <w:pPr>
              <w:pStyle w:val="Compact"/>
              <w:jc w:val="right"/>
            </w:pPr>
            <w:r>
              <w:t xml:space="preserve">0.34</w:t>
            </w:r>
          </w:p>
        </w:tc>
        <w:tc>
          <w:p>
            <w:pPr>
              <w:pStyle w:val="Compact"/>
              <w:jc w:val="left"/>
            </w:pPr>
            <w:r>
              <w:t xml:space="preserve">1.40 (0.97-1.96)</w:t>
            </w:r>
          </w:p>
        </w:tc>
        <w:tc>
          <w:p>
            <w:pPr>
              <w:pStyle w:val="Compact"/>
              <w:jc w:val="left"/>
            </w:pPr>
            <w:r>
              <w:t xml:space="preserve">0.06</w:t>
            </w:r>
          </w:p>
        </w:tc>
      </w:tr>
      <w:tr>
        <w:tc>
          <w:p/>
        </w:tc>
        <w:tc>
          <w:p>
            <w:pPr>
              <w:pStyle w:val="Compact"/>
              <w:jc w:val="left"/>
            </w:pPr>
            <w:r>
              <w:t xml:space="preserve">Liver disease</w:t>
            </w:r>
          </w:p>
        </w:tc>
        <w:tc>
          <w:p/>
        </w:tc>
        <w:tc>
          <w:p>
            <w:pPr>
              <w:pStyle w:val="Compact"/>
              <w:jc w:val="right"/>
            </w:pPr>
            <w:r>
              <w:t xml:space="preserve">0.51</w:t>
            </w:r>
          </w:p>
        </w:tc>
        <w:tc>
          <w:p>
            <w:pPr>
              <w:pStyle w:val="Compact"/>
              <w:jc w:val="left"/>
            </w:pPr>
            <w:r>
              <w:t xml:space="preserve">1.67 (1.19-2.30)</w:t>
            </w:r>
          </w:p>
        </w:tc>
        <w:tc>
          <w:p>
            <w:pPr>
              <w:pStyle w:val="Compact"/>
              <w:jc w:val="left"/>
            </w:pPr>
            <w:r>
              <w:t xml:space="preserve">&lt;0.01</w:t>
            </w:r>
          </w:p>
        </w:tc>
      </w:tr>
      <w:tr>
        <w:tc>
          <w:p/>
        </w:tc>
        <w:tc>
          <w:p>
            <w:pPr>
              <w:pStyle w:val="Compact"/>
              <w:jc w:val="left"/>
            </w:pPr>
            <w:r>
              <w:t xml:space="preserve">Lung airways disease</w:t>
            </w:r>
          </w:p>
        </w:tc>
        <w:tc>
          <w:p/>
        </w:tc>
        <w:tc>
          <w:p>
            <w:pPr>
              <w:pStyle w:val="Compact"/>
              <w:jc w:val="right"/>
            </w:pPr>
            <w:r>
              <w:t xml:space="preserve">0.29</w:t>
            </w:r>
          </w:p>
        </w:tc>
        <w:tc>
          <w:p>
            <w:pPr>
              <w:pStyle w:val="Compact"/>
              <w:jc w:val="left"/>
            </w:pPr>
            <w:r>
              <w:t xml:space="preserve">1.33 (1.16-1.53)</w:t>
            </w:r>
          </w:p>
        </w:tc>
        <w:tc>
          <w:p>
            <w:pPr>
              <w:pStyle w:val="Compact"/>
              <w:jc w:val="left"/>
            </w:pPr>
            <w:r>
              <w:t xml:space="preserve">&lt;0.01</w:t>
            </w:r>
          </w:p>
        </w:tc>
      </w:tr>
      <w:tr>
        <w:tc>
          <w:p/>
        </w:tc>
        <w:tc>
          <w:p>
            <w:pPr>
              <w:pStyle w:val="Compact"/>
              <w:jc w:val="left"/>
            </w:pPr>
            <w:r>
              <w:t xml:space="preserve">Peptiulcer</w:t>
            </w:r>
          </w:p>
        </w:tc>
        <w:tc>
          <w:p/>
        </w:tc>
        <w:tc>
          <w:p>
            <w:pPr>
              <w:pStyle w:val="Compact"/>
              <w:jc w:val="right"/>
            </w:pPr>
            <w:r>
              <w:t xml:space="preserve">0.33</w:t>
            </w:r>
          </w:p>
        </w:tc>
        <w:tc>
          <w:p>
            <w:pPr>
              <w:pStyle w:val="Compact"/>
              <w:jc w:val="left"/>
            </w:pPr>
            <w:r>
              <w:t xml:space="preserve">1.39 (0.95-1.98)</w:t>
            </w:r>
          </w:p>
        </w:tc>
        <w:tc>
          <w:p>
            <w:pPr>
              <w:pStyle w:val="Compact"/>
              <w:jc w:val="left"/>
            </w:pPr>
            <w:r>
              <w:t xml:space="preserve">0.08</w:t>
            </w:r>
          </w:p>
        </w:tc>
      </w:tr>
      <w:tr>
        <w:tc>
          <w:p/>
        </w:tc>
        <w:tc>
          <w:p>
            <w:pPr>
              <w:pStyle w:val="Compact"/>
              <w:jc w:val="left"/>
            </w:pPr>
            <w:r>
              <w:t xml:space="preserve">Rheumatidisease</w:t>
            </w:r>
          </w:p>
        </w:tc>
        <w:tc>
          <w:p/>
        </w:tc>
        <w:tc>
          <w:p>
            <w:pPr>
              <w:pStyle w:val="Compact"/>
              <w:jc w:val="right"/>
            </w:pPr>
            <w:r>
              <w:t xml:space="preserve">0.32</w:t>
            </w:r>
          </w:p>
        </w:tc>
        <w:tc>
          <w:p>
            <w:pPr>
              <w:pStyle w:val="Compact"/>
              <w:jc w:val="left"/>
            </w:pPr>
            <w:r>
              <w:t xml:space="preserve">1.38 (1.17-1.63)</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0.33</w:t>
            </w:r>
          </w:p>
        </w:tc>
        <w:tc>
          <w:p>
            <w:pPr>
              <w:pStyle w:val="Compact"/>
              <w:jc w:val="left"/>
            </w:pPr>
            <w:r>
              <w:t xml:space="preserve">1.40 (1.30-1.50)</w:t>
            </w:r>
          </w:p>
        </w:tc>
        <w:tc>
          <w:p>
            <w:pPr>
              <w:pStyle w:val="Compact"/>
              <w:jc w:val="left"/>
            </w:pPr>
            <w:r>
              <w:t xml:space="preserve">&lt;0.01</w:t>
            </w:r>
          </w:p>
        </w:tc>
      </w:tr>
    </w:tbl>
    <w:p>
      <w:pPr>
        <w:pStyle w:val="Heading5"/>
      </w:pPr>
      <w:bookmarkStart w:id="66" w:name="page-break-13"/>
      <w:r>
        <w:t xml:space="preserve">PAGE BREAK</w:t>
      </w:r>
      <w:bookmarkEnd w:id="66"/>
    </w:p>
    <w:p>
      <w:pPr>
        <w:pStyle w:val="Heading1"/>
      </w:pPr>
      <w:bookmarkStart w:id="67" w:name="bibliography"/>
      <w:r>
        <w:t xml:space="preserve">Bibliography</w:t>
      </w:r>
      <w:bookmarkEnd w:id="67"/>
    </w:p>
    <w:bookmarkStart w:id="123" w:name="refs"/>
    <w:bookmarkStart w:id="68"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8"/>
    <w:bookmarkStart w:id="69"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9"/>
    <w:bookmarkStart w:id="70"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70"/>
    <w:bookmarkStart w:id="71"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1"/>
    <w:bookmarkStart w:id="72"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2"/>
    <w:bookmarkStart w:id="73"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3"/>
    <w:bookmarkStart w:id="74"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4"/>
    <w:bookmarkStart w:id="75"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5"/>
    <w:bookmarkStart w:id="76"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6"/>
    <w:bookmarkStart w:id="77"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7"/>
    <w:bookmarkStart w:id="78"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8"/>
    <w:bookmarkStart w:id="79"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9"/>
    <w:bookmarkStart w:id="80"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80"/>
    <w:bookmarkStart w:id="81"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1"/>
    <w:bookmarkStart w:id="82"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2"/>
    <w:bookmarkStart w:id="83"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3"/>
    <w:bookmarkStart w:id="84"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4"/>
    <w:bookmarkStart w:id="86"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5">
        <w:r>
          <w:rPr>
            <w:rStyle w:val="Hyperlink"/>
          </w:rPr>
          <w:t xml:space="preserve">10.1136/bmjopen-2017-021122</w:t>
        </w:r>
      </w:hyperlink>
      <w:r>
        <w:t xml:space="preserve">.</w:t>
      </w:r>
    </w:p>
    <w:bookmarkEnd w:id="86"/>
    <w:bookmarkStart w:id="87"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7"/>
    <w:bookmarkStart w:id="88"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8"/>
    <w:bookmarkStart w:id="89"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9"/>
    <w:bookmarkStart w:id="90"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90"/>
    <w:bookmarkStart w:id="91"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1"/>
    <w:bookmarkStart w:id="92"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2"/>
    <w:bookmarkStart w:id="94" w:name="ref-Karrholm2018"/>
    <w:p>
      <w:pPr>
        <w:pStyle w:val="Bibliography"/>
      </w:pPr>
      <w:r>
        <w:t xml:space="preserve">25 Kärrholm J, Mohaddes M, Odin D, Vinblad J, Rogmark C, Rolfson O. Svenska höftprotesregistret årsrapport 2017. 2018</w:t>
      </w:r>
      <w:r>
        <w:t xml:space="preserve"> </w:t>
      </w:r>
      <w:hyperlink r:id="rId93">
        <w:r>
          <w:rPr>
            <w:rStyle w:val="Hyperlink"/>
          </w:rPr>
          <w:t xml:space="preserve">https://doi.org/10.18158/ryAO-C4pW</w:t>
        </w:r>
      </w:hyperlink>
      <w:r>
        <w:t xml:space="preserve">.</w:t>
      </w:r>
    </w:p>
    <w:bookmarkEnd w:id="94"/>
    <w:bookmarkStart w:id="95"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5"/>
    <w:bookmarkStart w:id="96"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11262–1270.</w:t>
      </w:r>
    </w:p>
    <w:bookmarkEnd w:id="96"/>
    <w:bookmarkStart w:id="97"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7"/>
    <w:bookmarkStart w:id="98"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8"/>
    <w:bookmarkStart w:id="100"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9">
        <w:r>
          <w:rPr>
            <w:rStyle w:val="Hyperlink"/>
          </w:rPr>
          <w:t xml:space="preserve">10.5705/ss.202017.0139</w:t>
        </w:r>
      </w:hyperlink>
      <w:r>
        <w:t xml:space="preserve">.</w:t>
      </w:r>
    </w:p>
    <w:bookmarkEnd w:id="100"/>
    <w:bookmarkStart w:id="101"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1"/>
    <w:bookmarkStart w:id="102"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2"/>
    <w:bookmarkStart w:id="103"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3"/>
    <w:bookmarkStart w:id="104"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4"/>
    <w:bookmarkStart w:id="105"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5"/>
    <w:bookmarkStart w:id="106"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6"/>
    <w:bookmarkStart w:id="108"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7">
        <w:r>
          <w:rPr>
            <w:rStyle w:val="Hyperlink"/>
          </w:rPr>
          <w:t xml:space="preserve">10.2106/JBJS.16.01435</w:t>
        </w:r>
      </w:hyperlink>
      <w:r>
        <w:t xml:space="preserve">.</w:t>
      </w:r>
    </w:p>
    <w:bookmarkEnd w:id="108"/>
    <w:bookmarkStart w:id="109"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9"/>
    <w:bookmarkStart w:id="110"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10"/>
    <w:bookmarkStart w:id="111"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1"/>
    <w:bookmarkStart w:id="112"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2"/>
    <w:bookmarkStart w:id="113"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3"/>
    <w:bookmarkStart w:id="114"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4"/>
    <w:bookmarkStart w:id="115"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5"/>
    <w:bookmarkStart w:id="116"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6"/>
    <w:bookmarkStart w:id="117"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7"/>
    <w:bookmarkStart w:id="118"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8"/>
    <w:bookmarkStart w:id="119"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9"/>
    <w:bookmarkStart w:id="120"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20"/>
    <w:bookmarkStart w:id="121"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1"/>
    <w:bookmarkStart w:id="122"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2"/>
    <w:bookmarkEnd w:id="123"/>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dc:creator>
  <cp:keywords/>
  <dcterms:created xsi:type="dcterms:W3CDTF">2021-01-19T14:31:25Z</dcterms:created>
  <dcterms:modified xsi:type="dcterms:W3CDTF">2021-01-19T14:31:25Z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2021-01-19</vt:lpwstr>
  </property>
  <property fmtid="{D5CDD505-2E9C-101B-9397-08002B2CF9AE}" pid="5" name="output">
    <vt:lpwstr/>
  </property>
</Properties>
</file>