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51.png" ContentType="image/png"/>
  <Override PartName="/word/media/rId55.png" ContentType="image/png"/>
  <Override PartName="/word/media/rId46.png" ContentType="image/png"/>
  <Override PartName="/word/media/rId49.png" ContentType="image/png"/>
  <Override PartName="/word/media/rId53.png" ContentType="image/png"/>
  <Override PartName="/word/media/rId69.png" ContentType="image/png"/>
  <Override PartName="/word/media/rId70.png" ContentType="image/png"/>
  <Override PartName="/word/media/rId71.png" ContentType="image/png"/>
  <Override PartName="/word/media/rId68.png" ContentType="image/png"/>
  <Override PartName="/word/media/rId66.png" ContentType="image/png"/>
  <Override PartName="/word/media/rId56.tiff" ContentType="image/tiff"/>
  <Override PartName="/word/media/rId47.png" ContentType="image/png"/>
  <Override PartName="/word/media/image4.png" ContentType="image/png"/>
  <Override PartName="/word/media/image5.png" ContentType="image/png"/>
  <Override PartName="/word/media/image3.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a</w:t>
      </w:r>
      <w:r>
        <w:t xml:space="preserve"> </w:t>
      </w:r>
      <w:r>
        <w:t xml:space="preserve">simplified</w:t>
      </w:r>
      <w:r>
        <w:t xml:space="preserve"> </w:t>
      </w:r>
      <w:r>
        <w:t xml:space="preserve">and</w:t>
      </w:r>
      <w:r>
        <w:t xml:space="preserve"> </w:t>
      </w:r>
      <w:r>
        <w:t xml:space="preserve">externally</w:t>
      </w:r>
      <w:r>
        <w:t xml:space="preserve"> </w:t>
      </w:r>
      <w:r>
        <w:t xml:space="preserve">validated</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w:t>
      </w:r>
      <w:r>
        <w:t xml:space="preserve">,</w:t>
      </w:r>
      <w:r>
        <w:t xml:space="preserve"> </w:t>
      </w:r>
      <w:r>
        <w:rPr>
          <w:strike/>
        </w:rPr>
        <w:t xml:space="preserve">Ina</w:t>
      </w:r>
      <w:r>
        <w:rPr>
          <w:strike/>
        </w:rPr>
        <w:t xml:space="preserve"> </w:t>
      </w:r>
      <w:r>
        <w:rPr>
          <w:strike/>
        </w:rPr>
        <w:t xml:space="preserve">Trolle</w:t>
      </w:r>
      <w:r>
        <w:rPr>
          <w:strike/>
        </w:rPr>
        <w:t xml:space="preserve"> </w:t>
      </w:r>
      <w:r>
        <w:rPr>
          <w:strike/>
        </w:rPr>
        <w:t xml:space="preserve">Andersen,</w:t>
      </w:r>
      <w:r>
        <w:rPr>
          <w:vertAlign w:val="superscript"/>
          <w:strike/>
        </w:rPr>
        <w:t xml:space="preserve">3</w:t>
      </w:r>
      <w:r>
        <w:rPr>
          <w:bCs/>
          <w:b/>
        </w:rPr>
        <w:t xml:space="preserve">???</w:t>
      </w:r>
      <w:r>
        <w:t xml:space="preserve"> </w:t>
      </w:r>
      <w:r>
        <w:t xml:space="preserve">Aurélie</w:t>
      </w:r>
      <w:r>
        <w:t xml:space="preserve"> </w:t>
      </w:r>
      <w:r>
        <w:t xml:space="preserve">Mailhac,</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w:t>
      </w:r>
      <w:r>
        <w:t xml:space="preserve"> </w:t>
      </w:r>
      <w:r>
        <w:t xml:space="preserve">Nils</w:t>
      </w:r>
      <w:r>
        <w:t xml:space="preserve"> </w:t>
      </w:r>
      <w:r>
        <w:t xml:space="preserve">P.</w:t>
      </w:r>
      <w:r>
        <w:t xml:space="preserve"> </w:t>
      </w:r>
      <w:r>
        <w:t xml:space="preserve">Hailer</w:t>
      </w:r>
      <w:r>
        <w:rPr>
          <w:vertAlign w:val="superscript"/>
        </w:rPr>
        <w:t xml:space="preserve">4</w:t>
      </w:r>
      <w:r>
        <w:t xml:space="preserve"> </w:t>
      </w:r>
      <w:r>
        <w:rPr>
          <w:bCs/>
          <w:b/>
        </w:rPr>
        <w:t xml:space="preserve">TODO</w:t>
      </w:r>
      <w:r>
        <w:rPr>
          <w:bCs/>
          <w:b/>
        </w:rPr>
        <w:t xml:space="preserve"> </w:t>
      </w:r>
      <w:r>
        <w:rPr>
          <w:bCs/>
          <w:b/>
        </w:rPr>
        <w:t xml:space="preserve">DECIDE</w:t>
      </w:r>
      <w:r>
        <w:rPr>
          <w:bCs/>
          <w:b/>
        </w:rPr>
        <w:t xml:space="preserve"> </w:t>
      </w:r>
      <w:r>
        <w:rPr>
          <w:bCs/>
          <w:b/>
        </w:rPr>
        <w:t xml:space="preserve">ORDER!!!</w:t>
      </w:r>
    </w:p>
    <w:p>
      <w:pPr>
        <w:pStyle w:val="Date"/>
      </w:pPr>
      <w:r>
        <w:t xml:space="preserve">2021-05-26</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Medicine, Department of Clinical Epidemiology, Aarhus university, Aarhus, Denmark</w:t>
      </w:r>
    </w:p>
    <w:p>
      <w:pPr>
        <w:numPr>
          <w:ilvl w:val="0"/>
          <w:numId w:val="1001"/>
        </w:numPr>
        <w:pStyle w:val="Compact"/>
      </w:pPr>
      <w:r>
        <w:t xml:space="preserve">Department Surgical Sciences/Orthopaedics, Uppsala University Hospital, Uppsala, Sweden</w:t>
      </w:r>
    </w:p>
    <w:p>
      <w:pPr>
        <w:pStyle w:val="FirstParagraph"/>
      </w:pPr>
      <w:r>
        <w:rPr>
          <w:bCs/>
          <w:b/>
        </w:rPr>
        <w:t xml:space="preserve">Correspondence:</w:t>
      </w:r>
      <w:r>
        <w:t xml:space="preserve"> </w:t>
      </w:r>
      <w:hyperlink r:id="rId20">
        <w:r>
          <w:rPr>
            <w:rStyle w:val="Hyperlink"/>
          </w:rPr>
          <w:t xml:space="preserve">erik.bulow@gu.se</w:t>
        </w:r>
      </w:hyperlink>
      <w:r>
        <w:t xml:space="preserve">; +46 70 08 234 28; The Swedish Arthroplasty Register, Registercentrum Västra Götaland, SE-413 45, Sweden</w:t>
      </w:r>
    </w:p>
    <w:bookmarkStart w:id="22" w:name="note"/>
    <w:p>
      <w:pPr>
        <w:pStyle w:val="Heading1"/>
      </w:pPr>
      <w:r>
        <w:t xml:space="preserve">Note!</w:t>
      </w:r>
    </w:p>
    <w:p>
      <w:pPr>
        <w:pStyle w:val="FirstParagraph"/>
      </w:pPr>
      <w:r>
        <w:t xml:space="preserve">Most text in the article is automatically generated! Bold text is not! It is thus possible that this text does not correspond to the rest! It must be updated manually!</w:t>
      </w:r>
    </w:p>
    <w:bookmarkStart w:id="21" w:name="page-break"/>
    <w:p>
      <w:pPr>
        <w:pStyle w:val="Heading5"/>
      </w:pPr>
      <w:r>
        <w:t xml:space="preserve">PAGE BREAK</w:t>
      </w:r>
    </w:p>
    <w:bookmarkEnd w:id="21"/>
    <w:bookmarkEnd w:id="22"/>
    <w:bookmarkStart w:id="24" w:name="abstract"/>
    <w:p>
      <w:pPr>
        <w:pStyle w:val="Heading1"/>
      </w:pPr>
      <w:r>
        <w:t xml:space="preserve">Abstract</w:t>
      </w:r>
    </w:p>
    <w:p>
      <w:pPr>
        <w:pStyle w:val="FirstParagraph"/>
      </w:pPr>
      <w:r>
        <w:rPr>
          <w:bCs/>
          <w:b/>
        </w:rPr>
        <w:t xml:space="preserve">OJECTIVE:</w:t>
      </w:r>
      <w:r>
        <w:t xml:space="preserve"> </w:t>
      </w:r>
      <w:r>
        <w:t xml:space="preserve">Previous attempts at developing risk calculators for periprosthetic joint infection (PJI) after total hip arthroplasty (THA) are hampered by poor predictive performance of the proposed models or a lack of external validation, and no published model is derived on a European population. We thus developed a parsimonious model to predict PJI within 90 days after elective THA.</w:t>
      </w:r>
    </w:p>
    <w:p>
      <w:pPr>
        <w:pStyle w:val="BodyText"/>
      </w:pPr>
      <w:r>
        <w:rPr>
          <w:bCs/>
          <w:b/>
        </w:rPr>
        <w:t xml:space="preserve">PARTICIPANTS AND METHODS:</w:t>
      </w:r>
      <w:r>
        <w:t xml:space="preserve"> </w:t>
      </w:r>
      <w:r>
        <w:t xml:space="preserve">This prediction model was derived on 88,830 patients from the Swedish Hip Arthroplasty Register and validated on 18,854 patients from the Danish Hip Arthroplasty Register. Data on comorbidities and socioeconomic background variables on all patients were obtained from the National Registers. Logistic least absolute shrinkage and selection operator (LASSO) regression was applied to develop prediction models for PJI within 90 days after surgery. We assessed model performance by the area under the receiver operation characteristics curve (AUC), calibration belt plots and the fraction of new information.</w:t>
      </w:r>
    </w:p>
    <w:p>
      <w:pPr>
        <w:pStyle w:val="BodyText"/>
      </w:pPr>
      <w:r>
        <w:rPr>
          <w:bCs/>
          <w:b/>
        </w:rPr>
        <w:t xml:space="preserve">RESULTS:</w:t>
      </w:r>
      <w:r>
        <w:t xml:space="preserve"> </w:t>
      </w:r>
      <w:r>
        <w:t xml:space="preserve">The crude incidence rate of PJI after THA was 2.45 % within 90 days in the Swedish derivation cohort and</w:t>
      </w:r>
      <w:r>
        <w:t xml:space="preserve"> </w:t>
      </w:r>
      <w:r>
        <w:rPr>
          <w:bCs/>
          <w:b/>
        </w:rPr>
        <w:t xml:space="preserve">X.XX %</w:t>
      </w:r>
      <w:r>
        <w:t xml:space="preserve"> </w:t>
      </w:r>
      <w:r>
        <w:t xml:space="preserve">in Denmark. A prediction model for PJI within 90 days combined the underlaying diagnosis for THA, body mass index (BMI), American Society for Anesthesiologists (ASA) class, sex, age, and the presence of arrhythmia, CNS disease, fluid electrolyte disorders, liver disease or lung and airways disease, resulting in an AUC = 0.68 (95 % CI: 0.66 to 0.69) internally and 0.66 (95 % CI: 0.64 to 0.69) externally. These models were superior to traditional models based on the American Society for Anesthesiologists (ASA) classification (AUC = 0.59, 95 % CI: 0.58 to 0.60), or the Charlson (AUC = 0.56, 95 % CI: 0.55 to 0.57), Elixhauser (AUC = 0.58, 95 % CI: 0.57 to 0.60), and Rx Risk V (AUC = 0.58, 95 % CI: 0.57 to 0.59) comorbidity indices.</w:t>
      </w:r>
    </w:p>
    <w:p>
      <w:pPr>
        <w:pStyle w:val="BodyText"/>
      </w:pPr>
      <w:r>
        <w:rPr>
          <w:bCs/>
          <w:b/>
        </w:rPr>
        <w:t xml:space="preserve">CONCLUSION:</w:t>
      </w:r>
      <w:r>
        <w:t xml:space="preserve"> </w:t>
      </w:r>
      <w:r>
        <w:t xml:space="preserve">Our parsimonious prediction model for PJI after THA is based on easily accessible clinical data, and it is superior to predictions based on ASA class alone or more complex comorbidity indices. Our web-based calculator could simplify the individualized assessment of the risk of developing PJI prior to THA surgery and enable risk-stratified patient management. Nonetheless, the remaining unexplained variance indicates that unmeasured factors play an important role in the pathogenesis of PJI.</w:t>
      </w:r>
    </w:p>
    <w:bookmarkStart w:id="23" w:name="page-break-1"/>
    <w:p>
      <w:pPr>
        <w:pStyle w:val="Heading5"/>
      </w:pPr>
      <w:r>
        <w:t xml:space="preserve">PAGE BREAK</w:t>
      </w:r>
    </w:p>
    <w:bookmarkEnd w:id="23"/>
    <w:bookmarkEnd w:id="24"/>
    <w:bookmarkStart w:id="25" w:name="introduction"/>
    <w:p>
      <w:pPr>
        <w:pStyle w:val="Heading1"/>
      </w:pPr>
      <w:r>
        <w:t xml:space="preserve">Introduction</w:t>
      </w:r>
    </w:p>
    <w:p>
      <w:pPr>
        <w:pStyle w:val="FirstParagraph"/>
      </w:pPr>
      <w:r>
        <w:t xml:space="preserve">Periprosthetic joint infection (PJI) is the most devastating of early complications after total hip arthroplasty (THA), mainly due to its severity in terms of increased mortality, the required number of re-operations, long-term antibiotic treatment, and often persistently impaired quality of life.</w:t>
      </w:r>
      <w:r>
        <w:rPr>
          <w:vertAlign w:val="superscript"/>
        </w:rPr>
        <w:t xml:space="preserve">1–3</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rPr>
          <w:vertAlign w:val="superscript"/>
        </w:rPr>
        <w:t xml:space="preserve">4–12</w:t>
      </w:r>
      <w:r>
        <w:t xml:space="preserve"> </w:t>
      </w:r>
      <w:r>
        <w:t xml:space="preserve">Individualized PJI risk stratification would be a highly desirable tool in the pre-operative assessment of patients scheduled for THA, but established measures of comorbidity such as the American Society for Anesthesiologists’ (ASA) classification or considerably more complex comorbidity indices cannot be used in this context. Although high ASA class is a risk factor associated with development of PJI, this classification is imprecise, and it was never developed for the purpose of predicting this specific complication.</w:t>
      </w:r>
      <w:r>
        <w:rPr>
          <w:vertAlign w:val="superscript"/>
        </w:rPr>
        <w:t xml:space="preserve">13,14</w:t>
      </w:r>
      <w:r>
        <w:t xml:space="preserve"> </w:t>
      </w:r>
      <w:r>
        <w:t xml:space="preserve">The Charlson</w:t>
      </w:r>
      <w:r>
        <w:rPr>
          <w:vertAlign w:val="superscript"/>
        </w:rPr>
        <w:t xml:space="preserve">15</w:t>
      </w:r>
      <w:r>
        <w:t xml:space="preserve"> </w:t>
      </w:r>
      <w:r>
        <w:t xml:space="preserve">and Elixhauser</w:t>
      </w:r>
      <w:r>
        <w:rPr>
          <w:vertAlign w:val="superscript"/>
        </w:rPr>
        <w:t xml:space="preserve">16</w:t>
      </w:r>
      <w:r>
        <w:t xml:space="preserve"> </w:t>
      </w:r>
      <w:r>
        <w:t xml:space="preserve">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rPr>
          <w:vertAlign w:val="superscript"/>
        </w:rPr>
        <w:t xml:space="preserve">17,18</w:t>
      </w:r>
      <w:r>
        <w:t xml:space="preserve"> </w:t>
      </w:r>
      <w:r>
        <w:t xml:space="preserve">Several attempts have been made at developing individualized risk prediction models for clinical usage, with the Universal American College of Surgeons National Surgical Quality Improvement Program (ACS NSQIP) Surgical Risk Calculator being one of the first.</w:t>
      </w:r>
      <w:r>
        <w:rPr>
          <w:vertAlign w:val="superscript"/>
        </w:rPr>
        <w:t xml:space="preserve">19,20</w:t>
      </w:r>
      <w:r>
        <w:t xml:space="preserve"> </w:t>
      </w:r>
      <w:r>
        <w:t xml:space="preserve">Several other risk calculators for the risk of PJI after THA have since been derived on US or Australian cohorts, but none has gained general acceptance.</w:t>
      </w:r>
      <w:r>
        <w:rPr>
          <w:vertAlign w:val="superscript"/>
        </w:rPr>
        <w:t xml:space="preserve">20–22</w:t>
      </w:r>
      <w:r>
        <w:t xml:space="preserve"> </w:t>
      </w:r>
      <w:r>
        <w:t xml:space="preserve">This is mainly due to often limited, sometimes single-center based samples, low discriminative ability or low accuracy of the prediction models, or the absence of external model validation. Thus, there is an urgent need for improved prediction models of PJI. We therefore developed a prediction model of PJI within 90 days after THA that is based upon easily accessible data that are available in the setting of clinical decision-making.</w:t>
      </w:r>
    </w:p>
    <w:bookmarkEnd w:id="25"/>
    <w:bookmarkStart w:id="33" w:name="patients-and-methods"/>
    <w:p>
      <w:pPr>
        <w:pStyle w:val="Heading1"/>
      </w:pPr>
      <w:r>
        <w:t xml:space="preserve">Patients and Methods</w:t>
      </w:r>
    </w:p>
    <w:p>
      <w:pPr>
        <w:pStyle w:val="FirstParagraph"/>
      </w:pPr>
      <w:r>
        <w:t xml:space="preserve">We used data from the Swedish Hip Arthroplasty Register (SHAR) for model derivation and internal validation of discrimination and calibration. The best model was then validated externally on a cohort from the Danish Hip Arthroplasty Register (DHR).</w:t>
      </w:r>
    </w:p>
    <w:bookmarkStart w:id="26" w:name="derivation-cohort-sweden"/>
    <w:p>
      <w:pPr>
        <w:pStyle w:val="Heading2"/>
      </w:pPr>
      <w:r>
        <w:t xml:space="preserve">Derivation cohort (Sweden)</w:t>
      </w:r>
    </w:p>
    <w:p>
      <w:pPr>
        <w:pStyle w:val="FirstParagraph"/>
      </w:pPr>
      <w:r>
        <w:t xml:space="preserve">The derivation cohort was obtained from patients recorded in the SHAR 2008-2015 with the choice of 2008 as the starting year because registration of ASA class and body mass index (BMI) was initiated then. Deterministic data linkage was achieved by using personal identity numbers that are assigned to all Swedish residents at birth or immigration.</w:t>
      </w:r>
      <w:r>
        <w:rPr>
          <w:vertAlign w:val="superscript"/>
        </w:rPr>
        <w:t xml:space="preserve">23,24</w:t>
      </w:r>
      <w:r>
        <w:t xml:space="preserve"> </w:t>
      </w:r>
      <w:r>
        <w:t xml:space="preserve">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ASA class, type of hospital, and year of surgery, were obtained from the SHAR. Data on comorbidities for one year prior to index surgery were obtained from the National Patient Register (NPR) where diagnoses based on in- and outpatient episodes in all private and public hospitals are coded according to ICD-10 together with admission and discharge dates. Data on marital status and the educational level of patients was obtained from the longitudinal integration database for health insurance and labour market studies (LISA) from Statistics Sweden. The SHAR has completeness of 96-98 % and 100 % coverage,</w:t>
      </w:r>
      <w:r>
        <w:rPr>
          <w:vertAlign w:val="superscript"/>
        </w:rPr>
        <w:t xml:space="preserve">25</w:t>
      </w:r>
      <w:r>
        <w:t xml:space="preserve"> </w:t>
      </w:r>
      <w:r>
        <w:t xml:space="preserve">the LISA has coverage of 98 % with 85 % accuracy, and completeness for the NPR is above 99 % and the positive predictive value is 85-95 %.</w:t>
      </w:r>
      <w:r>
        <w:rPr>
          <w:vertAlign w:val="superscript"/>
        </w:rPr>
        <w:t xml:space="preserve">26</w:t>
      </w:r>
      <w:r>
        <w:t xml:space="preserve"> </w:t>
      </w:r>
      <w:r>
        <w:t xml:space="preserve">Death dates were linked from the national population register. Only the last operated hip was considered for patients with bilateral THA.</w:t>
      </w:r>
      <w:r>
        <w:rPr>
          <w:vertAlign w:val="superscript"/>
        </w:rPr>
        <w:t xml:space="preserve">27</w:t>
      </w:r>
      <w:r>
        <w:t xml:space="preserve"> </w:t>
      </w:r>
      <w:r>
        <w:t xml:space="preserve">Patients with missing information on, or an ASA class of IV and above, were excluded, as were patients with missing information on BMI or a measurement above 50. Patients with missing information on educational levels or the type of hospital performing index surgery were also excluded.</w:t>
      </w:r>
    </w:p>
    <w:bookmarkEnd w:id="26"/>
    <w:bookmarkStart w:id="27" w:name="external-validation-cohort-denmark"/>
    <w:p>
      <w:pPr>
        <w:pStyle w:val="Heading2"/>
      </w:pPr>
      <w:r>
        <w:t xml:space="preserve">External validation cohort (Denmark)</w:t>
      </w:r>
    </w:p>
    <w:p>
      <w:pPr>
        <w:pStyle w:val="FirstParagraph"/>
      </w:pPr>
      <w:r>
        <w:t xml:space="preserve">Danish THA patients were operated from 2016 until the last of September 2018, and this period was chosen due to availability of data and thus follows after the period used for model derivation in Sweden.</w:t>
      </w:r>
    </w:p>
    <w:p>
      <w:pPr>
        <w:pStyle w:val="BodyText"/>
      </w:pPr>
      <w:r>
        <w:rPr>
          <w:bCs/>
          <w:b/>
        </w:rPr>
        <w:t xml:space="preserve">TODO: ADD INFO (data sources)!</w:t>
      </w:r>
    </w:p>
    <w:bookmarkEnd w:id="27"/>
    <w:bookmarkStart w:id="28" w:name="definitions-of-comorbidity-and-outcomes"/>
    <w:p>
      <w:pPr>
        <w:pStyle w:val="Heading2"/>
      </w:pPr>
      <w:r>
        <w:t xml:space="preserve">Definitions of comorbidity and outcomes</w:t>
      </w:r>
    </w:p>
    <w:p>
      <w:pPr>
        <w:pStyle w:val="FirstParagraph"/>
      </w:pPr>
      <w:r>
        <w:t xml:space="preserve">The Charlson and Elixhauser comorbidity indices are based on the presence of ICD-10 codes grouped into 17 and 31 categories each.</w:t>
      </w:r>
      <w:r>
        <w:rPr>
          <w:vertAlign w:val="superscript"/>
        </w:rPr>
        <w:t xml:space="preserve">28</w:t>
      </w:r>
      <w:r>
        <w:t xml:space="preserve"> </w:t>
      </w:r>
      <w:r>
        <w:t xml:space="preserve">Diagnostic categories from those indices were combined to define 21 categories of comorbidity that were chosen in order to be easily identifiable in a clinical setting (Tab.</w:t>
      </w:r>
      <w:r>
        <w:t xml:space="preserve"> </w:t>
      </w:r>
      <w:r>
        <w:t xml:space="preserve">1</w:t>
      </w:r>
      <w:r>
        <w:t xml:space="preserve">). Some of the combined comorbidities were observed for less than 10 patients with or without PJI, and these diagnoses were not considered as potential predictors to reduce the risk of overfitting to spurious events. PJI was defined by the occurrence of relevant ICD-10 or procedural Nordic Medico-Procedural Committee (NOMESCO)-codes recorded in the NPR within 90 days (Tab.</w:t>
      </w:r>
      <w:r>
        <w:t xml:space="preserve"> </w:t>
      </w:r>
      <w:r>
        <w:t xml:space="preserve">2</w:t>
      </w:r>
      <w:r>
        <w:t xml:space="preserve">), or if the patient was reported to SHAR or DHR as re-operated due to infection within the same time frame.</w:t>
      </w:r>
    </w:p>
    <w:bookmarkEnd w:id="28"/>
    <w:bookmarkStart w:id="29" w:name="model-development"/>
    <w:p>
      <w:pPr>
        <w:pStyle w:val="Heading2"/>
      </w:pPr>
      <w:r>
        <w:t xml:space="preserve">Model development</w:t>
      </w:r>
    </w:p>
    <w:p>
      <w:pPr>
        <w:pStyle w:val="FirstParagraph"/>
      </w:pPr>
      <w:r>
        <w:t xml:space="preserve">Model development was performed by bootstrap ranking and a logistic least absolute shrinkage and selection operator (LASSO).</w:t>
      </w:r>
      <w:r>
        <w:rPr>
          <w:vertAlign w:val="superscript"/>
        </w:rPr>
        <w:t xml:space="preserve">29–31</w:t>
      </w:r>
      <w:r>
        <w:t xml:space="preserve"> </w:t>
      </w:r>
      <w:r>
        <w:t xml:space="preserve">Age was normalized prior to modelling, and the estimated coefficients thus indicated variable importance on the same scale as categorical variables. BMI was divided into four categories based on the six intervals proposed by the World Health Organization (WHO;</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w:t>
      </w:r>
      <w:r>
        <w:t xml:space="preserve"> </w:t>
      </w:r>
      <m:oMath>
        <m:r>
          <m:rPr>
            <m:sty m:val="p"/>
          </m:rPr>
          <m:t>≥</m:t>
        </m:r>
        <m:r>
          <m:t>35</m:t>
        </m:r>
      </m:oMath>
      <w:r>
        <w:t xml:space="preserve">: class II-III obesity).</w:t>
      </w:r>
    </w:p>
    <w:p>
      <w:pPr>
        <w:pStyle w:val="Body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r>
        <w:rPr>
          <w:vertAlign w:val="superscript"/>
        </w:rPr>
        <w:t xml:space="preserve">32</w:t>
      </w:r>
    </w:p>
    <w:p>
      <w:pPr>
        <w:pStyle w:val="Body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numeric variables.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Univariable prediction models based on either ASA class, the Charlson, Elixhauser, or the Rx Risk V comorbidity indices were fitted for comparison, as well as multivariable models combining those measures with age, sex and BMI (10 models in total). The Rx Risk V index is a comorbidity index based on medical prescriptions coded by the Anatomical Therapeutic Chemical (ATC) classification system during one year prior to surgery. This data was retrieved from the Swedish national prescription register and classified according to Pratt et al.</w:t>
      </w:r>
      <w:r>
        <w:rPr>
          <w:vertAlign w:val="superscript"/>
        </w:rPr>
        <w:t xml:space="preserve">18</w:t>
      </w:r>
      <w:r>
        <w:t xml:space="preserve"> </w:t>
      </w:r>
      <w:r>
        <w:t xml:space="preserve">Odds ratios for the final models were estimated with 95 % confidence intervals based on the whole cohort.</w:t>
      </w:r>
    </w:p>
    <w:bookmarkEnd w:id="29"/>
    <w:bookmarkStart w:id="30" w:name="model-validation"/>
    <w:p>
      <w:pPr>
        <w:pStyle w:val="Heading2"/>
      </w:pPr>
      <w:r>
        <w:t xml:space="preserve">Model validation</w:t>
      </w:r>
    </w:p>
    <w:p>
      <w:pPr>
        <w:pStyle w:val="FirstParagraph"/>
      </w:pPr>
      <w:r>
        <w:t xml:space="preserve">Each developed model was used to predict the probability of PJI within 90 days for patients derived from the SHAR (internal validation). Receiver operating characteristic (ROC) curves and their corresponding areas under the curve (AUC) were used to describe discrimination with 95 % confidence intervals based on an asymptotic approximation suggested by DeLong et al.</w:t>
      </w:r>
      <w:r>
        <w:rPr>
          <w:vertAlign w:val="superscript"/>
        </w:rPr>
        <w:t xml:space="preserve">33</w:t>
      </w:r>
      <w:r>
        <w:t xml:space="preserve"> </w:t>
      </w:r>
      <w:r>
        <w:t xml:space="preserve">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rPr>
          <w:vertAlign w:val="superscript"/>
        </w:rPr>
        <w:t xml:space="preserve">34</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The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the baseline model.</w:t>
      </w:r>
      <w:r>
        <w:rPr>
          <w:vertAlign w:val="superscript"/>
        </w:rPr>
        <w:t xml:space="preserve">35</w:t>
      </w:r>
    </w:p>
    <w:p>
      <w:pPr>
        <w:pStyle w:val="BodyText"/>
      </w:pPr>
      <w:r>
        <w:t xml:space="preserve">The derived model was then externally validated on the Danish cohort, both with the coefficient estimates from the Swedish cohort and with new estimates based on the Danish cohort. The 10 simpler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8</w:t>
      </w:r>
      <w:r>
        <w:t xml:space="preserve">).</w:t>
      </w:r>
    </w:p>
    <w:bookmarkEnd w:id="30"/>
    <w:bookmarkStart w:id="31" w:name="statistical-tools"/>
    <w:p>
      <w:pPr>
        <w:pStyle w:val="Heading2"/>
      </w:pPr>
      <w:r>
        <w:t xml:space="preserve">Statistical tools</w:t>
      </w:r>
    </w:p>
    <w:p>
      <w:pPr>
        <w:pStyle w:val="FirstParagraph"/>
      </w:pPr>
      <w:r>
        <w:t xml:space="preserve">We used R version 4.1.0 (2021-05-18) (R Foundation for Statistical Computing, Vienna, Austria) with significant packages coder</w:t>
      </w:r>
      <w:r>
        <w:rPr>
          <w:vertAlign w:val="superscript"/>
        </w:rPr>
        <w:t xml:space="preserve">36</w:t>
      </w:r>
      <w:r>
        <w:t xml:space="preserve">, decoder, furrr, pROC, rms, tidymodels and tidyverse.</w:t>
      </w:r>
    </w:p>
    <w:bookmarkEnd w:id="31"/>
    <w:bookmarkStart w:id="32" w:name="ethical-approval"/>
    <w:p>
      <w:pPr>
        <w:pStyle w:val="Heading2"/>
      </w:pPr>
      <w:r>
        <w:t xml:space="preserve">Ethical approval</w:t>
      </w:r>
    </w:p>
    <w:p>
      <w:pPr>
        <w:pStyle w:val="FirstParagraph"/>
      </w:pPr>
      <w:r>
        <w:t xml:space="preserve">Ethical approval for this study was obtained from the Regional Ethical Review Board in Gothenburg (360-13) and by</w:t>
      </w:r>
      <w:r>
        <w:t xml:space="preserve"> </w:t>
      </w:r>
      <w:r>
        <w:rPr>
          <w:bCs/>
          <w:b/>
        </w:rPr>
        <w:t xml:space="preserve">XXX in Denmark</w:t>
      </w:r>
      <w:r>
        <w:t xml:space="preserve">.</w:t>
      </w:r>
    </w:p>
    <w:bookmarkEnd w:id="32"/>
    <w:bookmarkEnd w:id="33"/>
    <w:bookmarkStart w:id="37" w:name="results"/>
    <w:p>
      <w:pPr>
        <w:pStyle w:val="Heading1"/>
      </w:pPr>
      <w:r>
        <w:t xml:space="preserve">Results</w:t>
      </w:r>
    </w:p>
    <w:bookmarkStart w:id="34" w:name="study-participants"/>
    <w:p>
      <w:pPr>
        <w:pStyle w:val="Heading2"/>
      </w:pPr>
      <w:r>
        <w:t xml:space="preserve">Study participants</w:t>
      </w:r>
    </w:p>
    <w:p>
      <w:pPr>
        <w:pStyle w:val="FirstParagraph"/>
      </w:pPr>
      <w:r>
        <w:t xml:space="preserve">We included 88,830 patients (43.54 %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3</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odyText"/>
      </w:pPr>
      <w:r>
        <w:t xml:space="preserve">In addition, 18,854 patients</w:t>
      </w:r>
      <w:r>
        <w:t xml:space="preserve"> </w:t>
      </w:r>
      <w:r>
        <w:rPr>
          <w:bCs/>
          <w:b/>
        </w:rPr>
        <w:t xml:space="preserve">(42.1 % males)</w:t>
      </w:r>
      <w:r>
        <w:t xml:space="preserve"> </w:t>
      </w:r>
      <w:r>
        <w:t xml:space="preserve">with a mean age of</w:t>
      </w:r>
      <w:r>
        <w:t xml:space="preserve"> </w:t>
      </w:r>
      <w:r>
        <w:rPr>
          <w:bCs/>
          <w:b/>
        </w:rPr>
        <w:t xml:space="preserve">XXX (SD = XXX)</w:t>
      </w:r>
      <w:r>
        <w:t xml:space="preserve"> </w:t>
      </w:r>
      <w:r>
        <w:t xml:space="preserve">years were included from DHR as an external validation cohort (Fig.</w:t>
      </w:r>
      <w:r>
        <w:t xml:space="preserve"> </w:t>
      </w:r>
      <w:r>
        <w:t xml:space="preserve">2</w:t>
      </w:r>
      <w:r>
        <w:t xml:space="preserve">).</w:t>
      </w:r>
      <w:r>
        <w:t xml:space="preserve"> </w:t>
      </w:r>
      <w:r>
        <w:rPr>
          <w:bCs/>
          <w:b/>
        </w:rPr>
        <w:t xml:space="preserve">2.2 % (n = 410)</w:t>
      </w:r>
      <w:r>
        <w:t xml:space="preserve"> </w:t>
      </w:r>
      <w:r>
        <w:t xml:space="preserve">of these developed a PJI within 90 days (Tab.</w:t>
      </w:r>
      <w:r>
        <w:t xml:space="preserve"> </w:t>
      </w:r>
      <w:r>
        <w:t xml:space="preserve">3</w:t>
      </w:r>
      <w:r>
        <w:t xml:space="preserve">). The proportion of patients with ASA class III was</w:t>
      </w:r>
      <w:r>
        <w:t xml:space="preserve"> </w:t>
      </w:r>
      <w:r>
        <w:rPr>
          <w:bCs/>
          <w:b/>
        </w:rPr>
        <w:t xml:space="preserve">18 % (n = 3,334)</w:t>
      </w:r>
      <w:r>
        <w:t xml:space="preserve">;</w:t>
      </w:r>
      <w:r>
        <w:t xml:space="preserve"> </w:t>
      </w:r>
      <w:r>
        <w:rPr>
          <w:bCs/>
          <w:b/>
        </w:rPr>
        <w:t xml:space="preserve">14 % (n = 2,722)</w:t>
      </w:r>
      <w:r>
        <w:t xml:space="preserve"> </w:t>
      </w:r>
      <w:r>
        <w:t xml:space="preserve">had at least one comorbidity according to the Charlson comorbidity index,</w:t>
      </w:r>
      <w:r>
        <w:t xml:space="preserve"> </w:t>
      </w:r>
      <w:r>
        <w:rPr>
          <w:bCs/>
          <w:b/>
        </w:rPr>
        <w:t xml:space="preserve">22 % (n = 4,101)</w:t>
      </w:r>
      <w:r>
        <w:t xml:space="preserve"> </w:t>
      </w:r>
      <w:r>
        <w:t xml:space="preserve">according to Elixhauser index, and</w:t>
      </w:r>
      <w:r>
        <w:t xml:space="preserve"> </w:t>
      </w:r>
      <w:r>
        <w:rPr>
          <w:bCs/>
          <w:b/>
        </w:rPr>
        <w:t xml:space="preserve">XXX % (n = XXX)</w:t>
      </w:r>
      <w:r>
        <w:t xml:space="preserve"> </w:t>
      </w:r>
      <w:r>
        <w:t xml:space="preserve">had medications classified according to Rx Risk V.</w:t>
      </w:r>
    </w:p>
    <w:p>
      <w:pPr>
        <w:pStyle w:val="BodyText"/>
      </w:pPr>
      <w:r>
        <w:rPr>
          <w:bCs/>
          <w:b/>
        </w:rPr>
        <w:t xml:space="preserve">TODO:: Add XXX numbers for DK. Differences in Charlson/Elix might be discussed?</w:t>
      </w:r>
    </w:p>
    <w:bookmarkEnd w:id="34"/>
    <w:bookmarkStart w:id="35" w:name="X97f55da61655794c4500bb5dee5b0e7e0a00da4"/>
    <w:p>
      <w:pPr>
        <w:pStyle w:val="Heading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 ROC-curves (Fig.</w:t>
      </w:r>
      <w:r>
        <w:t xml:space="preserve"> </w:t>
      </w:r>
      <w:r>
        <w:t xml:space="preserve">3</w:t>
      </w:r>
      <w:r>
        <w:t xml:space="preserve"> </w:t>
      </w:r>
      <w:r>
        <w:t xml:space="preserve">left panel) and AUC-values (Fig.</w:t>
      </w:r>
      <w:r>
        <w:t xml:space="preserve"> </w:t>
      </w:r>
      <w:r>
        <w:t xml:space="preserve">4</w:t>
      </w:r>
      <w:r>
        <w:t xml:space="preserve"> </w:t>
      </w:r>
      <w:r>
        <w:t xml:space="preserve">left panel) for the main and reduced models were very similar, and for simplicity, we therefore focused on the reduced model.</w:t>
      </w:r>
    </w:p>
    <w:p>
      <w:pPr>
        <w:pStyle w:val="BodyText"/>
      </w:pPr>
      <w:r>
        <w:t xml:space="preserve">The reduced model for the prediction of PJI within 90 days in the Swedish cohort included the underlaying diagnosis for THA, body mass index (BMI), American Society for Anesthesiologists (ASA) class, sex, age, and the presence of arrhythmia, CNS disease, fluid electrolyte disorders, liver disease or lung and airways disease (Tab.</w:t>
      </w:r>
      <w:r>
        <w:t xml:space="preserve"> </w:t>
      </w:r>
      <w:r>
        <w:t xml:space="preserve">6</w:t>
      </w:r>
      <w:r>
        <w:t xml:space="preserve">). This reduced model had an AUC = 0.68 (95 % CI: 0.66 to 0.69), whereas ASA class (AUC = 0.59, 95 % CI: 0.58 to 0.60), the Charlson comorbidity index (AUC = 0.56, 95 % CI: 0.55 to 0.57), the Elixhauser comorbidity index (AUC = 0.58, 95 % CI: 0.57 to 0.60), and Rx Risk V (AUC = 0.58, 95 % CI: 0.57 to 0.59) had less discriminative ability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w:t>
      </w:r>
      <w:r>
        <w:t xml:space="preserve"> </w:t>
      </w:r>
      <m:oMath>
        <m:sSup>
          <m:e>
            <m:r>
              <m:t>R</m:t>
            </m:r>
          </m:e>
          <m:sup>
            <m:r>
              <m:t>2</m:t>
            </m:r>
          </m:sup>
        </m:sSup>
      </m:oMath>
      <w:r>
        <w:t xml:space="preserve"> </w:t>
      </w:r>
      <w:r>
        <w:t xml:space="preserve">(0.73; Tab.</w:t>
      </w:r>
      <w:r>
        <w:t xml:space="preserve"> </w:t>
      </w:r>
      <w:r>
        <w:t xml:space="preserve">5</w:t>
      </w:r>
      <w:r>
        <w:t xml:space="preserve">), and compared to this model, the fraction of new information for the reduced model was 84 %.</w:t>
      </w:r>
    </w:p>
    <w:p>
      <w:pPr>
        <w:pStyle w:val="BodyText"/>
      </w:pPr>
      <w:r>
        <w:t xml:space="preserve">The reduced model had good internal calibration (Fig.</w:t>
      </w:r>
      <w:r>
        <w:t xml:space="preserve"> </w:t>
      </w:r>
      <w:r>
        <w:t xml:space="preserve">6</w:t>
      </w:r>
      <w:r>
        <w:t xml:space="preserve">). Estimated probability density curves for patients with and without PJI were partially overlapping, although patients with PJI had on average higher predicted probabilities for this outcome (Fig.</w:t>
      </w:r>
      <w:r>
        <w:t xml:space="preserve"> </w:t>
      </w:r>
      <w:r>
        <w:t xml:space="preserve">5</w:t>
      </w:r>
      <w:r>
        <w:t xml:space="preserve">).</w:t>
      </w:r>
    </w:p>
    <w:bookmarkEnd w:id="35"/>
    <w:bookmarkStart w:id="36" w:name="external-validation"/>
    <w:p>
      <w:pPr>
        <w:pStyle w:val="Heading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w:t>
      </w:r>
      <w:r>
        <w:t xml:space="preserve"> </w:t>
      </w:r>
      <w:r>
        <w:rPr>
          <w:bCs/>
          <w:b/>
        </w:rPr>
        <w:t xml:space="preserve">0.66 (95% CI: 0.64 to 0.69)</w:t>
      </w:r>
      <w:r>
        <w:t xml:space="preserve">, thus not statistically significantly different from the derivation model. This did not change for the model with re-estimated coefficient values (data not shown). AUC values for some of the other models estimated on the Danish cohort did differ from the Swedish cohort, with a statistically significantly different estimate obtained for the two models based on the Rx Risk V, but all those models were still less accurate compared to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bookmarkEnd w:id="36"/>
    <w:bookmarkEnd w:id="37"/>
    <w:bookmarkStart w:id="44" w:name="discussion"/>
    <w:p>
      <w:pPr>
        <w:pStyle w:val="Heading1"/>
      </w:pPr>
      <w:r>
        <w:t xml:space="preserve">Discussion</w:t>
      </w:r>
    </w:p>
    <w:bookmarkStart w:id="38" w:name="principal-findings"/>
    <w:p>
      <w:pPr>
        <w:pStyle w:val="Heading2"/>
      </w:pPr>
      <w:r>
        <w:t xml:space="preserve">Principal findings</w:t>
      </w:r>
    </w:p>
    <w:p>
      <w:pPr>
        <w:pStyle w:val="FirstParagraph"/>
      </w:pPr>
      <w:r>
        <w:t xml:space="preserve">We found that a reduced prediction model based on some easily identifiable clinical conditions, sex, and BMI was better at predicting PJI within 90 days after THA than models based on either ASA class or the Charlson, Elixhauser or Rx Risk V comorbidity indices. This model performed better than the established comorbidity measures in terms of AUC, Nagelkerke’s</w:t>
      </w:r>
      <w:r>
        <w:t xml:space="preserve"> </w:t>
      </w:r>
      <m:oMath>
        <m:sSup>
          <m:e>
            <m:r>
              <m:t>R</m:t>
            </m:r>
          </m:e>
          <m:sup>
            <m:r>
              <m:t>2</m:t>
            </m:r>
          </m:sup>
        </m:sSup>
      </m:oMath>
      <w:r>
        <w:t xml:space="preserve"> </w:t>
      </w:r>
      <w:r>
        <w:t xml:space="preserve">and calibration.</w:t>
      </w:r>
    </w:p>
    <w:bookmarkEnd w:id="38"/>
    <w:bookmarkStart w:id="39" w:name="clinical-usage"/>
    <w:p>
      <w:pPr>
        <w:pStyle w:val="Heading2"/>
      </w:pPr>
      <w:r>
        <w:t xml:space="preserve">Clinical usage</w:t>
      </w:r>
    </w:p>
    <w:p>
      <w:pPr>
        <w:pStyle w:val="FirstParagraph"/>
      </w:pPr>
      <w:r>
        <w:t xml:space="preserve">Since the prediction model was based on easily accessible information it can be translated into a simple formula</w:t>
      </w:r>
      <w:r>
        <w:t xml:space="preserve"> </w:t>
      </w:r>
      <m:oMath>
        <m:acc>
          <m:accPr>
            <m:chr m:val="̂"/>
          </m:accPr>
          <m:e>
            <m:r>
              <m:t>p</m:t>
            </m:r>
          </m:e>
        </m:acc>
        <m:r>
          <m:rPr>
            <m:sty m:val="p"/>
          </m:rPr>
          <m:t>=</m:t>
        </m:r>
        <m:r>
          <m:t>1</m:t>
        </m:r>
        <m:r>
          <m:rPr>
            <m:sty m:val="p"/>
          </m:rPr>
          <m:t>/</m:t>
        </m:r>
        <m:r>
          <m:rPr>
            <m:sty m:val="p"/>
          </m:rPr>
          <m:t>[</m:t>
        </m:r>
        <m:r>
          <m:t>1</m:t>
        </m:r>
        <m:r>
          <m:rPr>
            <m:sty m:val="p"/>
          </m:rPr>
          <m:t>+</m:t>
        </m:r>
        <m:r>
          <m:rPr>
            <m:sty m:val="p"/>
          </m:rPr>
          <m:t>e</m:t>
        </m:r>
        <m:r>
          <m:rPr>
            <m:sty m:val="p"/>
          </m:rPr>
          <m:t>x</m:t>
        </m:r>
        <m:r>
          <m:rPr>
            <m:sty m:val="p"/>
          </m:rPr>
          <m:t>p</m:t>
        </m:r>
        <m:r>
          <m:rPr>
            <m:sty m:val="p"/>
          </m:rPr>
          <m:t>(</m:t>
        </m:r>
        <m:r>
          <m:rPr>
            <m:sty m:val="p"/>
          </m:rPr>
          <m:t>−</m:t>
        </m:r>
        <m:acc>
          <m:accPr>
            <m:chr m:val="̂"/>
          </m:accPr>
          <m:e>
            <m:r>
              <m:t>α</m:t>
            </m:r>
          </m:e>
        </m:acc>
        <m:r>
          <m:rPr>
            <m:sty m:val="p"/>
          </m:rPr>
          <m:t>−</m:t>
        </m:r>
        <m:r>
          <m:t>x</m:t>
        </m:r>
        <m:r>
          <m:rPr>
            <m:sty m:val="p"/>
          </m:rPr>
          <m:t>′</m:t>
        </m:r>
        <m:acc>
          <m:accPr>
            <m:chr m:val="̂"/>
          </m:accPr>
          <m:e>
            <m:r>
              <m:t>β</m:t>
            </m:r>
          </m:e>
        </m:acc>
        <m:r>
          <m:rPr>
            <m:sty m:val="p"/>
          </m:rPr>
          <m:t>)</m:t>
        </m:r>
        <m:r>
          <m:rPr>
            <m:sty m:val="p"/>
          </m:rPr>
          <m:t>]</m:t>
        </m:r>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acc>
          <m:accPr>
            <m:chr m:val="̂"/>
          </m:accPr>
          <m:e>
            <m:r>
              <m:t>β</m:t>
            </m:r>
          </m:e>
        </m:acc>
        <m:r>
          <m:rPr>
            <m:sty m:val="p"/>
          </m:rPr>
          <m:t>=</m:t>
        </m:r>
        <m:r>
          <m:rPr>
            <m:sty m:val="p"/>
          </m:rPr>
          <m:t>(</m:t>
        </m:r>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r>
          <m:rPr>
            <m:sty m:val="p"/>
          </m:rPr>
          <m:t>)</m:t>
        </m:r>
      </m:oMath>
      <w:r>
        <w:t xml:space="preserve"> </w:t>
      </w:r>
      <w:r>
        <w:t xml:space="preserve">are the estimated intercept and coefficients (Tab.</w:t>
      </w:r>
      <w:r>
        <w:t xml:space="preserve"> </w:t>
      </w:r>
      <w:r>
        <w:t xml:space="preserve">6</w:t>
      </w:r>
      <w:r>
        <w:t xml:space="preserve">) and</w:t>
      </w:r>
      <w:r>
        <w:t xml:space="preserve"> </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r>
          <m:rPr>
            <m:sty m:val="p"/>
          </m:rPr>
          <m:t>)</m:t>
        </m:r>
      </m:oMath>
      <w:r>
        <w:t xml:space="preserve"> </w:t>
      </w:r>
      <w:r>
        <w:t xml:space="preserve">are corresponding patient characteristics. For example, a 60-year-old female with normal BMI and primary osteoarthritis without comorbidities would have a probability of</w:t>
      </w:r>
      <w:r>
        <w:t xml:space="preserve"> </w:t>
      </w:r>
      <m:oMath>
        <m:r>
          <m:t>1</m:t>
        </m:r>
        <m:r>
          <m:rPr>
            <m:sty m:val="p"/>
          </m:rPr>
          <m:t>/</m:t>
        </m:r>
        <m:r>
          <m:rPr>
            <m:sty m:val="p"/>
          </m:rPr>
          <m:t>[</m:t>
        </m:r>
        <m:r>
          <m:t>1</m:t>
        </m:r>
        <m:r>
          <m:rPr>
            <m:sty m:val="p"/>
          </m:rPr>
          <m:t>+</m:t>
        </m:r>
        <m:r>
          <m:rPr>
            <m:sty m:val="p"/>
          </m:rPr>
          <m:t>e</m:t>
        </m:r>
        <m:r>
          <m:rPr>
            <m:sty m:val="p"/>
          </m:rPr>
          <m:t>x</m:t>
        </m:r>
        <m:r>
          <m:rPr>
            <m:sty m:val="p"/>
          </m:rPr>
          <m:t>p</m:t>
        </m:r>
        <m:r>
          <m:rPr>
            <m:sty m:val="p"/>
          </m:rPr>
          <m:t>(</m:t>
        </m:r>
        <m:r>
          <m:t>6.31</m:t>
        </m:r>
        <m:r>
          <m:rPr>
            <m:sty m:val="p"/>
          </m:rPr>
          <m:t>−</m:t>
        </m:r>
        <m:r>
          <m:t>60</m:t>
        </m:r>
        <m:r>
          <m:rPr>
            <m:sty m:val="p"/>
          </m:rPr>
          <m:t>⋅</m:t>
        </m:r>
        <m:r>
          <m:t>0.02</m:t>
        </m:r>
        <m:r>
          <m:rPr>
            <m:sty m:val="p"/>
          </m:rPr>
          <m:t>)</m:t>
        </m:r>
        <m:r>
          <m:rPr>
            <m:sty m:val="p"/>
          </m:rPr>
          <m:t>]</m:t>
        </m:r>
        <m:r>
          <m:rPr>
            <m:sty m:val="p"/>
          </m:rPr>
          <m:t>≈</m:t>
        </m:r>
      </m:oMath>
      <w:r>
        <w:t xml:space="preserve"> </w:t>
      </w:r>
      <w:r>
        <w:t xml:space="preserve">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bookmarkEnd w:id="39"/>
    <w:bookmarkStart w:id="40" w:name="model-predictors"/>
    <w:p>
      <w:pPr>
        <w:pStyle w:val="Heading2"/>
      </w:pPr>
      <w:r>
        <w:t xml:space="preserve">Model predictors</w:t>
      </w:r>
    </w:p>
    <w:p>
      <w:pPr>
        <w:pStyle w:val="FirstParagraph"/>
      </w:pPr>
      <w:r>
        <w:t xml:space="preserve">The predictors in our models were chosen based on a combination of clinical and analytical reasons, but they should not be interpreted as having direct causal effects on the outcome of PJI. The majority of the identified predictor variables are, however, associated with the risk of developing PJI in previously developed prediction models and within the setting of observational studies, which is supportive of our own models.</w:t>
      </w:r>
    </w:p>
    <w:p>
      <w:pPr>
        <w:pStyle w:val="BodyText"/>
      </w:pPr>
      <w:r>
        <w:t xml:space="preserve">Patients with primary osteoarthritis seem less prone to developing PJI than patients receiving THA for other reasons, and in agreement with previous observational data we found that both AVN and secondary osteoarthritis conferred a nearly two-fold increased risk of PJI in our prediction models.</w:t>
      </w:r>
      <w:r>
        <w:rPr>
          <w:vertAlign w:val="superscript"/>
        </w:rPr>
        <w:t xml:space="preserve">37,38</w:t>
      </w:r>
      <w:r>
        <w:t xml:space="preserve"> </w:t>
      </w:r>
      <w:r>
        <w:t xml:space="preserve">Rheumatoid arthritis as the diagnosis underlying THA surgery is pointed out as a risk factor for PJI,</w:t>
      </w:r>
      <w:r>
        <w:rPr>
          <w:vertAlign w:val="superscript"/>
        </w:rPr>
        <w:t xml:space="preserve">9,22</w:t>
      </w:r>
      <w:r>
        <w:t xml:space="preserve"> </w:t>
      </w:r>
      <w:r>
        <w:t xml:space="preserve">and this predictor variable was also associated with a more then doubled risk of PJI in our model.</w:t>
      </w:r>
    </w:p>
    <w:p>
      <w:pPr>
        <w:pStyle w:val="BodyText"/>
      </w:pPr>
      <w:r>
        <w:t xml:space="preserve">Obesity is associated with an increased risk of reoperations or adverse events after THA</w:t>
      </w:r>
      <w:r>
        <w:rPr>
          <w:vertAlign w:val="superscript"/>
        </w:rPr>
        <w:t xml:space="preserve">39</w:t>
      </w:r>
      <w:r>
        <w:t xml:space="preserve"> </w:t>
      </w:r>
      <w:r>
        <w:t xml:space="preserve">and with an increased risk of developing surgical site infections or PJI after total hip or knee arthroplasty.</w:t>
      </w:r>
      <w:r>
        <w:rPr>
          <w:vertAlign w:val="superscript"/>
        </w:rPr>
        <w:t xml:space="preserve">6,10,12,40</w:t>
      </w:r>
      <w:r>
        <w:t xml:space="preserve"> </w:t>
      </w:r>
      <w:r>
        <w:t xml:space="preserve">Obesity is identified as a risk factor for PJI in a risk calculator derived on two independent US institutional cohorts, which agrees with our identification of obesity as a predictor variable in both models.</w:t>
      </w:r>
      <w:r>
        <w:rPr>
          <w:vertAlign w:val="superscript"/>
        </w:rPr>
        <w:t xml:space="preserve">41</w:t>
      </w:r>
      <w:r>
        <w:t xml:space="preserve"> </w:t>
      </w:r>
      <w:r>
        <w:t xml:space="preserve">In accordance with observational studies</w:t>
      </w:r>
      <w:r>
        <w:rPr>
          <w:vertAlign w:val="superscript"/>
        </w:rPr>
        <w:t xml:space="preserve">9</w:t>
      </w:r>
      <w:r>
        <w:t xml:space="preserve"> </w:t>
      </w:r>
      <w:r>
        <w:t xml:space="preserve">we found the presence of CNS diseases to be a predictor of PJI, and our broad definition of CNS diseases encompasses both cerebrovascular disease, dementia, hemiplegia, and Parkinson’s disease, most of which were associated with a risk increase in the cited study.</w:t>
      </w:r>
    </w:p>
    <w:p>
      <w:pPr>
        <w:pStyle w:val="BodyText"/>
      </w:pPr>
      <w:r>
        <w:t xml:space="preserve">Male sex is associated with an increased risk of developing PJI after arthroplasty surgery,</w:t>
      </w:r>
      <w:r>
        <w:rPr>
          <w:vertAlign w:val="superscript"/>
        </w:rPr>
        <w:t xml:space="preserve">38</w:t>
      </w:r>
      <w:r>
        <w:t xml:space="preserve"> </w:t>
      </w:r>
      <w:r>
        <w:t xml:space="preserve">and sex is included as a predictor variable in several previously developed risk calculators, which agrees with our findings.</w:t>
      </w:r>
      <w:r>
        <w:rPr>
          <w:vertAlign w:val="superscript"/>
        </w:rPr>
        <w:t xml:space="preserve">20,41</w:t>
      </w:r>
      <w:r>
        <w:t xml:space="preserve"> </w:t>
      </w:r>
      <w:r>
        <w:t xml:space="preserve">Patients with liver cirrhosis are described to have a more than doubled risk of suffering from PJI within one year after THA, supporting our finding of the presence of liver diseases among our predictor variables.</w:t>
      </w:r>
      <w:r>
        <w:rPr>
          <w:vertAlign w:val="superscript"/>
        </w:rPr>
        <w:t xml:space="preserve">42</w:t>
      </w:r>
      <w:r>
        <w:t xml:space="preserve"> </w:t>
      </w:r>
      <w:r>
        <w:t xml:space="preserve">Taken together, the above cited findings support that the predictor variables in our models seem to be relevant in the context of predicting PJI.</w:t>
      </w:r>
    </w:p>
    <w:p>
      <w:pPr>
        <w:pStyle w:val="BodyText"/>
      </w:pPr>
      <w:r>
        <w:t xml:space="preserve">High ASA class is frequently associated with an increased risk of PJI,</w:t>
      </w:r>
      <w:r>
        <w:rPr>
          <w:vertAlign w:val="superscript"/>
        </w:rPr>
        <w:t xml:space="preserve">14,43,44</w:t>
      </w:r>
      <w:r>
        <w:t xml:space="preserve"> </w:t>
      </w:r>
      <w:r>
        <w:t xml:space="preserve">as is comorbidity in a broader sense, and, more specifically, the presence of cardiovascular comorbidity.</w:t>
      </w:r>
      <w:r>
        <w:rPr>
          <w:vertAlign w:val="superscript"/>
        </w:rPr>
        <w:t xml:space="preserve">7,45</w:t>
      </w:r>
      <w:r>
        <w:t xml:space="preserve"> </w:t>
      </w:r>
      <w:r>
        <w:t xml:space="preserve">We found that ASA class alone was an insufficient predictor of PJI, and none of the cardiovascular disease categories remained as a predictor variable in our final main model, but ASA class was one of the predictor variables in our model.</w:t>
      </w:r>
    </w:p>
    <w:p>
      <w:pPr>
        <w:pStyle w:val="BodyText"/>
      </w:pPr>
      <w:r>
        <w:t xml:space="preserve">Some previously mentioned risk factors for developing PJI were not selected during our model development. Cancer seems to confer an increased risk of PJI in several observational studies,</w:t>
      </w:r>
      <w:r>
        <w:rPr>
          <w:vertAlign w:val="superscript"/>
        </w:rPr>
        <w:t xml:space="preserve">9,40,46</w:t>
      </w:r>
      <w:r>
        <w:t xml:space="preserve"> </w:t>
      </w:r>
      <w:r>
        <w:t xml:space="preserve">and it is one of the defined comorbidities in the ACS NSQIP Surgical Risk Calculator,</w:t>
      </w:r>
      <w:r>
        <w:rPr>
          <w:vertAlign w:val="superscript"/>
        </w:rPr>
        <w:t xml:space="preserve">20</w:t>
      </w:r>
      <w:r>
        <w:t xml:space="preserve"> </w:t>
      </w:r>
      <w:r>
        <w:t xml:space="preserve">but this comorbidity did not reach statistical significance in our models.</w:t>
      </w:r>
    </w:p>
    <w:p>
      <w:pPr>
        <w:pStyle w:val="BodyText"/>
      </w:pPr>
      <w:r>
        <w:t xml:space="preserve">THA fixation using cement without antibiotics confers an increased risk of PJI,</w:t>
      </w:r>
      <w:r>
        <w:rPr>
          <w:vertAlign w:val="superscript"/>
        </w:rPr>
        <w:t xml:space="preserve">38</w:t>
      </w:r>
      <w:r>
        <w:t xml:space="preserve"> </w:t>
      </w:r>
      <w:r>
        <w:t xml:space="preserve">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p>
      <w:pPr>
        <w:pStyle w:val="BodyText"/>
      </w:pPr>
      <w:r>
        <w:t xml:space="preserve">Although mentioned as risk factors for surgical site infections after joint arthroplasty,</w:t>
      </w:r>
      <w:r>
        <w:rPr>
          <w:vertAlign w:val="superscript"/>
        </w:rPr>
        <w:t xml:space="preserve">11,22</w:t>
      </w:r>
      <w:r>
        <w:t xml:space="preserve"> </w:t>
      </w:r>
      <w:r>
        <w:t xml:space="preserve">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rPr>
          <w:vertAlign w:val="superscript"/>
        </w:rPr>
        <w:t xml:space="preserve">47,48</w:t>
      </w:r>
      <w:r>
        <w:t xml:space="preserve"> </w:t>
      </w:r>
      <w:r>
        <w:t xml:space="preserve">However, when used in conjunction with information on age and sex, the AUC for these comorbidity indices increased, although never quite reaching the AUC of our reduced model.</w:t>
      </w:r>
    </w:p>
    <w:bookmarkEnd w:id="40"/>
    <w:bookmarkStart w:id="41" w:name="strengths-and-limitations"/>
    <w:p>
      <w:pPr>
        <w:pStyle w:val="Heading2"/>
      </w:pPr>
      <w:r>
        <w:t xml:space="preserve">Strengths and limitations</w:t>
      </w:r>
    </w:p>
    <w:p>
      <w:pPr>
        <w:pStyle w:val="FirstParagraph"/>
      </w:pPr>
      <w:r>
        <w:t xml:space="preserve">Our study is hampered by the limitations inherent to observational research, such as misclassification, and residual confounding due to known confounders that we had no information on, or due to unknown confounders.</w:t>
      </w:r>
    </w:p>
    <w:p>
      <w:pPr>
        <w:pStyle w:val="BodyText"/>
      </w:pPr>
      <w:r>
        <w:t xml:space="preserve">Although, not a strict limitation, it should be noted that the aim of prediction is different from traditional statistical inference. As such, confidence intervals presented for the model coefficients (Table</w:t>
      </w:r>
      <w:r>
        <w:t xml:space="preserve"> </w:t>
      </w:r>
      <w:r>
        <w:t xml:space="preserve">6</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variables. Also, the individual odds ratios should not be interpreted as effect measures of individual relations since some variables are correlated.</w:t>
      </w:r>
    </w:p>
    <w:p>
      <w:pPr>
        <w:pStyle w:val="BodyText"/>
      </w:pPr>
      <w:r>
        <w:t xml:space="preserve">The presence of diabetes was not among the predictor variables selected in our models, although it was almost double as frequent among patients with PJI than among those without (data not shown). This is in disagreement with numerous observational studies describing an increased risk of developing PJI after both THA or total knee arthroplasty,</w:t>
      </w:r>
      <w:r>
        <w:rPr>
          <w:vertAlign w:val="superscript"/>
        </w:rPr>
        <w:t xml:space="preserve">8,12,40</w:t>
      </w:r>
      <w:r>
        <w:t xml:space="preserve"> </w:t>
      </w:r>
      <w:r>
        <w:t xml:space="preserve">and diabetes is also found among the risk factors in previously developed risk calculators.</w:t>
      </w:r>
      <w:r>
        <w:rPr>
          <w:vertAlign w:val="superscript"/>
        </w:rPr>
        <w:t xml:space="preserve">20,41,49</w:t>
      </w:r>
      <w:r>
        <w:t xml:space="preserve"> </w:t>
      </w:r>
      <w:r>
        <w:t xml:space="preserve">On the other hand, diabetes is not consistently found to be associated with the risk of surgical site infection or PJI after THA surgery.</w:t>
      </w:r>
      <w:r>
        <w:rPr>
          <w:vertAlign w:val="superscript"/>
        </w:rPr>
        <w:t xml:space="preserve">44</w:t>
      </w:r>
      <w:r>
        <w:t xml:space="preserve"> </w:t>
      </w:r>
      <w:r>
        <w:t xml:space="preserve">Peri-operative hyperglycaemia is a predictor of PJI after total joint replacement of the hip or knee, and information on laboratory parameters such as morning blood glucose or HBA1c could have improved the predictive power of our models, but we had no access to such information.</w:t>
      </w:r>
      <w:r>
        <w:rPr>
          <w:vertAlign w:val="superscript"/>
        </w:rPr>
        <w:t xml:space="preserve">50,51</w:t>
      </w:r>
      <w:r>
        <w:t xml:space="preserve"> </w:t>
      </w:r>
      <w:r>
        <w:t xml:space="preserve">In analogy, low preoperative haemoglobin is associated with the risk of developing surgical site infection,</w:t>
      </w:r>
      <w:r>
        <w:rPr>
          <w:vertAlign w:val="superscript"/>
        </w:rPr>
        <w:t xml:space="preserve">11</w:t>
      </w:r>
      <w:r>
        <w:t xml:space="preserve"> </w:t>
      </w:r>
      <w:r>
        <w:t xml:space="preserve">but although we had access to the ICD codes defining the presence of anaemia, we had no information on actual laboratory findings. Use of subcutaneously applied Tumour Necrosis Factor-alpha blockers may be associated with the risk of developing PJI,</w:t>
      </w:r>
      <w:r>
        <w:rPr>
          <w:vertAlign w:val="superscript"/>
        </w:rPr>
        <w:t xml:space="preserve">52,53</w:t>
      </w:r>
      <w:r>
        <w:t xml:space="preserve"> </w:t>
      </w:r>
      <w:r>
        <w:t xml:space="preserve">and intra-articular steroid application may also enhance this risk,</w:t>
      </w:r>
      <w:r>
        <w:rPr>
          <w:vertAlign w:val="superscript"/>
        </w:rPr>
        <w:t xml:space="preserve">54</w:t>
      </w:r>
      <w:r>
        <w:t xml:space="preserve"> </w:t>
      </w:r>
      <w:r>
        <w:t xml:space="preserve">but injections given by physicians would not necessarily be identifiable within a Swedish registry setting. Operating times, or, in the case of knee surgery, tourniquet times, are associated with the risk of PJI after hip or knee joint replacement,</w:t>
      </w:r>
      <w:r>
        <w:rPr>
          <w:vertAlign w:val="superscript"/>
        </w:rPr>
        <w:t xml:space="preserve">12,55</w:t>
      </w:r>
      <w:r>
        <w:t xml:space="preserve"> </w:t>
      </w:r>
      <w:r>
        <w:t xml:space="preserve">and procedure time is one of the risk factors in the Mayo PJI risk score,</w:t>
      </w:r>
      <w:r>
        <w:rPr>
          <w:vertAlign w:val="superscript"/>
        </w:rPr>
        <w:t xml:space="preserve">14</w:t>
      </w:r>
      <w:r>
        <w:t xml:space="preserve"> </w:t>
      </w:r>
      <w:r>
        <w:t xml:space="preserve">but we had no information on this potentially important parameter.</w:t>
      </w:r>
    </w:p>
    <w:p>
      <w:pPr>
        <w:pStyle w:val="BodyText"/>
      </w:pPr>
      <w:r>
        <w:t xml:space="preserve">The proportion of explained variation (Nagelkerke’s</w:t>
      </w:r>
      <w:r>
        <w:t xml:space="preserve"> </w:t>
      </w:r>
      <m:oMath>
        <m:sSup>
          <m:e>
            <m:r>
              <m:t>R</m:t>
            </m:r>
          </m:e>
          <m:sup>
            <m:r>
              <m:t>2</m:t>
            </m:r>
          </m:sup>
        </m:sSup>
      </m:oMath>
      <w:r>
        <w:t xml:space="preserve"> </w:t>
      </w:r>
      <w:r>
        <w:t xml:space="preserve">= 4.72)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41"/>
    <w:bookmarkStart w:id="43" w:name="conclusion"/>
    <w:p>
      <w:pPr>
        <w:pStyle w:val="Heading2"/>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Start w:id="42" w:name="page-break-2"/>
    <w:p>
      <w:pPr>
        <w:pStyle w:val="Heading5"/>
      </w:pPr>
      <w:r>
        <w:t xml:space="preserve">Page break</w:t>
      </w:r>
    </w:p>
    <w:bookmarkEnd w:id="42"/>
    <w:bookmarkEnd w:id="43"/>
    <w:bookmarkEnd w:id="44"/>
    <w:bookmarkStart w:id="45" w:name="contribution-of-authors"/>
    <w:p>
      <w:pPr>
        <w:pStyle w:val="Heading1"/>
      </w:pPr>
      <w:r>
        <w:t xml:space="preserve">Contribution of authors</w:t>
      </w:r>
    </w:p>
    <w:p>
      <w:pPr>
        <w:pStyle w:val="FirstParagraph"/>
      </w:pPr>
      <w:r>
        <w:t xml:space="preserve">NPH initiated the study. OR managed the ethical review board application in Sweden and ABP in Denmark. EB developed the statistical model.</w:t>
      </w:r>
      <w:r>
        <w:t xml:space="preserve"> </w:t>
      </w:r>
      <w:r>
        <w:rPr>
          <w:strike/>
        </w:rPr>
        <w:t xml:space="preserve">ITA</w:t>
      </w:r>
      <w:r>
        <w:rPr>
          <w:bCs/>
          <w:b/>
        </w:rPr>
        <w:t xml:space="preserve">???</w:t>
      </w:r>
      <w:r>
        <w:t xml:space="preserve">, UH and AM performed the external validation. NPH and EB drafted, and all authors edited and finalized the manuscript.</w:t>
      </w:r>
    </w:p>
    <w:bookmarkEnd w:id="45"/>
    <w:bookmarkStart w:id="65" w:name="acknowledgement"/>
    <w:p>
      <w:pPr>
        <w:pStyle w:val="Heading1"/>
      </w:pPr>
      <w:r>
        <w:t xml:space="preserve">Acknowledgement</w:t>
      </w:r>
    </w:p>
    <w:p>
      <w:pPr>
        <w:pStyle w:val="FirstParagraph"/>
      </w:pPr>
      <w:r>
        <w:t xml:space="preserve">We would like to thank …</w:t>
      </w:r>
    </w:p>
    <w:bookmarkStart w:id="48" w:name="page-break-3"/>
    <w:p>
      <w:pPr>
        <w:pStyle w:val="Heading5"/>
      </w:pPr>
      <w:r>
        <w:t xml:space="preserve">PAGE BREAK</w:t>
      </w:r>
    </w:p>
    <w:p>
      <w:pPr>
        <w:pStyle w:val="CaptionedFigure"/>
      </w:pPr>
      <w:r>
        <w:drawing>
          <wp:inline>
            <wp:extent cx="5969000" cy="5415235"/>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46"/>
                    <a:stretch>
                      <a:fillRect/>
                    </a:stretch>
                  </pic:blipFill>
                  <pic:spPr bwMode="auto">
                    <a:xfrm>
                      <a:off x="0" y="0"/>
                      <a:ext cx="5969000" cy="5415235"/>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TODO: This figure is a screenshot from a PDF. Can we have the original figure file with high resolu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47"/>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r>
        <w:rPr>
          <w:bCs/>
          <w:b/>
        </w:rPr>
        <w:t xml:space="preserve">TODO: This figure is a screenshot from a PDF. Can we have the original figure file with high resolution?</w:t>
      </w:r>
    </w:p>
    <w:bookmarkEnd w:id="48"/>
    <w:bookmarkStart w:id="50" w:name="page-break-4"/>
    <w:p>
      <w:pPr>
        <w:pStyle w:val="Heading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data set (right panel)." title="" id="1" name="Picture"/>
            <a:graphic>
              <a:graphicData uri="http://schemas.openxmlformats.org/drawingml/2006/picture">
                <pic:pic>
                  <pic:nvPicPr>
                    <pic:cNvPr descr="../graphs/roc.png" id="0" name="Picture"/>
                    <pic:cNvPicPr>
                      <a:picLocks noChangeArrowheads="1" noChangeAspect="1"/>
                    </pic:cNvPicPr>
                  </pic:nvPicPr>
                  <pic:blipFill>
                    <a:blip r:embed="rId49"/>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data set (right panel).</w:t>
      </w:r>
    </w:p>
    <w:bookmarkEnd w:id="50"/>
    <w:bookmarkStart w:id="52" w:name="page-break-5"/>
    <w:p>
      <w:pPr>
        <w:pStyle w:val="Heading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51"/>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w:t>
      </w:r>
    </w:p>
    <w:bookmarkEnd w:id="52"/>
    <w:bookmarkStart w:id="54" w:name="page-break-6"/>
    <w:p>
      <w:pPr>
        <w:pStyle w:val="Heading5"/>
      </w:pPr>
      <w:r>
        <w:t xml:space="preserve">PAGE BREAK</w:t>
      </w:r>
    </w:p>
    <w:p>
      <w:pPr>
        <w:pStyle w:val="CaptionedFigure"/>
      </w:pPr>
      <w:r>
        <w:drawing>
          <wp:inline>
            <wp:extent cx="5969000" cy="2984500"/>
            <wp:effectExtent b="0" l="0" r="0" t="0"/>
            <wp:docPr descr="Figure 5: Separation between patients with and without PJI within 90 days versus their predicted probabilities of this event. Most patients did not have PJI, wherefore the blue bars dominate the histogram (left panel; note the scales). A normalized density plot reveals, however, that patients with PJI had, on average, higher predicted probabilities for this adverse event (right panel)." title="" id="1" name="Picture"/>
            <a:graphic>
              <a:graphicData uri="http://schemas.openxmlformats.org/drawingml/2006/picture">
                <pic:pic>
                  <pic:nvPicPr>
                    <pic:cNvPr descr="../graphs/separation.png" id="0"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Separation between patients with and without PJI within 90 days versus their predicted probabilities of this event. Most patients did not have PJI, wherefore the blue bars dominate the histogram (left panel; note the scales). A normalized density plot reveals, however, that patients with PJI had, on average, higher predicted probabilities for this adverse event (right panel).</w:t>
      </w:r>
    </w:p>
    <w:bookmarkEnd w:id="54"/>
    <w:bookmarkStart w:id="57" w:name="page-break-7"/>
    <w:p>
      <w:pPr>
        <w:pStyle w:val="Heading5"/>
      </w:pPr>
      <w:r>
        <w:t xml:space="preserve">PAGE BREAK</w:t>
      </w:r>
    </w:p>
    <w:p>
      <w:pPr>
        <w:pStyle w:val="CaptionedFigure"/>
      </w:pPr>
      <w:r>
        <w:drawing>
          <wp:inline>
            <wp:extent cx="3611727" cy="3611727"/>
            <wp:effectExtent b="0" l="0" r="0" t="0"/>
            <wp:docPr descr="Figure 6: This figure illustrates internal calibration of the reduced model, used in the Swedish cohort. Predicted probabilities are similar to observed proportions, as indicated by close proximity of the grey 95 % confidence band to the diagonal line, which indicates perfect calibration. Proportions of PJI above 10 % were rarely observed and therefore omitted." title="" id="1" name="Picture"/>
            <a:graphic>
              <a:graphicData uri="http://schemas.openxmlformats.org/drawingml/2006/picture">
                <pic:pic>
                  <pic:nvPicPr>
                    <pic:cNvPr descr="../graphs/calibration.png" id="0" name="Picture"/>
                    <pic:cNvPicPr>
                      <a:picLocks noChangeArrowheads="1" noChangeAspect="1"/>
                    </pic:cNvPicPr>
                  </pic:nvPicPr>
                  <pic:blipFill>
                    <a:blip r:embed="rId55"/>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This figure illustrates internal calibration of the reduced model, used in the Swedish cohort. Predicted probabilities are similar to observed proportions, as indicated by close proximity of the grey 95 % confidence band to the diagonal line, which indicates perfect calibration. Proportions of PJI above 10 % were rarely observed and therefore omitted.</w:t>
      </w:r>
    </w:p>
    <w:p>
      <w:pPr>
        <w:pStyle w:val="CaptionedFigure"/>
      </w:pPr>
      <w:r>
        <w:drawing>
          <wp:inline>
            <wp:extent cx="3810000" cy="2540000"/>
            <wp:effectExtent b="0" l="0" r="0" t="0"/>
            <wp:docPr descr="Figure 7: This figure illustrates external calibration of the reduced model, with Swedish coefficient values, used in the Danish cohort. Predicted probabilities are similar to observed proportions. TODO: Could EB get an export of the R-object to adapt the graphical presentation?" title="" id="1" name="Picture"/>
            <a:graphic>
              <a:graphicData uri="http://schemas.openxmlformats.org/drawingml/2006/picture">
                <pic:pic>
                  <pic:nvPicPr>
                    <pic:cNvPr descr="../validation/calibration.tif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This figure illustrates external calibration of the reduced model, with Swedish coefficient values, used in the Danish cohort. Predicted probabilities are similar to observed proportions.</w:t>
      </w:r>
      <w:r>
        <w:t xml:space="preserve"> </w:t>
      </w:r>
      <w:r>
        <w:rPr>
          <w:bCs/>
          <w:b/>
        </w:rPr>
        <w:t xml:space="preserve">TODO: Could EB get an export of the R-object to adapt the graphical presentation?</w:t>
      </w:r>
    </w:p>
    <w:bookmarkEnd w:id="57"/>
    <w:bookmarkStart w:id="58" w:name="page-break-8"/>
    <w:p>
      <w:pPr>
        <w:pStyle w:val="Heading5"/>
      </w:pPr>
      <w:r>
        <w:t xml:space="preserve">PAGE BREAK</w:t>
      </w:r>
    </w:p>
    <w:p>
      <w:pPr>
        <w:pStyle w:val="TableCaption"/>
      </w:pPr>
      <w:r>
        <w:t xml:space="preserve">Table 1: Categorization of comorbidities from the Charlson, Elixhauser and Rx Risk V comorbidities. (CNS = central nervous system.)</w:t>
      </w:r>
    </w:p>
    <w:tbl>
      <w:tblPr>
        <w:tblStyle w:val="Table"/>
        <w:tblW w:type="pct" w:w="5000.0"/>
        <w:tblLook w:firstRow="1" w:lastRow="0" w:firstColumn="0" w:lastColumn="0" w:noHBand="0" w:noVBand="0" w:val="0020"/>
        <w:tblCaption w:val="Table 1: Categorization of comorbidities from the Charlson, Elixhauser and Rx Risk V comorbidities. (CNS = central nervous system.)"/>
      </w:tblPr>
      <w:tblGrid>
        <w:gridCol w:w="1540"/>
        <w:gridCol w:w="2915"/>
        <w:gridCol w:w="3465"/>
      </w:tblGrid>
      <w:tr>
        <w:tc>
          <w:p>
            <w:pPr>
              <w:pStyle w:val="Compact"/>
              <w:jc w:val="left"/>
            </w:pPr>
            <w:r>
              <w:t xml:space="preserve">Comorbidities by groups</w:t>
            </w:r>
          </w:p>
        </w:tc>
        <w:tc>
          <w:p>
            <w:pPr>
              <w:pStyle w:val="Compact"/>
              <w:jc w:val="left"/>
            </w:pPr>
            <w:r>
              <w:t xml:space="preserve">Charlson</w:t>
            </w:r>
          </w:p>
        </w:tc>
        <w:tc>
          <w:p>
            <w:pPr>
              <w:pStyle w:val="Compact"/>
              <w:jc w:val="left"/>
            </w:pPr>
            <w:r>
              <w:t xml:space="preserve">Elixhauser</w:t>
            </w:r>
          </w:p>
        </w:tc>
      </w:tr>
      <w:tr>
        <w:tc>
          <w:p>
            <w:pPr>
              <w:pStyle w:val="Compact"/>
              <w:jc w:val="left"/>
            </w:pPr>
            <w:r>
              <w:t xml:space="preserve">AIDS/HIV</w:t>
            </w:r>
          </w:p>
        </w:tc>
        <w:tc>
          <w:p>
            <w:pPr>
              <w:pStyle w:val="Compact"/>
              <w:jc w:val="left"/>
            </w:pPr>
            <w:r>
              <w:t xml:space="preserve">Aids/hiv</w:t>
            </w:r>
          </w:p>
        </w:tc>
        <w:tc>
          <w:p>
            <w:pPr>
              <w:pStyle w:val="Compact"/>
              <w:jc w:val="left"/>
            </w:pPr>
            <w:r>
              <w:t xml:space="preserve">Aids/hiv</w:t>
            </w:r>
          </w:p>
        </w:tc>
      </w:tr>
      <w:tr>
        <w:tc>
          <w:p>
            <w:pPr>
              <w:pStyle w:val="Compact"/>
              <w:jc w:val="left"/>
            </w:pPr>
            <w:r>
              <w:t xml:space="preserve">Anemia</w:t>
            </w:r>
          </w:p>
        </w:tc>
        <w:tc>
          <w:p/>
        </w:tc>
        <w:tc>
          <w:p>
            <w:pPr>
              <w:pStyle w:val="Compact"/>
              <w:jc w:val="left"/>
            </w:pPr>
            <w:r>
              <w:t xml:space="preserve">Blood loss anemia, Deficiency anemia</w:t>
            </w:r>
          </w:p>
        </w:tc>
      </w:tr>
      <w:tr>
        <w:tc>
          <w:p>
            <w:pPr>
              <w:pStyle w:val="Compact"/>
              <w:jc w:val="left"/>
            </w:pPr>
            <w:r>
              <w:t xml:space="preserve">Arrhythmia</w:t>
            </w:r>
          </w:p>
        </w:tc>
        <w:tc>
          <w:p/>
        </w:tc>
        <w:tc>
          <w:p>
            <w:pPr>
              <w:pStyle w:val="Compact"/>
              <w:jc w:val="left"/>
            </w:pPr>
            <w:r>
              <w:t xml:space="preserve">Cardiac arrhythmias</w:t>
            </w:r>
          </w:p>
        </w:tc>
      </w:tr>
      <w:tr>
        <w:tc>
          <w:p>
            <w:pPr>
              <w:pStyle w:val="Compact"/>
              <w:jc w:val="left"/>
            </w:pPr>
            <w:r>
              <w:t xml:space="preserve">Arterial hypertension</w:t>
            </w:r>
          </w:p>
        </w:tc>
        <w:tc>
          <w:p/>
        </w:tc>
        <w:tc>
          <w:p>
            <w:pPr>
              <w:pStyle w:val="Compact"/>
              <w:jc w:val="left"/>
            </w:pPr>
            <w:r>
              <w:t xml:space="preserve">Hypertension uncomplicated, Hypertension complicated</w:t>
            </w:r>
          </w:p>
        </w:tc>
      </w:tr>
      <w:tr>
        <w:tc>
          <w:p>
            <w:pPr>
              <w:pStyle w:val="Compact"/>
              <w:jc w:val="left"/>
            </w:pPr>
            <w:r>
              <w:t xml:space="preserve">Cancer</w:t>
            </w:r>
          </w:p>
        </w:tc>
        <w:tc>
          <w:p>
            <w:pPr>
              <w:pStyle w:val="Compact"/>
              <w:jc w:val="left"/>
            </w:pPr>
            <w:r>
              <w:t xml:space="preserve">Malignancy, Metastatic solid tumor</w:t>
            </w:r>
          </w:p>
        </w:tc>
        <w:tc>
          <w:p>
            <w:pPr>
              <w:pStyle w:val="Compact"/>
              <w:jc w:val="left"/>
            </w:pPr>
            <w:r>
              <w:t xml:space="preserve">Lymphoma, Metastatic cancer, Solid tumor</w:t>
            </w:r>
          </w:p>
        </w:tc>
      </w:tr>
      <w:tr>
        <w:tc>
          <w:p>
            <w:pPr>
              <w:pStyle w:val="Compact"/>
              <w:jc w:val="left"/>
            </w:pPr>
            <w:r>
              <w:t xml:space="preserve">CNS disease</w:t>
            </w:r>
          </w:p>
        </w:tc>
        <w:tc>
          <w:p>
            <w:pPr>
              <w:pStyle w:val="Compact"/>
              <w:jc w:val="left"/>
            </w:pPr>
            <w:r>
              <w:t xml:space="preserve">Dementia, Hemiplegia or paraplegia</w:t>
            </w:r>
          </w:p>
        </w:tc>
        <w:tc>
          <w:p>
            <w:pPr>
              <w:pStyle w:val="Compact"/>
              <w:jc w:val="left"/>
            </w:pPr>
            <w:r>
              <w:t xml:space="preserve">Depression, Paralysis, Other neurological disorders, Psychoses</w:t>
            </w:r>
          </w:p>
        </w:tc>
      </w:tr>
      <w:tr>
        <w:tc>
          <w:p>
            <w:pPr>
              <w:pStyle w:val="Compact"/>
              <w:jc w:val="left"/>
            </w:pPr>
            <w:r>
              <w:t xml:space="preserve">Coagulopathy</w:t>
            </w:r>
          </w:p>
        </w:tc>
        <w:tc>
          <w:p/>
        </w:tc>
        <w:tc>
          <w:p>
            <w:pPr>
              <w:pStyle w:val="Compact"/>
              <w:jc w:val="left"/>
            </w:pPr>
            <w:r>
              <w:t xml:space="preserve">Coagulopathy</w:t>
            </w:r>
          </w:p>
        </w:tc>
      </w:tr>
      <w:tr>
        <w:tc>
          <w:p>
            <w:pPr>
              <w:pStyle w:val="Compact"/>
              <w:jc w:val="left"/>
            </w:pPr>
            <w:r>
              <w:t xml:space="preserve">Diabetes</w:t>
            </w:r>
          </w:p>
        </w:tc>
        <w:tc>
          <w:p>
            <w:pPr>
              <w:pStyle w:val="Compact"/>
              <w:jc w:val="left"/>
            </w:pPr>
            <w:r>
              <w:t xml:space="preserve">Diabetes without complication, Diabetes complication</w:t>
            </w:r>
          </w:p>
        </w:tc>
        <w:tc>
          <w:p>
            <w:pPr>
              <w:pStyle w:val="Compact"/>
              <w:jc w:val="left"/>
            </w:pPr>
            <w:r>
              <w:t xml:space="preserve">Diabetes uncomplicated, Diabetes complicated</w:t>
            </w:r>
          </w:p>
        </w:tc>
      </w:tr>
      <w:tr>
        <w:tc>
          <w:p>
            <w:pPr>
              <w:pStyle w:val="Compact"/>
              <w:jc w:val="left"/>
            </w:pPr>
            <w:r>
              <w:t xml:space="preserve">Drug alcohol abuse</w:t>
            </w:r>
          </w:p>
        </w:tc>
        <w:tc>
          <w:p/>
        </w:tc>
        <w:tc>
          <w:p>
            <w:pPr>
              <w:pStyle w:val="Compact"/>
              <w:jc w:val="left"/>
            </w:pPr>
            <w:r>
              <w:t xml:space="preserve">Alcohol abuse, Drug abuse</w:t>
            </w:r>
          </w:p>
        </w:tc>
      </w:tr>
      <w:tr>
        <w:tc>
          <w:p>
            <w:pPr>
              <w:pStyle w:val="Compact"/>
              <w:jc w:val="left"/>
            </w:pPr>
            <w:r>
              <w:t xml:space="preserve">Fluid electrolyte disorders</w:t>
            </w:r>
          </w:p>
        </w:tc>
        <w:tc>
          <w:p/>
        </w:tc>
        <w:tc>
          <w:p>
            <w:pPr>
              <w:pStyle w:val="Compact"/>
              <w:jc w:val="left"/>
            </w:pPr>
            <w:r>
              <w:t xml:space="preserve">Fluid electrolyte disorders</w:t>
            </w:r>
          </w:p>
        </w:tc>
      </w:tr>
      <w:tr>
        <w:tc>
          <w:p>
            <w:pPr>
              <w:pStyle w:val="Compact"/>
              <w:jc w:val="left"/>
            </w:pPr>
            <w:r>
              <w:t xml:space="preserve">Heart condition</w:t>
            </w:r>
          </w:p>
        </w:tc>
        <w:tc>
          <w:p>
            <w:pPr>
              <w:pStyle w:val="Compact"/>
              <w:jc w:val="left"/>
            </w:pPr>
            <w:r>
              <w:t xml:space="preserve">Congestive heart failure</w:t>
            </w:r>
          </w:p>
        </w:tc>
        <w:tc>
          <w:p>
            <w:pPr>
              <w:pStyle w:val="Compact"/>
              <w:jc w:val="left"/>
            </w:pPr>
            <w:r>
              <w:t xml:space="preserve">Congestive heart failure, Valvular disease</w:t>
            </w:r>
          </w:p>
        </w:tc>
      </w:tr>
      <w:tr>
        <w:tc>
          <w:p>
            <w:pPr>
              <w:pStyle w:val="Compact"/>
              <w:jc w:val="left"/>
            </w:pPr>
            <w:r>
              <w:t xml:space="preserve">Myocardial infarction</w:t>
            </w:r>
          </w:p>
        </w:tc>
        <w:tc>
          <w:p>
            <w:pPr>
              <w:pStyle w:val="Compact"/>
              <w:jc w:val="left"/>
            </w:pPr>
            <w:r>
              <w:t xml:space="preserve">Myocardial infarction</w:t>
            </w:r>
          </w:p>
        </w:tc>
        <w:tc>
          <w:p/>
        </w:tc>
      </w:tr>
      <w:tr>
        <w:tc>
          <w:p>
            <w:pPr>
              <w:pStyle w:val="Compact"/>
              <w:jc w:val="left"/>
            </w:pPr>
            <w:r>
              <w:t xml:space="preserve">Hypothyroidism</w:t>
            </w:r>
          </w:p>
        </w:tc>
        <w:tc>
          <w:p/>
        </w:tc>
        <w:tc>
          <w:p>
            <w:pPr>
              <w:pStyle w:val="Compact"/>
              <w:jc w:val="left"/>
            </w:pPr>
            <w:r>
              <w:t xml:space="preserve">Hypothyroidism</w:t>
            </w:r>
          </w:p>
        </w:tc>
      </w:tr>
      <w:tr>
        <w:tc>
          <w:p>
            <w:pPr>
              <w:pStyle w:val="Compact"/>
              <w:jc w:val="left"/>
            </w:pPr>
            <w:r>
              <w:t xml:space="preserve">Kidney disease</w:t>
            </w:r>
          </w:p>
        </w:tc>
        <w:tc>
          <w:p>
            <w:pPr>
              <w:pStyle w:val="Compact"/>
              <w:jc w:val="left"/>
            </w:pPr>
            <w:r>
              <w:t xml:space="preserve">Renal disease</w:t>
            </w:r>
          </w:p>
        </w:tc>
        <w:tc>
          <w:p>
            <w:pPr>
              <w:pStyle w:val="Compact"/>
              <w:jc w:val="left"/>
            </w:pPr>
            <w:r>
              <w:t xml:space="preserve">Renal failure</w:t>
            </w:r>
          </w:p>
        </w:tc>
      </w:tr>
      <w:tr>
        <w:tc>
          <w:p>
            <w:pPr>
              <w:pStyle w:val="Compact"/>
              <w:jc w:val="left"/>
            </w:pPr>
            <w:r>
              <w:t xml:space="preserve">Liver disease</w:t>
            </w:r>
          </w:p>
        </w:tc>
        <w:tc>
          <w:p>
            <w:pPr>
              <w:pStyle w:val="Compact"/>
              <w:jc w:val="left"/>
            </w:pPr>
            <w:r>
              <w:t xml:space="preserve">Mild liver disease, Moderate or severe liver disease</w:t>
            </w:r>
          </w:p>
        </w:tc>
        <w:tc>
          <w:p>
            <w:pPr>
              <w:pStyle w:val="Compact"/>
              <w:jc w:val="left"/>
            </w:pPr>
            <w:r>
              <w:t xml:space="preserve">Liver disease</w:t>
            </w:r>
          </w:p>
        </w:tc>
      </w:tr>
      <w:tr>
        <w:tc>
          <w:p>
            <w:pPr>
              <w:pStyle w:val="Compact"/>
              <w:jc w:val="left"/>
            </w:pPr>
            <w:r>
              <w:t xml:space="preserve">Lung airways disease</w:t>
            </w:r>
          </w:p>
        </w:tc>
        <w:tc>
          <w:p>
            <w:pPr>
              <w:pStyle w:val="Compact"/>
              <w:jc w:val="left"/>
            </w:pPr>
            <w:r>
              <w:t xml:space="preserve">Chronic pulmonary disease</w:t>
            </w:r>
          </w:p>
        </w:tc>
        <w:tc>
          <w:p>
            <w:pPr>
              <w:pStyle w:val="Compact"/>
              <w:jc w:val="left"/>
            </w:pPr>
            <w:r>
              <w:t xml:space="preserve">Chronic pulmonary disease, Pulmonary circulation disorder</w:t>
            </w:r>
          </w:p>
        </w:tc>
      </w:tr>
      <w:tr>
        <w:tc>
          <w:p>
            <w:pPr>
              <w:pStyle w:val="Compact"/>
              <w:jc w:val="left"/>
            </w:pPr>
            <w:r>
              <w:t xml:space="preserve">Obesity</w:t>
            </w:r>
          </w:p>
        </w:tc>
        <w:tc>
          <w:p/>
        </w:tc>
        <w:tc>
          <w:p>
            <w:pPr>
              <w:pStyle w:val="Compact"/>
              <w:jc w:val="left"/>
            </w:pPr>
            <w:r>
              <w:t xml:space="preserve">Obesity</w:t>
            </w:r>
          </w:p>
        </w:tc>
      </w:tr>
      <w:tr>
        <w:tc>
          <w:p>
            <w:pPr>
              <w:pStyle w:val="Compact"/>
              <w:jc w:val="left"/>
            </w:pPr>
            <w:r>
              <w:t xml:space="preserve">Peptic ulcer</w:t>
            </w:r>
          </w:p>
        </w:tc>
        <w:tc>
          <w:p>
            <w:pPr>
              <w:pStyle w:val="Compact"/>
              <w:jc w:val="left"/>
            </w:pPr>
            <w:r>
              <w:t xml:space="preserve">Peptic ulcer disease</w:t>
            </w:r>
          </w:p>
        </w:tc>
        <w:tc>
          <w:p>
            <w:pPr>
              <w:pStyle w:val="Compact"/>
              <w:jc w:val="left"/>
            </w:pPr>
            <w:r>
              <w:t xml:space="preserve">Peptic ulcer disease</w:t>
            </w:r>
          </w:p>
        </w:tc>
      </w:tr>
      <w:tr>
        <w:tc>
          <w:p>
            <w:pPr>
              <w:pStyle w:val="Compact"/>
              <w:jc w:val="left"/>
            </w:pPr>
            <w:r>
              <w:t xml:space="preserve">Rheumatic disease</w:t>
            </w:r>
          </w:p>
        </w:tc>
        <w:tc>
          <w:p>
            <w:pPr>
              <w:pStyle w:val="Compact"/>
              <w:jc w:val="left"/>
            </w:pPr>
            <w:r>
              <w:t xml:space="preserve">Rheumatic disease</w:t>
            </w:r>
          </w:p>
        </w:tc>
        <w:tc>
          <w:p>
            <w:pPr>
              <w:pStyle w:val="Compact"/>
              <w:jc w:val="left"/>
            </w:pPr>
            <w:r>
              <w:t xml:space="preserve">Rheumatoid arthritis</w:t>
            </w:r>
          </w:p>
        </w:tc>
      </w:tr>
      <w:tr>
        <w:tc>
          <w:p>
            <w:pPr>
              <w:pStyle w:val="Compact"/>
              <w:jc w:val="left"/>
            </w:pPr>
            <w:r>
              <w:t xml:space="preserve">Vascular disease</w:t>
            </w:r>
          </w:p>
        </w:tc>
        <w:tc>
          <w:p>
            <w:pPr>
              <w:pStyle w:val="Compact"/>
              <w:jc w:val="left"/>
            </w:pPr>
            <w:r>
              <w:t xml:space="preserve">Peripheral vascular disease, Cerebrovascular disease</w:t>
            </w:r>
          </w:p>
        </w:tc>
        <w:tc>
          <w:p>
            <w:pPr>
              <w:pStyle w:val="Compact"/>
              <w:jc w:val="left"/>
            </w:pPr>
            <w:r>
              <w:t xml:space="preserve">Peripheral vascular disorder</w:t>
            </w:r>
          </w:p>
        </w:tc>
      </w:tr>
      <w:tr>
        <w:tc>
          <w:p>
            <w:pPr>
              <w:pStyle w:val="Compact"/>
              <w:jc w:val="left"/>
            </w:pPr>
            <w:r>
              <w:t xml:space="preserve">Weight loss</w:t>
            </w:r>
          </w:p>
        </w:tc>
        <w:tc>
          <w:p/>
        </w:tc>
        <w:tc>
          <w:p>
            <w:pPr>
              <w:pStyle w:val="Compact"/>
              <w:jc w:val="left"/>
            </w:pPr>
            <w:r>
              <w:t xml:space="preserve">Weight loss</w:t>
            </w:r>
          </w:p>
        </w:tc>
      </w:tr>
    </w:tbl>
    <w:bookmarkEnd w:id="58"/>
    <w:bookmarkStart w:id="59" w:name="page-break-9"/>
    <w:p>
      <w:pPr>
        <w:pStyle w:val="Heading5"/>
      </w:pPr>
      <w:r>
        <w:t xml:space="preserve">PAGE BREAK</w:t>
      </w:r>
    </w:p>
    <w:p>
      <w:pPr>
        <w:pStyle w:val="TableCaption"/>
      </w:pPr>
      <w:r>
        <w:t xml:space="preserve">Table 2: Codes identifying PJI if recorded in the national patient register within 90 days after THA.</w:t>
      </w:r>
    </w:p>
    <w:tbl>
      <w:tblPr>
        <w:tblStyle w:val="Table"/>
        <w:tblW w:type="pct" w:w="5000.0"/>
        <w:tblLook w:firstRow="1" w:lastRow="0" w:firstColumn="0" w:lastColumn="0" w:noHBand="0" w:noVBand="0" w:val="0020"/>
        <w:tblCaption w:val="Table 2: Codes identifying PJI if recorded in the national patient register within 90 days after THA."/>
      </w:tblPr>
      <w:tblGrid>
        <w:gridCol w:w="860"/>
        <w:gridCol w:w="7059"/>
      </w:tblGrid>
      <w:tr>
        <w:tc>
          <w:p>
            <w:pPr>
              <w:pStyle w:val="Compact"/>
              <w:jc w:val="left"/>
            </w:pPr>
            <w:r>
              <w:t xml:space="preserve">classification</w:t>
            </w:r>
          </w:p>
        </w:tc>
        <w:tc>
          <w:p>
            <w:pPr>
              <w:pStyle w:val="Compact"/>
              <w:jc w:val="left"/>
            </w:pPr>
            <w:r>
              <w:t xml:space="preserve">codes</w:t>
            </w:r>
          </w:p>
        </w:tc>
      </w:tr>
      <w:tr>
        <w:tc>
          <w:p>
            <w:pPr>
              <w:pStyle w:val="Compact"/>
              <w:jc w:val="left"/>
            </w:pPr>
            <w:r>
              <w:t xml:space="preserve">ICD-10</w:t>
            </w:r>
          </w:p>
        </w:tc>
        <w:tc>
          <w:p>
            <w:pPr>
              <w:pStyle w:val="Compact"/>
              <w:jc w:val="left"/>
            </w:pPr>
            <w:r>
              <w:t xml:space="preserve">M000, M000F, M001, M002, M002F, M008, M008F, M009, M009F, M860F, M861F, M866, M866F, T814, T845, T845F, T845X, T847, T847F</w:t>
            </w:r>
          </w:p>
        </w:tc>
      </w:tr>
      <w:tr>
        <w:tc>
          <w:p>
            <w:pPr>
              <w:pStyle w:val="Compact"/>
              <w:jc w:val="left"/>
            </w:pPr>
            <w:r>
              <w:t xml:space="preserve">NOMESCO</w:t>
            </w:r>
          </w:p>
        </w:tc>
        <w:tc>
          <w:p>
            <w:pPr>
              <w:pStyle w:val="Compact"/>
              <w:jc w:val="left"/>
            </w:pPr>
            <w:r>
              <w:t xml:space="preserve">NFS09, NFS19, NFS29, NFS39, NFS49, NFS59, NFS99</w:t>
            </w:r>
          </w:p>
        </w:tc>
      </w:tr>
    </w:tbl>
    <w:bookmarkEnd w:id="59"/>
    <w:bookmarkStart w:id="60" w:name="page-break-10"/>
    <w:p>
      <w:pPr>
        <w:pStyle w:val="Heading5"/>
      </w:pPr>
      <w:r>
        <w:t xml:space="preserve">PAGE BREAK</w:t>
      </w:r>
    </w:p>
    <w:p>
      <w:pPr>
        <w:pStyle w:val="TableCaption"/>
      </w:pPr>
      <w:r>
        <w:t xml:space="preserve">Table 3: Patient characteristics in the model derivation cohort. Educational levels were classified as low (up to 9 years), middle (10-12 years) and high (at least 12 years). BMI = Body mass index. ASA class = American Society for Anaesthesiologists classification. CNS = central nervous system.</w:t>
      </w:r>
    </w:p>
    <w:tbl>
      <w:tblPr>
        <w:tblStyle w:val="Table"/>
        <w:tblW w:type="pct" w:w="5000.0"/>
        <w:tblLook w:firstRow="1" w:lastRow="0" w:firstColumn="0" w:lastColumn="0" w:noHBand="0" w:noVBand="0" w:val="0020"/>
        <w:tblCaption w:val="Table 3: Patient characteristics in the model derivation cohort. Educational levels were classified as low (up to 9 years), middle (10-12 years) and high (at least 12 years). BMI = Body mass index. ASA class = American Society for Anaesthesiologists classification. CNS = central nervous system."/>
      </w:tblPr>
      <w:tblGrid>
        <w:gridCol w:w="1468"/>
        <w:gridCol w:w="2360"/>
        <w:gridCol w:w="681"/>
        <w:gridCol w:w="734"/>
        <w:gridCol w:w="734"/>
        <w:gridCol w:w="576"/>
        <w:gridCol w:w="681"/>
        <w:gridCol w:w="681"/>
      </w:tblGrid>
      <w:tr>
        <w:tc>
          <w:p>
            <w:pPr>
              <w:pStyle w:val="Compact"/>
              <w:jc w:val="left"/>
            </w:pPr>
            <w:r>
              <w:t xml:space="preserve">what</w:t>
            </w:r>
          </w:p>
        </w:tc>
        <w:tc>
          <w:p>
            <w:pPr>
              <w:pStyle w:val="Compact"/>
              <w:jc w:val="left"/>
            </w:pPr>
            <w:r>
              <w:t xml:space="preserve">level</w:t>
            </w:r>
          </w:p>
        </w:tc>
        <w:tc>
          <w:p>
            <w:pPr>
              <w:pStyle w:val="Compact"/>
              <w:jc w:val="left"/>
            </w:pPr>
            <w:r>
              <w:t xml:space="preserve">SE PJI</w:t>
            </w:r>
          </w:p>
        </w:tc>
        <w:tc>
          <w:p>
            <w:pPr>
              <w:pStyle w:val="Compact"/>
              <w:jc w:val="left"/>
            </w:pPr>
            <w:r>
              <w:t xml:space="preserve">SE No PJI</w:t>
            </w:r>
          </w:p>
        </w:tc>
        <w:tc>
          <w:p>
            <w:pPr>
              <w:pStyle w:val="Compact"/>
              <w:jc w:val="left"/>
            </w:pPr>
            <w:r>
              <w:t xml:space="preserve">SE Total</w:t>
            </w:r>
          </w:p>
        </w:tc>
        <w:tc>
          <w:p>
            <w:pPr>
              <w:pStyle w:val="Compact"/>
              <w:jc w:val="left"/>
            </w:pPr>
            <w:r>
              <w:t xml:space="preserve">DK PJI</w:t>
            </w:r>
          </w:p>
        </w:tc>
        <w:tc>
          <w:p>
            <w:pPr>
              <w:pStyle w:val="Compact"/>
              <w:jc w:val="left"/>
            </w:pPr>
            <w:r>
              <w:t xml:space="preserve">DK No PJI</w:t>
            </w:r>
          </w:p>
        </w:tc>
        <w:tc>
          <w:p>
            <w:pPr>
              <w:pStyle w:val="Compact"/>
              <w:jc w:val="left"/>
            </w:pPr>
            <w:r>
              <w:t xml:space="preserve">DK Total</w:t>
            </w:r>
          </w:p>
        </w:tc>
      </w:tr>
      <w:tr>
        <w:tc>
          <w:p>
            <w:pPr>
              <w:pStyle w:val="Compact"/>
              <w:jc w:val="left"/>
            </w:pPr>
            <w:r>
              <w:t xml:space="preserve">Total</w:t>
            </w:r>
          </w:p>
        </w:tc>
        <w:tc>
          <w:p/>
        </w:tc>
        <w:tc>
          <w:p>
            <w:pPr>
              <w:pStyle w:val="Compact"/>
              <w:jc w:val="left"/>
            </w:pPr>
            <w:r>
              <w:t xml:space="preserve">2173</w:t>
            </w:r>
          </w:p>
        </w:tc>
        <w:tc>
          <w:p>
            <w:pPr>
              <w:pStyle w:val="Compact"/>
              <w:jc w:val="left"/>
            </w:pPr>
            <w:r>
              <w:t xml:space="preserve">86657</w:t>
            </w:r>
          </w:p>
        </w:tc>
        <w:tc>
          <w:p>
            <w:pPr>
              <w:pStyle w:val="Compact"/>
              <w:jc w:val="left"/>
            </w:pPr>
            <w:r>
              <w:t xml:space="preserve">88830</w:t>
            </w:r>
          </w:p>
        </w:tc>
        <w:tc>
          <w:p>
            <w:pPr>
              <w:pStyle w:val="Compact"/>
              <w:jc w:val="left"/>
            </w:pPr>
            <w:r>
              <w:t xml:space="preserve">410</w:t>
            </w:r>
          </w:p>
        </w:tc>
        <w:tc>
          <w:p>
            <w:pPr>
              <w:pStyle w:val="Compact"/>
              <w:jc w:val="left"/>
            </w:pPr>
            <w:r>
              <w:t xml:space="preserve">18444</w:t>
            </w:r>
          </w:p>
        </w:tc>
        <w:tc>
          <w:p>
            <w:pPr>
              <w:pStyle w:val="Compact"/>
              <w:jc w:val="left"/>
            </w:pPr>
            <w:r>
              <w:t xml:space="preserve">18854</w:t>
            </w:r>
          </w:p>
        </w:tc>
      </w:tr>
      <w:tr>
        <w:tc>
          <w:p>
            <w:pPr>
              <w:pStyle w:val="Compact"/>
              <w:jc w:val="left"/>
            </w:pPr>
            <w:r>
              <w:t xml:space="preserve">Age</w:t>
            </w:r>
          </w:p>
        </w:tc>
        <w:tc>
          <w:p>
            <w:pPr>
              <w:pStyle w:val="Compact"/>
              <w:jc w:val="left"/>
            </w:pPr>
            <w:r>
              <w:t xml:space="preserve">&lt;50</w:t>
            </w:r>
          </w:p>
        </w:tc>
        <w:tc>
          <w:p>
            <w:pPr>
              <w:pStyle w:val="Compact"/>
              <w:jc w:val="left"/>
            </w:pPr>
            <w:r>
              <w:t xml:space="preserve">104 ( 4.8)</w:t>
            </w:r>
          </w:p>
        </w:tc>
        <w:tc>
          <w:p>
            <w:pPr>
              <w:pStyle w:val="Compact"/>
              <w:jc w:val="left"/>
            </w:pPr>
            <w:r>
              <w:t xml:space="preserve">4541 ( 5.2)</w:t>
            </w:r>
          </w:p>
        </w:tc>
        <w:tc>
          <w:p>
            <w:pPr>
              <w:pStyle w:val="Compact"/>
              <w:jc w:val="left"/>
            </w:pPr>
            <w:r>
              <w:t xml:space="preserve">4645 ( 5.2)</w:t>
            </w:r>
          </w:p>
        </w:tc>
        <w:tc>
          <w:p>
            <w:pPr>
              <w:pStyle w:val="Compact"/>
              <w:jc w:val="left"/>
            </w:pPr>
            <w:r>
              <w:t xml:space="preserve">9 (2.2)</w:t>
            </w:r>
          </w:p>
        </w:tc>
        <w:tc>
          <w:p>
            <w:pPr>
              <w:pStyle w:val="Compact"/>
              <w:jc w:val="left"/>
            </w:pPr>
            <w:r>
              <w:t xml:space="preserve">871 (4.7)</w:t>
            </w:r>
          </w:p>
        </w:tc>
        <w:tc>
          <w:p>
            <w:pPr>
              <w:pStyle w:val="Compact"/>
              <w:jc w:val="left"/>
            </w:pPr>
            <w:r>
              <w:t xml:space="preserve">880 (4.7)</w:t>
            </w:r>
          </w:p>
        </w:tc>
      </w:tr>
      <w:tr>
        <w:tc>
          <w:p/>
        </w:tc>
        <w:tc>
          <w:p>
            <w:pPr>
              <w:pStyle w:val="Compact"/>
              <w:jc w:val="left"/>
            </w:pPr>
            <w:r>
              <w:t xml:space="preserve">50-&lt;60</w:t>
            </w:r>
          </w:p>
        </w:tc>
        <w:tc>
          <w:p>
            <w:pPr>
              <w:pStyle w:val="Compact"/>
              <w:jc w:val="left"/>
            </w:pPr>
            <w:r>
              <w:t xml:space="preserve">231 ( 10.6)</w:t>
            </w:r>
          </w:p>
        </w:tc>
        <w:tc>
          <w:p>
            <w:pPr>
              <w:pStyle w:val="Compact"/>
              <w:jc w:val="left"/>
            </w:pPr>
            <w:r>
              <w:t xml:space="preserve">11581 ( 13.4)</w:t>
            </w:r>
          </w:p>
        </w:tc>
        <w:tc>
          <w:p>
            <w:pPr>
              <w:pStyle w:val="Compact"/>
              <w:jc w:val="left"/>
            </w:pPr>
            <w:r>
              <w:t xml:space="preserve">11812 ( 13.3)</w:t>
            </w:r>
          </w:p>
        </w:tc>
        <w:tc>
          <w:p>
            <w:pPr>
              <w:pStyle w:val="Compact"/>
              <w:jc w:val="left"/>
            </w:pPr>
            <w:r>
              <w:t xml:space="preserve">45 (11.0)</w:t>
            </w:r>
          </w:p>
        </w:tc>
        <w:tc>
          <w:p>
            <w:pPr>
              <w:pStyle w:val="Compact"/>
              <w:jc w:val="left"/>
            </w:pPr>
            <w:r>
              <w:t xml:space="preserve">2415 (13.1)</w:t>
            </w:r>
          </w:p>
        </w:tc>
        <w:tc>
          <w:p>
            <w:pPr>
              <w:pStyle w:val="Compact"/>
              <w:jc w:val="left"/>
            </w:pPr>
            <w:r>
              <w:t xml:space="preserve">2460 (13.0)</w:t>
            </w:r>
          </w:p>
        </w:tc>
      </w:tr>
      <w:tr>
        <w:tc>
          <w:p/>
        </w:tc>
        <w:tc>
          <w:p>
            <w:pPr>
              <w:pStyle w:val="Compact"/>
              <w:jc w:val="left"/>
            </w:pPr>
            <w:r>
              <w:t xml:space="preserve">60-&lt;70</w:t>
            </w:r>
          </w:p>
        </w:tc>
        <w:tc>
          <w:p>
            <w:pPr>
              <w:pStyle w:val="Compact"/>
              <w:jc w:val="left"/>
            </w:pPr>
            <w:r>
              <w:t xml:space="preserve">609 ( 28.0)</w:t>
            </w:r>
          </w:p>
        </w:tc>
        <w:tc>
          <w:p>
            <w:pPr>
              <w:pStyle w:val="Compact"/>
              <w:jc w:val="left"/>
            </w:pPr>
            <w:r>
              <w:t xml:space="preserve">28372 ( 32.7)</w:t>
            </w:r>
          </w:p>
        </w:tc>
        <w:tc>
          <w:p>
            <w:pPr>
              <w:pStyle w:val="Compact"/>
              <w:jc w:val="left"/>
            </w:pPr>
            <w:r>
              <w:t xml:space="preserve">28981 ( 32.6)</w:t>
            </w:r>
          </w:p>
        </w:tc>
        <w:tc>
          <w:p>
            <w:pPr>
              <w:pStyle w:val="Compact"/>
              <w:jc w:val="left"/>
            </w:pPr>
            <w:r>
              <w:t xml:space="preserve">112 (27.3)</w:t>
            </w:r>
          </w:p>
        </w:tc>
        <w:tc>
          <w:p>
            <w:pPr>
              <w:pStyle w:val="Compact"/>
              <w:jc w:val="left"/>
            </w:pPr>
            <w:r>
              <w:t xml:space="preserve">5114 (27.7)</w:t>
            </w:r>
          </w:p>
        </w:tc>
        <w:tc>
          <w:p>
            <w:pPr>
              <w:pStyle w:val="Compact"/>
              <w:jc w:val="left"/>
            </w:pPr>
            <w:r>
              <w:t xml:space="preserve">5226 (27.7)</w:t>
            </w:r>
          </w:p>
        </w:tc>
      </w:tr>
      <w:tr>
        <w:tc>
          <w:p/>
        </w:tc>
        <w:tc>
          <w:p>
            <w:pPr>
              <w:pStyle w:val="Compact"/>
              <w:jc w:val="left"/>
            </w:pPr>
            <w:r>
              <w:t xml:space="preserve">70-&lt;80</w:t>
            </w:r>
          </w:p>
        </w:tc>
        <w:tc>
          <w:p>
            <w:pPr>
              <w:pStyle w:val="Compact"/>
              <w:jc w:val="left"/>
            </w:pPr>
            <w:r>
              <w:t xml:space="preserve">776 ( 35.7)</w:t>
            </w:r>
          </w:p>
        </w:tc>
        <w:tc>
          <w:p>
            <w:pPr>
              <w:pStyle w:val="Compact"/>
              <w:jc w:val="left"/>
            </w:pPr>
            <w:r>
              <w:t xml:space="preserve">29610 ( 34.2)</w:t>
            </w:r>
          </w:p>
        </w:tc>
        <w:tc>
          <w:p>
            <w:pPr>
              <w:pStyle w:val="Compact"/>
              <w:jc w:val="left"/>
            </w:pPr>
            <w:r>
              <w:t xml:space="preserve">30386 ( 34.2)</w:t>
            </w:r>
          </w:p>
        </w:tc>
        <w:tc>
          <w:p>
            <w:pPr>
              <w:pStyle w:val="Compact"/>
              <w:jc w:val="left"/>
            </w:pPr>
            <w:r>
              <w:t xml:space="preserve">164 (40.0)</w:t>
            </w:r>
          </w:p>
        </w:tc>
        <w:tc>
          <w:p>
            <w:pPr>
              <w:pStyle w:val="Compact"/>
              <w:jc w:val="left"/>
            </w:pPr>
            <w:r>
              <w:t xml:space="preserve">7037 (38.2)</w:t>
            </w:r>
          </w:p>
        </w:tc>
        <w:tc>
          <w:p>
            <w:pPr>
              <w:pStyle w:val="Compact"/>
              <w:jc w:val="left"/>
            </w:pPr>
            <w:r>
              <w:t xml:space="preserve">7201 (38.2)</w:t>
            </w:r>
          </w:p>
        </w:tc>
      </w:tr>
      <w:tr>
        <w:tc>
          <w:p/>
        </w:tc>
        <w:tc>
          <w:p>
            <w:pPr>
              <w:pStyle w:val="Compact"/>
              <w:jc w:val="left"/>
            </w:pPr>
            <w:r>
              <w:t xml:space="preserve">80+</w:t>
            </w:r>
          </w:p>
        </w:tc>
        <w:tc>
          <w:p>
            <w:pPr>
              <w:pStyle w:val="Compact"/>
              <w:jc w:val="left"/>
            </w:pPr>
            <w:r>
              <w:t xml:space="preserve">453 ( 20.8)</w:t>
            </w:r>
          </w:p>
        </w:tc>
        <w:tc>
          <w:p>
            <w:pPr>
              <w:pStyle w:val="Compact"/>
              <w:jc w:val="left"/>
            </w:pPr>
            <w:r>
              <w:t xml:space="preserve">12553 ( 14.5)</w:t>
            </w:r>
          </w:p>
        </w:tc>
        <w:tc>
          <w:p>
            <w:pPr>
              <w:pStyle w:val="Compact"/>
              <w:jc w:val="left"/>
            </w:pPr>
            <w:r>
              <w:t xml:space="preserve">13006 ( 14.6)</w:t>
            </w:r>
          </w:p>
        </w:tc>
        <w:tc>
          <w:p>
            <w:pPr>
              <w:pStyle w:val="Compact"/>
              <w:jc w:val="left"/>
            </w:pPr>
            <w:r>
              <w:t xml:space="preserve">80 (19.5)</w:t>
            </w:r>
          </w:p>
        </w:tc>
        <w:tc>
          <w:p>
            <w:pPr>
              <w:pStyle w:val="Compact"/>
              <w:jc w:val="left"/>
            </w:pPr>
            <w:r>
              <w:t xml:space="preserve">3007 (16.3)</w:t>
            </w:r>
          </w:p>
        </w:tc>
        <w:tc>
          <w:p>
            <w:pPr>
              <w:pStyle w:val="Compact"/>
              <w:jc w:val="left"/>
            </w:pPr>
            <w:r>
              <w:t xml:space="preserve">3087 (16.4)</w:t>
            </w:r>
          </w:p>
        </w:tc>
      </w:tr>
      <w:tr>
        <w:tc>
          <w:p>
            <w:pPr>
              <w:pStyle w:val="Compact"/>
              <w:jc w:val="left"/>
            </w:pPr>
            <w:r>
              <w:t xml:space="preserve">Sex</w:t>
            </w:r>
          </w:p>
        </w:tc>
        <w:tc>
          <w:p>
            <w:pPr>
              <w:pStyle w:val="Compact"/>
              <w:jc w:val="left"/>
            </w:pPr>
            <w:r>
              <w:t xml:space="preserve">female</w:t>
            </w:r>
          </w:p>
        </w:tc>
        <w:tc>
          <w:p>
            <w:pPr>
              <w:pStyle w:val="Compact"/>
              <w:jc w:val="left"/>
            </w:pPr>
            <w:r>
              <w:t xml:space="preserve">1062 ( 48.9)</w:t>
            </w:r>
          </w:p>
        </w:tc>
        <w:tc>
          <w:p>
            <w:pPr>
              <w:pStyle w:val="Compact"/>
              <w:jc w:val="left"/>
            </w:pPr>
            <w:r>
              <w:t xml:space="preserve">49089 ( 56.6)</w:t>
            </w:r>
          </w:p>
        </w:tc>
        <w:tc>
          <w:p>
            <w:pPr>
              <w:pStyle w:val="Compact"/>
              <w:jc w:val="left"/>
            </w:pPr>
            <w:r>
              <w:t xml:space="preserve">50151 ( 56.5)</w:t>
            </w:r>
          </w:p>
        </w:tc>
        <w:tc>
          <w:p>
            <w:pPr>
              <w:pStyle w:val="Compact"/>
              <w:jc w:val="left"/>
            </w:pPr>
            <w:r>
              <w:t xml:space="preserve">209 (51.0)</w:t>
            </w:r>
          </w:p>
        </w:tc>
        <w:tc>
          <w:p>
            <w:pPr>
              <w:pStyle w:val="Compact"/>
              <w:jc w:val="left"/>
            </w:pPr>
            <w:r>
              <w:t xml:space="preserve">10706 (58.0)</w:t>
            </w:r>
          </w:p>
        </w:tc>
        <w:tc>
          <w:p>
            <w:pPr>
              <w:pStyle w:val="Compact"/>
              <w:jc w:val="left"/>
            </w:pPr>
            <w:r>
              <w:t xml:space="preserve">10915 (57.9)</w:t>
            </w:r>
          </w:p>
        </w:tc>
      </w:tr>
      <w:tr>
        <w:tc>
          <w:p/>
        </w:tc>
        <w:tc>
          <w:p>
            <w:pPr>
              <w:pStyle w:val="Compact"/>
              <w:jc w:val="left"/>
            </w:pPr>
            <w:r>
              <w:t xml:space="preserve">male</w:t>
            </w:r>
          </w:p>
        </w:tc>
        <w:tc>
          <w:p>
            <w:pPr>
              <w:pStyle w:val="Compact"/>
              <w:jc w:val="left"/>
            </w:pPr>
            <w:r>
              <w:t xml:space="preserve">1111 ( 51.1)</w:t>
            </w:r>
          </w:p>
        </w:tc>
        <w:tc>
          <w:p>
            <w:pPr>
              <w:pStyle w:val="Compact"/>
              <w:jc w:val="left"/>
            </w:pPr>
            <w:r>
              <w:t xml:space="preserve">37568 ( 43.4)</w:t>
            </w:r>
          </w:p>
        </w:tc>
        <w:tc>
          <w:p>
            <w:pPr>
              <w:pStyle w:val="Compact"/>
              <w:jc w:val="left"/>
            </w:pPr>
            <w:r>
              <w:t xml:space="preserve">38679 ( 43.5)</w:t>
            </w:r>
          </w:p>
        </w:tc>
        <w:tc>
          <w:p>
            <w:pPr>
              <w:pStyle w:val="Compact"/>
              <w:jc w:val="left"/>
            </w:pPr>
            <w:r>
              <w:t xml:space="preserve">201 (49.0)</w:t>
            </w:r>
          </w:p>
        </w:tc>
        <w:tc>
          <w:p>
            <w:pPr>
              <w:pStyle w:val="Compact"/>
              <w:jc w:val="left"/>
            </w:pPr>
            <w:r>
              <w:t xml:space="preserve">7738 (42.0)</w:t>
            </w:r>
          </w:p>
        </w:tc>
        <w:tc>
          <w:p>
            <w:pPr>
              <w:pStyle w:val="Compact"/>
              <w:jc w:val="left"/>
            </w:pPr>
            <w:r>
              <w:t xml:space="preserve">7939 (42.1)</w:t>
            </w:r>
          </w:p>
        </w:tc>
      </w:tr>
      <w:tr>
        <w:tc>
          <w:p>
            <w:pPr>
              <w:pStyle w:val="Compact"/>
              <w:jc w:val="left"/>
            </w:pPr>
            <w:r>
              <w:t xml:space="preserve">BMI</w:t>
            </w:r>
          </w:p>
        </w:tc>
        <w:tc>
          <w:p>
            <w:pPr>
              <w:pStyle w:val="Compact"/>
              <w:jc w:val="left"/>
            </w:pPr>
            <w:r>
              <w:t xml:space="preserve">under/normal weight</w:t>
            </w:r>
          </w:p>
        </w:tc>
        <w:tc>
          <w:p>
            <w:pPr>
              <w:pStyle w:val="Compact"/>
              <w:jc w:val="left"/>
            </w:pPr>
            <w:r>
              <w:t xml:space="preserve">487 ( 22.4)</w:t>
            </w:r>
          </w:p>
        </w:tc>
        <w:tc>
          <w:p>
            <w:pPr>
              <w:pStyle w:val="Compact"/>
              <w:jc w:val="left"/>
            </w:pPr>
            <w:r>
              <w:t xml:space="preserve">28944 ( 33.4)</w:t>
            </w:r>
          </w:p>
        </w:tc>
        <w:tc>
          <w:p>
            <w:pPr>
              <w:pStyle w:val="Compact"/>
              <w:jc w:val="left"/>
            </w:pPr>
            <w:r>
              <w:t xml:space="preserve">29431 ( 33.1)</w:t>
            </w:r>
          </w:p>
        </w:tc>
        <w:tc>
          <w:p>
            <w:pPr>
              <w:pStyle w:val="Compact"/>
              <w:jc w:val="left"/>
            </w:pPr>
            <w:r>
              <w:t xml:space="preserve">101 (24.6)</w:t>
            </w:r>
          </w:p>
        </w:tc>
        <w:tc>
          <w:p>
            <w:pPr>
              <w:pStyle w:val="Compact"/>
              <w:jc w:val="left"/>
            </w:pPr>
            <w:r>
              <w:t xml:space="preserve">6746 (36.6)</w:t>
            </w:r>
          </w:p>
        </w:tc>
        <w:tc>
          <w:p>
            <w:pPr>
              <w:pStyle w:val="Compact"/>
              <w:jc w:val="left"/>
            </w:pPr>
            <w:r>
              <w:t xml:space="preserve">6847 (36.3)</w:t>
            </w:r>
          </w:p>
        </w:tc>
      </w:tr>
      <w:tr>
        <w:tc>
          <w:p/>
        </w:tc>
        <w:tc>
          <w:p>
            <w:pPr>
              <w:pStyle w:val="Compact"/>
              <w:jc w:val="left"/>
            </w:pPr>
            <w:r>
              <w:t xml:space="preserve">overweight</w:t>
            </w:r>
          </w:p>
        </w:tc>
        <w:tc>
          <w:p>
            <w:pPr>
              <w:pStyle w:val="Compact"/>
              <w:jc w:val="left"/>
            </w:pPr>
            <w:r>
              <w:t xml:space="preserve">863 ( 39.7)</w:t>
            </w:r>
          </w:p>
        </w:tc>
        <w:tc>
          <w:p>
            <w:pPr>
              <w:pStyle w:val="Compact"/>
              <w:jc w:val="left"/>
            </w:pPr>
            <w:r>
              <w:t xml:space="preserve">37280 ( 43.0)</w:t>
            </w:r>
          </w:p>
        </w:tc>
        <w:tc>
          <w:p>
            <w:pPr>
              <w:pStyle w:val="Compact"/>
              <w:jc w:val="left"/>
            </w:pPr>
            <w:r>
              <w:t xml:space="preserve">38143 ( 42.9)</w:t>
            </w:r>
          </w:p>
        </w:tc>
        <w:tc>
          <w:p>
            <w:pPr>
              <w:pStyle w:val="Compact"/>
              <w:jc w:val="left"/>
            </w:pPr>
            <w:r>
              <w:t xml:space="preserve">152 (37.1)</w:t>
            </w:r>
          </w:p>
        </w:tc>
        <w:tc>
          <w:p>
            <w:pPr>
              <w:pStyle w:val="Compact"/>
              <w:jc w:val="left"/>
            </w:pPr>
            <w:r>
              <w:t xml:space="preserve">7264 (39.4)</w:t>
            </w:r>
          </w:p>
        </w:tc>
        <w:tc>
          <w:p>
            <w:pPr>
              <w:pStyle w:val="Compact"/>
              <w:jc w:val="left"/>
            </w:pPr>
            <w:r>
              <w:t xml:space="preserve">7416 (39.3)</w:t>
            </w:r>
          </w:p>
        </w:tc>
      </w:tr>
      <w:tr>
        <w:tc>
          <w:p/>
        </w:tc>
        <w:tc>
          <w:p>
            <w:pPr>
              <w:pStyle w:val="Compact"/>
              <w:jc w:val="left"/>
            </w:pPr>
            <w:r>
              <w:t xml:space="preserve">class i obesity</w:t>
            </w:r>
          </w:p>
        </w:tc>
        <w:tc>
          <w:p>
            <w:pPr>
              <w:pStyle w:val="Compact"/>
              <w:jc w:val="left"/>
            </w:pPr>
            <w:r>
              <w:t xml:space="preserve">531 ( 24.4)</w:t>
            </w:r>
          </w:p>
        </w:tc>
        <w:tc>
          <w:p>
            <w:pPr>
              <w:pStyle w:val="Compact"/>
              <w:jc w:val="left"/>
            </w:pPr>
            <w:r>
              <w:t xml:space="preserve">15693 ( 18.1)</w:t>
            </w:r>
          </w:p>
        </w:tc>
        <w:tc>
          <w:p>
            <w:pPr>
              <w:pStyle w:val="Compact"/>
              <w:jc w:val="left"/>
            </w:pPr>
            <w:r>
              <w:t xml:space="preserve">16224 ( 18.3)</w:t>
            </w:r>
          </w:p>
        </w:tc>
        <w:tc>
          <w:p>
            <w:pPr>
              <w:pStyle w:val="Compact"/>
              <w:jc w:val="left"/>
            </w:pPr>
            <w:r>
              <w:t xml:space="preserve">86 (21.0)</w:t>
            </w:r>
          </w:p>
        </w:tc>
        <w:tc>
          <w:p>
            <w:pPr>
              <w:pStyle w:val="Compact"/>
              <w:jc w:val="left"/>
            </w:pPr>
            <w:r>
              <w:t xml:space="preserve">3261 (17.7)</w:t>
            </w:r>
          </w:p>
        </w:tc>
        <w:tc>
          <w:p>
            <w:pPr>
              <w:pStyle w:val="Compact"/>
              <w:jc w:val="left"/>
            </w:pPr>
            <w:r>
              <w:t xml:space="preserve">3347 (17.8)</w:t>
            </w:r>
          </w:p>
        </w:tc>
      </w:tr>
      <w:tr>
        <w:tc>
          <w:p/>
        </w:tc>
        <w:tc>
          <w:p>
            <w:pPr>
              <w:pStyle w:val="Compact"/>
              <w:jc w:val="left"/>
            </w:pPr>
            <w:r>
              <w:t xml:space="preserve">class ii-iii obesity</w:t>
            </w:r>
          </w:p>
        </w:tc>
        <w:tc>
          <w:p>
            <w:pPr>
              <w:pStyle w:val="Compact"/>
              <w:jc w:val="left"/>
            </w:pPr>
            <w:r>
              <w:t xml:space="preserve">292 ( 13.4)</w:t>
            </w:r>
          </w:p>
        </w:tc>
        <w:tc>
          <w:p>
            <w:pPr>
              <w:pStyle w:val="Compact"/>
              <w:jc w:val="left"/>
            </w:pPr>
            <w:r>
              <w:t xml:space="preserve">4740 ( 5.5)</w:t>
            </w:r>
          </w:p>
        </w:tc>
        <w:tc>
          <w:p>
            <w:pPr>
              <w:pStyle w:val="Compact"/>
              <w:jc w:val="left"/>
            </w:pPr>
            <w:r>
              <w:t xml:space="preserve">5032 ( 5.7)</w:t>
            </w:r>
          </w:p>
        </w:tc>
        <w:tc>
          <w:p>
            <w:pPr>
              <w:pStyle w:val="Compact"/>
              <w:jc w:val="left"/>
            </w:pPr>
            <w:r>
              <w:t xml:space="preserve">71 (17.3)</w:t>
            </w:r>
          </w:p>
        </w:tc>
        <w:tc>
          <w:p>
            <w:pPr>
              <w:pStyle w:val="Compact"/>
              <w:jc w:val="left"/>
            </w:pPr>
            <w:r>
              <w:t xml:space="preserve">1173 (6.4)</w:t>
            </w:r>
          </w:p>
        </w:tc>
        <w:tc>
          <w:p>
            <w:pPr>
              <w:pStyle w:val="Compact"/>
              <w:jc w:val="left"/>
            </w:pPr>
            <w:r>
              <w:t xml:space="preserve">1244 (6.6)</w:t>
            </w:r>
          </w:p>
        </w:tc>
      </w:tr>
      <w:tr>
        <w:tc>
          <w:p>
            <w:pPr>
              <w:pStyle w:val="Compact"/>
              <w:jc w:val="left"/>
            </w:pPr>
            <w:r>
              <w:t xml:space="preserve">ASA class</w:t>
            </w:r>
          </w:p>
        </w:tc>
        <w:tc>
          <w:p>
            <w:pPr>
              <w:pStyle w:val="Compact"/>
              <w:jc w:val="left"/>
            </w:pPr>
            <w:r>
              <w:t xml:space="preserve">I</w:t>
            </w:r>
          </w:p>
        </w:tc>
        <w:tc>
          <w:p>
            <w:pPr>
              <w:pStyle w:val="Compact"/>
              <w:jc w:val="left"/>
            </w:pPr>
            <w:r>
              <w:t xml:space="preserve">302 ( 13.9)</w:t>
            </w:r>
          </w:p>
        </w:tc>
        <w:tc>
          <w:p>
            <w:pPr>
              <w:pStyle w:val="Compact"/>
              <w:jc w:val="left"/>
            </w:pPr>
            <w:r>
              <w:t xml:space="preserve">20785 ( 24.0)</w:t>
            </w:r>
          </w:p>
        </w:tc>
        <w:tc>
          <w:p>
            <w:pPr>
              <w:pStyle w:val="Compact"/>
              <w:jc w:val="left"/>
            </w:pPr>
            <w:r>
              <w:t xml:space="preserve">21087 ( 23.7)</w:t>
            </w:r>
          </w:p>
        </w:tc>
        <w:tc>
          <w:p>
            <w:pPr>
              <w:pStyle w:val="Compact"/>
              <w:jc w:val="left"/>
            </w:pPr>
            <w:r>
              <w:t xml:space="preserve">44 (10.7)</w:t>
            </w:r>
          </w:p>
        </w:tc>
        <w:tc>
          <w:p>
            <w:pPr>
              <w:pStyle w:val="Compact"/>
              <w:jc w:val="left"/>
            </w:pPr>
            <w:r>
              <w:t xml:space="preserve">3898 (21.1)</w:t>
            </w:r>
          </w:p>
        </w:tc>
        <w:tc>
          <w:p>
            <w:pPr>
              <w:pStyle w:val="Compact"/>
              <w:jc w:val="left"/>
            </w:pPr>
            <w:r>
              <w:t xml:space="preserve">3942 (20.9)</w:t>
            </w:r>
          </w:p>
        </w:tc>
      </w:tr>
      <w:tr>
        <w:tc>
          <w:p/>
        </w:tc>
        <w:tc>
          <w:p>
            <w:pPr>
              <w:pStyle w:val="Compact"/>
              <w:jc w:val="left"/>
            </w:pPr>
            <w:r>
              <w:t xml:space="preserve">II</w:t>
            </w:r>
          </w:p>
        </w:tc>
        <w:tc>
          <w:p>
            <w:pPr>
              <w:pStyle w:val="Compact"/>
              <w:jc w:val="left"/>
            </w:pPr>
            <w:r>
              <w:t xml:space="preserve">1228 ( 56.5)</w:t>
            </w:r>
          </w:p>
        </w:tc>
        <w:tc>
          <w:p>
            <w:pPr>
              <w:pStyle w:val="Compact"/>
              <w:jc w:val="left"/>
            </w:pPr>
            <w:r>
              <w:t xml:space="preserve">51570 ( 59.5)</w:t>
            </w:r>
          </w:p>
        </w:tc>
        <w:tc>
          <w:p>
            <w:pPr>
              <w:pStyle w:val="Compact"/>
              <w:jc w:val="left"/>
            </w:pPr>
            <w:r>
              <w:t xml:space="preserve">52798 ( 59.4)</w:t>
            </w:r>
          </w:p>
        </w:tc>
        <w:tc>
          <w:p>
            <w:pPr>
              <w:pStyle w:val="Compact"/>
              <w:jc w:val="left"/>
            </w:pPr>
            <w:r>
              <w:t xml:space="preserve">253 (61.7)</w:t>
            </w:r>
          </w:p>
        </w:tc>
        <w:tc>
          <w:p>
            <w:pPr>
              <w:pStyle w:val="Compact"/>
              <w:jc w:val="left"/>
            </w:pPr>
            <w:r>
              <w:t xml:space="preserve">11325 (61.4)</w:t>
            </w:r>
          </w:p>
        </w:tc>
        <w:tc>
          <w:p>
            <w:pPr>
              <w:pStyle w:val="Compact"/>
              <w:jc w:val="left"/>
            </w:pPr>
            <w:r>
              <w:t xml:space="preserve">11578 (61.4)</w:t>
            </w:r>
          </w:p>
        </w:tc>
      </w:tr>
      <w:tr>
        <w:tc>
          <w:p/>
        </w:tc>
        <w:tc>
          <w:p>
            <w:pPr>
              <w:pStyle w:val="Compact"/>
              <w:jc w:val="left"/>
            </w:pPr>
            <w:r>
              <w:t xml:space="preserve">III</w:t>
            </w:r>
          </w:p>
        </w:tc>
        <w:tc>
          <w:p>
            <w:pPr>
              <w:pStyle w:val="Compact"/>
              <w:jc w:val="left"/>
            </w:pPr>
            <w:r>
              <w:t xml:space="preserve">643 ( 29.6)</w:t>
            </w:r>
          </w:p>
        </w:tc>
        <w:tc>
          <w:p>
            <w:pPr>
              <w:pStyle w:val="Compact"/>
              <w:jc w:val="left"/>
            </w:pPr>
            <w:r>
              <w:t xml:space="preserve">14302 ( 16.5)</w:t>
            </w:r>
          </w:p>
        </w:tc>
        <w:tc>
          <w:p>
            <w:pPr>
              <w:pStyle w:val="Compact"/>
              <w:jc w:val="left"/>
            </w:pPr>
            <w:r>
              <w:t xml:space="preserve">14945 ( 16.8)</w:t>
            </w:r>
          </w:p>
        </w:tc>
        <w:tc>
          <w:p>
            <w:pPr>
              <w:pStyle w:val="Compact"/>
              <w:jc w:val="left"/>
            </w:pPr>
            <w:r>
              <w:t xml:space="preserve">113 (27.6)</w:t>
            </w:r>
          </w:p>
        </w:tc>
        <w:tc>
          <w:p>
            <w:pPr>
              <w:pStyle w:val="Compact"/>
              <w:jc w:val="left"/>
            </w:pPr>
            <w:r>
              <w:t xml:space="preserve">3221 (17.5)</w:t>
            </w:r>
          </w:p>
        </w:tc>
        <w:tc>
          <w:p>
            <w:pPr>
              <w:pStyle w:val="Compact"/>
              <w:jc w:val="left"/>
            </w:pPr>
            <w:r>
              <w:t xml:space="preserve">3334 (17.7)</w:t>
            </w:r>
          </w:p>
        </w:tc>
      </w:tr>
      <w:tr>
        <w:tc>
          <w:p>
            <w:pPr>
              <w:pStyle w:val="Compact"/>
              <w:jc w:val="left"/>
            </w:pPr>
            <w:r>
              <w:t xml:space="preserve">Diagnosis</w:t>
            </w:r>
          </w:p>
        </w:tc>
        <w:tc>
          <w:p>
            <w:pPr>
              <w:pStyle w:val="Compact"/>
              <w:jc w:val="left"/>
            </w:pPr>
            <w:r>
              <w:t xml:space="preserve">primary osteoarthritis</w:t>
            </w:r>
          </w:p>
        </w:tc>
        <w:tc>
          <w:p>
            <w:pPr>
              <w:pStyle w:val="Compact"/>
              <w:jc w:val="left"/>
            </w:pPr>
            <w:r>
              <w:t xml:space="preserve">1766 ( 81.3)</w:t>
            </w:r>
          </w:p>
        </w:tc>
        <w:tc>
          <w:p>
            <w:pPr>
              <w:pStyle w:val="Compact"/>
              <w:jc w:val="left"/>
            </w:pPr>
            <w:r>
              <w:t xml:space="preserve">76812 ( 88.6)</w:t>
            </w:r>
          </w:p>
        </w:tc>
        <w:tc>
          <w:p>
            <w:pPr>
              <w:pStyle w:val="Compact"/>
              <w:jc w:val="left"/>
            </w:pPr>
            <w:r>
              <w:t xml:space="preserve">78578 ( 88.5)</w:t>
            </w:r>
          </w:p>
        </w:tc>
        <w:tc>
          <w:p>
            <w:pPr>
              <w:pStyle w:val="Compact"/>
              <w:jc w:val="left"/>
            </w:pPr>
            <w:r>
              <w:t xml:space="preserve">329 (80.2)</w:t>
            </w:r>
          </w:p>
        </w:tc>
        <w:tc>
          <w:p>
            <w:pPr>
              <w:pStyle w:val="Compact"/>
              <w:jc w:val="left"/>
            </w:pPr>
            <w:r>
              <w:t xml:space="preserve">15597 (84.6)</w:t>
            </w:r>
          </w:p>
        </w:tc>
        <w:tc>
          <w:p>
            <w:pPr>
              <w:pStyle w:val="Compact"/>
              <w:jc w:val="left"/>
            </w:pPr>
            <w:r>
              <w:t xml:space="preserve">15926 (84.5)</w:t>
            </w:r>
          </w:p>
        </w:tc>
      </w:tr>
      <w:tr>
        <w:tc>
          <w:p/>
        </w:tc>
        <w:tc>
          <w:p>
            <w:pPr>
              <w:pStyle w:val="Compact"/>
              <w:jc w:val="left"/>
            </w:pPr>
            <w:r>
              <w:t xml:space="preserve">secondary osteoarthritis</w:t>
            </w:r>
          </w:p>
        </w:tc>
        <w:tc>
          <w:p>
            <w:pPr>
              <w:pStyle w:val="Compact"/>
              <w:jc w:val="left"/>
            </w:pPr>
            <w:r>
              <w:t xml:space="preserve">232 ( 10.7)</w:t>
            </w:r>
          </w:p>
        </w:tc>
        <w:tc>
          <w:p>
            <w:pPr>
              <w:pStyle w:val="Compact"/>
              <w:jc w:val="left"/>
            </w:pPr>
            <w:r>
              <w:t xml:space="preserve">5039 ( 5.8)</w:t>
            </w:r>
          </w:p>
        </w:tc>
        <w:tc>
          <w:p>
            <w:pPr>
              <w:pStyle w:val="Compact"/>
              <w:jc w:val="left"/>
            </w:pPr>
            <w:r>
              <w:t xml:space="preserve">5271 ( 5.9)</w:t>
            </w:r>
          </w:p>
        </w:tc>
        <w:tc>
          <w:p>
            <w:pPr>
              <w:pStyle w:val="Compact"/>
              <w:jc w:val="left"/>
            </w:pPr>
            <w:r>
              <w:t xml:space="preserve">57 (13.9)</w:t>
            </w:r>
          </w:p>
        </w:tc>
        <w:tc>
          <w:p>
            <w:pPr>
              <w:pStyle w:val="Compact"/>
              <w:jc w:val="left"/>
            </w:pPr>
            <w:r>
              <w:t xml:space="preserve">1781 (9.7)</w:t>
            </w:r>
          </w:p>
        </w:tc>
        <w:tc>
          <w:p>
            <w:pPr>
              <w:pStyle w:val="Compact"/>
              <w:jc w:val="left"/>
            </w:pPr>
            <w:r>
              <w:t xml:space="preserve">1838 (9.7)</w:t>
            </w:r>
          </w:p>
        </w:tc>
      </w:tr>
      <w:tr>
        <w:tc>
          <w:p/>
        </w:tc>
        <w:tc>
          <w:p>
            <w:pPr>
              <w:pStyle w:val="Compact"/>
              <w:jc w:val="left"/>
            </w:pPr>
            <w:r>
              <w:t xml:space="preserve">sequelae after childhood hip disease</w:t>
            </w:r>
          </w:p>
        </w:tc>
        <w:tc>
          <w:p>
            <w:pPr>
              <w:pStyle w:val="Compact"/>
              <w:jc w:val="left"/>
            </w:pPr>
            <w:r>
              <w:t xml:space="preserve">41 ( 1.9)</w:t>
            </w:r>
          </w:p>
        </w:tc>
        <w:tc>
          <w:p>
            <w:pPr>
              <w:pStyle w:val="Compact"/>
              <w:jc w:val="left"/>
            </w:pPr>
            <w:r>
              <w:t xml:space="preserve">1821 ( 2.1)</w:t>
            </w:r>
          </w:p>
        </w:tc>
        <w:tc>
          <w:p>
            <w:pPr>
              <w:pStyle w:val="Compact"/>
              <w:jc w:val="left"/>
            </w:pPr>
            <w:r>
              <w:t xml:space="preserve">1862 ( 2.1)</w:t>
            </w:r>
          </w:p>
        </w:tc>
        <w:tc>
          <w:p/>
        </w:tc>
        <w:tc>
          <w:p/>
        </w:tc>
        <w:tc>
          <w:p>
            <w:pPr>
              <w:pStyle w:val="Compact"/>
              <w:jc w:val="left"/>
            </w:pPr>
            <w:r>
              <w:t xml:space="preserve">626 (3.3)</w:t>
            </w:r>
          </w:p>
        </w:tc>
      </w:tr>
      <w:tr>
        <w:tc>
          <w:p/>
        </w:tc>
        <w:tc>
          <w:p>
            <w:pPr>
              <w:pStyle w:val="Compact"/>
              <w:jc w:val="left"/>
            </w:pPr>
            <w:r>
              <w:t xml:space="preserve">avascular necrosis of the femoral head (avn)</w:t>
            </w:r>
          </w:p>
        </w:tc>
        <w:tc>
          <w:p>
            <w:pPr>
              <w:pStyle w:val="Compact"/>
              <w:jc w:val="left"/>
            </w:pPr>
            <w:r>
              <w:t xml:space="preserve">77 ( 3.5)</w:t>
            </w:r>
          </w:p>
        </w:tc>
        <w:tc>
          <w:p>
            <w:pPr>
              <w:pStyle w:val="Compact"/>
              <w:jc w:val="left"/>
            </w:pPr>
            <w:r>
              <w:t xml:space="preserve">1818 ( 2.1)</w:t>
            </w:r>
          </w:p>
        </w:tc>
        <w:tc>
          <w:p>
            <w:pPr>
              <w:pStyle w:val="Compact"/>
              <w:jc w:val="left"/>
            </w:pPr>
            <w:r>
              <w:t xml:space="preserve">1895 ( 2.1)</w:t>
            </w:r>
          </w:p>
        </w:tc>
        <w:tc>
          <w:p>
            <w:pPr>
              <w:pStyle w:val="Compact"/>
              <w:jc w:val="left"/>
            </w:pPr>
            <w:r>
              <w:t xml:space="preserve">15 (3.7)</w:t>
            </w:r>
          </w:p>
        </w:tc>
        <w:tc>
          <w:p>
            <w:pPr>
              <w:pStyle w:val="Compact"/>
              <w:jc w:val="left"/>
            </w:pPr>
            <w:r>
              <w:t xml:space="preserve">303 (1.6)</w:t>
            </w:r>
          </w:p>
        </w:tc>
        <w:tc>
          <w:p>
            <w:pPr>
              <w:pStyle w:val="Compact"/>
              <w:jc w:val="left"/>
            </w:pPr>
            <w:r>
              <w:t xml:space="preserve">318 (1.7)</w:t>
            </w:r>
          </w:p>
        </w:tc>
      </w:tr>
      <w:tr>
        <w:tc>
          <w:p/>
        </w:tc>
        <w:tc>
          <w:p>
            <w:pPr>
              <w:pStyle w:val="Compact"/>
              <w:jc w:val="left"/>
            </w:pPr>
            <w:r>
              <w:t xml:space="preserve">inflammatory joint disease</w:t>
            </w:r>
          </w:p>
        </w:tc>
        <w:tc>
          <w:p>
            <w:pPr>
              <w:pStyle w:val="Compact"/>
              <w:jc w:val="left"/>
            </w:pPr>
            <w:r>
              <w:t xml:space="preserve">57 ( 2.6)</w:t>
            </w:r>
          </w:p>
        </w:tc>
        <w:tc>
          <w:p>
            <w:pPr>
              <w:pStyle w:val="Compact"/>
              <w:jc w:val="left"/>
            </w:pPr>
            <w:r>
              <w:t xml:space="preserve">1167 ( 1.3)</w:t>
            </w:r>
          </w:p>
        </w:tc>
        <w:tc>
          <w:p>
            <w:pPr>
              <w:pStyle w:val="Compact"/>
              <w:jc w:val="left"/>
            </w:pPr>
            <w:r>
              <w:t xml:space="preserve">1224 ( 1.4)</w:t>
            </w:r>
          </w:p>
        </w:tc>
        <w:tc>
          <w:p/>
        </w:tc>
        <w:tc>
          <w:p/>
        </w:tc>
        <w:tc>
          <w:p>
            <w:pPr>
              <w:pStyle w:val="Compact"/>
              <w:jc w:val="left"/>
            </w:pPr>
            <w:r>
              <w:t xml:space="preserve">146 (0.8)</w:t>
            </w:r>
          </w:p>
        </w:tc>
      </w:tr>
      <w:tr>
        <w:tc>
          <w:p>
            <w:pPr>
              <w:pStyle w:val="Compact"/>
              <w:jc w:val="left"/>
            </w:pPr>
            <w:r>
              <w:t xml:space="preserve">Cemented stem</w:t>
            </w:r>
          </w:p>
        </w:tc>
        <w:tc>
          <w:p/>
        </w:tc>
        <w:tc>
          <w:p>
            <w:pPr>
              <w:pStyle w:val="Compact"/>
              <w:jc w:val="left"/>
            </w:pPr>
            <w:r>
              <w:t xml:space="preserve">1600 ( 73.6)</w:t>
            </w:r>
          </w:p>
        </w:tc>
        <w:tc>
          <w:p>
            <w:pPr>
              <w:pStyle w:val="Compact"/>
              <w:jc w:val="left"/>
            </w:pPr>
            <w:r>
              <w:t xml:space="preserve">59777 ( 69.0)</w:t>
            </w:r>
          </w:p>
        </w:tc>
        <w:tc>
          <w:p>
            <w:pPr>
              <w:pStyle w:val="Compact"/>
              <w:jc w:val="left"/>
            </w:pPr>
            <w:r>
              <w:t xml:space="preserve">61377 ( 69.1)</w:t>
            </w:r>
          </w:p>
        </w:tc>
        <w:tc>
          <w:p>
            <w:pPr>
              <w:pStyle w:val="Compact"/>
              <w:jc w:val="left"/>
            </w:pPr>
            <w:r>
              <w:t xml:space="preserve">106 (25.9)</w:t>
            </w:r>
          </w:p>
        </w:tc>
        <w:tc>
          <w:p>
            <w:pPr>
              <w:pStyle w:val="Compact"/>
              <w:jc w:val="left"/>
            </w:pPr>
            <w:r>
              <w:t xml:space="preserve">4933 (26.7)</w:t>
            </w:r>
          </w:p>
        </w:tc>
        <w:tc>
          <w:p>
            <w:pPr>
              <w:pStyle w:val="Compact"/>
              <w:jc w:val="left"/>
            </w:pPr>
            <w:r>
              <w:t xml:space="preserve">5039 (26.7)</w:t>
            </w:r>
          </w:p>
        </w:tc>
      </w:tr>
      <w:tr>
        <w:tc>
          <w:p>
            <w:pPr>
              <w:pStyle w:val="Compact"/>
              <w:jc w:val="left"/>
            </w:pPr>
            <w:r>
              <w:t xml:space="preserve">Cemented cup</w:t>
            </w:r>
          </w:p>
        </w:tc>
        <w:tc>
          <w:p/>
        </w:tc>
        <w:tc>
          <w:p>
            <w:pPr>
              <w:pStyle w:val="Compact"/>
              <w:jc w:val="left"/>
            </w:pPr>
            <w:r>
              <w:t xml:space="preserve">1739 ( 80.0)</w:t>
            </w:r>
          </w:p>
        </w:tc>
        <w:tc>
          <w:p>
            <w:pPr>
              <w:pStyle w:val="Compact"/>
              <w:jc w:val="left"/>
            </w:pPr>
            <w:r>
              <w:t xml:space="preserve">68147 ( 78.6)</w:t>
            </w:r>
          </w:p>
        </w:tc>
        <w:tc>
          <w:p>
            <w:pPr>
              <w:pStyle w:val="Compact"/>
              <w:jc w:val="left"/>
            </w:pPr>
            <w:r>
              <w:t xml:space="preserve">69886 ( 78.7)</w:t>
            </w:r>
          </w:p>
        </w:tc>
        <w:tc>
          <w:p>
            <w:pPr>
              <w:pStyle w:val="Compact"/>
              <w:jc w:val="left"/>
            </w:pPr>
            <w:r>
              <w:t xml:space="preserve">45 (11.0)</w:t>
            </w:r>
          </w:p>
        </w:tc>
        <w:tc>
          <w:p>
            <w:pPr>
              <w:pStyle w:val="Compact"/>
              <w:jc w:val="left"/>
            </w:pPr>
            <w:r>
              <w:t xml:space="preserve">1456 (7.9)</w:t>
            </w:r>
          </w:p>
        </w:tc>
        <w:tc>
          <w:p>
            <w:pPr>
              <w:pStyle w:val="Compact"/>
              <w:jc w:val="left"/>
            </w:pPr>
            <w:r>
              <w:t xml:space="preserve">1501 (8.0)</w:t>
            </w:r>
          </w:p>
        </w:tc>
      </w:tr>
      <w:tr>
        <w:tc>
          <w:p>
            <w:pPr>
              <w:pStyle w:val="Compact"/>
              <w:jc w:val="left"/>
            </w:pPr>
            <w:r>
              <w:t xml:space="preserve">Hospital</w:t>
            </w:r>
          </w:p>
        </w:tc>
        <w:tc>
          <w:p>
            <w:pPr>
              <w:pStyle w:val="Compact"/>
              <w:jc w:val="left"/>
            </w:pPr>
            <w:r>
              <w:t xml:space="preserve">university</w:t>
            </w:r>
          </w:p>
        </w:tc>
        <w:tc>
          <w:p>
            <w:pPr>
              <w:pStyle w:val="Compact"/>
              <w:jc w:val="left"/>
            </w:pPr>
            <w:r>
              <w:t xml:space="preserve">776 ( 35.7)</w:t>
            </w:r>
          </w:p>
        </w:tc>
        <w:tc>
          <w:p>
            <w:pPr>
              <w:pStyle w:val="Compact"/>
              <w:jc w:val="left"/>
            </w:pPr>
            <w:r>
              <w:t xml:space="preserve">33162 ( 38.3)</w:t>
            </w:r>
          </w:p>
        </w:tc>
        <w:tc>
          <w:p>
            <w:pPr>
              <w:pStyle w:val="Compact"/>
              <w:jc w:val="left"/>
            </w:pPr>
            <w:r>
              <w:t xml:space="preserve">33938 ( 38.2)</w:t>
            </w:r>
          </w:p>
        </w:tc>
        <w:tc>
          <w:p/>
        </w:tc>
        <w:tc>
          <w:p/>
        </w:tc>
        <w:tc>
          <w:p/>
        </w:tc>
      </w:tr>
      <w:tr>
        <w:tc>
          <w:p/>
        </w:tc>
        <w:tc>
          <w:p>
            <w:pPr>
              <w:pStyle w:val="Compact"/>
              <w:jc w:val="left"/>
            </w:pPr>
            <w:r>
              <w:t xml:space="preserve">county</w:t>
            </w:r>
          </w:p>
        </w:tc>
        <w:tc>
          <w:p>
            <w:pPr>
              <w:pStyle w:val="Compact"/>
              <w:jc w:val="left"/>
            </w:pPr>
            <w:r>
              <w:t xml:space="preserve">851 ( 39.2)</w:t>
            </w:r>
          </w:p>
        </w:tc>
        <w:tc>
          <w:p>
            <w:pPr>
              <w:pStyle w:val="Compact"/>
              <w:jc w:val="left"/>
            </w:pPr>
            <w:r>
              <w:t xml:space="preserve">28369 ( 32.7)</w:t>
            </w:r>
          </w:p>
        </w:tc>
        <w:tc>
          <w:p>
            <w:pPr>
              <w:pStyle w:val="Compact"/>
              <w:jc w:val="left"/>
            </w:pPr>
            <w:r>
              <w:t xml:space="preserve">29220 ( 32.9)</w:t>
            </w:r>
          </w:p>
        </w:tc>
        <w:tc>
          <w:p/>
        </w:tc>
        <w:tc>
          <w:p/>
        </w:tc>
        <w:tc>
          <w:p/>
        </w:tc>
      </w:tr>
      <w:tr>
        <w:tc>
          <w:p/>
        </w:tc>
        <w:tc>
          <w:p>
            <w:pPr>
              <w:pStyle w:val="Compact"/>
              <w:jc w:val="left"/>
            </w:pPr>
            <w:r>
              <w:t xml:space="preserve">rural</w:t>
            </w:r>
          </w:p>
        </w:tc>
        <w:tc>
          <w:p>
            <w:pPr>
              <w:pStyle w:val="Compact"/>
              <w:jc w:val="left"/>
            </w:pPr>
            <w:r>
              <w:t xml:space="preserve">319 ( 14.7)</w:t>
            </w:r>
          </w:p>
        </w:tc>
        <w:tc>
          <w:p>
            <w:pPr>
              <w:pStyle w:val="Compact"/>
              <w:jc w:val="left"/>
            </w:pPr>
            <w:r>
              <w:t xml:space="preserve">17406 ( 20.1)</w:t>
            </w:r>
          </w:p>
        </w:tc>
        <w:tc>
          <w:p>
            <w:pPr>
              <w:pStyle w:val="Compact"/>
              <w:jc w:val="left"/>
            </w:pPr>
            <w:r>
              <w:t xml:space="preserve">17725 ( 20.0)</w:t>
            </w:r>
          </w:p>
        </w:tc>
        <w:tc>
          <w:p/>
        </w:tc>
        <w:tc>
          <w:p/>
        </w:tc>
        <w:tc>
          <w:p/>
        </w:tc>
      </w:tr>
      <w:tr>
        <w:tc>
          <w:p/>
        </w:tc>
        <w:tc>
          <w:p>
            <w:pPr>
              <w:pStyle w:val="Compact"/>
              <w:jc w:val="left"/>
            </w:pPr>
            <w:r>
              <w:t xml:space="preserve">private</w:t>
            </w:r>
          </w:p>
        </w:tc>
        <w:tc>
          <w:p>
            <w:pPr>
              <w:pStyle w:val="Compact"/>
              <w:jc w:val="left"/>
            </w:pPr>
            <w:r>
              <w:t xml:space="preserve">227 ( 10.4)</w:t>
            </w:r>
          </w:p>
        </w:tc>
        <w:tc>
          <w:p>
            <w:pPr>
              <w:pStyle w:val="Compact"/>
              <w:jc w:val="left"/>
            </w:pPr>
            <w:r>
              <w:t xml:space="preserve">7720 ( 8.9)</w:t>
            </w:r>
          </w:p>
        </w:tc>
        <w:tc>
          <w:p>
            <w:pPr>
              <w:pStyle w:val="Compact"/>
              <w:jc w:val="left"/>
            </w:pPr>
            <w:r>
              <w:t xml:space="preserve">7947 ( 8.9)</w:t>
            </w:r>
          </w:p>
        </w:tc>
        <w:tc>
          <w:p/>
        </w:tc>
        <w:tc>
          <w:p/>
        </w:tc>
        <w:tc>
          <w:p/>
        </w:tc>
      </w:tr>
      <w:tr>
        <w:tc>
          <w:p>
            <w:pPr>
              <w:pStyle w:val="Compact"/>
              <w:jc w:val="left"/>
            </w:pPr>
            <w:r>
              <w:t xml:space="preserve">Education</w:t>
            </w:r>
          </w:p>
        </w:tc>
        <w:tc>
          <w:p>
            <w:pPr>
              <w:pStyle w:val="Compact"/>
              <w:jc w:val="left"/>
            </w:pPr>
            <w:r>
              <w:t xml:space="preserve">low</w:t>
            </w:r>
          </w:p>
        </w:tc>
        <w:tc>
          <w:p>
            <w:pPr>
              <w:pStyle w:val="Compact"/>
              <w:jc w:val="left"/>
            </w:pPr>
            <w:r>
              <w:t xml:space="preserve">453 ( 20.8)</w:t>
            </w:r>
          </w:p>
        </w:tc>
        <w:tc>
          <w:p>
            <w:pPr>
              <w:pStyle w:val="Compact"/>
              <w:jc w:val="left"/>
            </w:pPr>
            <w:r>
              <w:t xml:space="preserve">22207 ( 25.6)</w:t>
            </w:r>
          </w:p>
        </w:tc>
        <w:tc>
          <w:p>
            <w:pPr>
              <w:pStyle w:val="Compact"/>
              <w:jc w:val="left"/>
            </w:pPr>
            <w:r>
              <w:t xml:space="preserve">22660 ( 25.5)</w:t>
            </w:r>
          </w:p>
        </w:tc>
        <w:tc>
          <w:p>
            <w:pPr>
              <w:pStyle w:val="Compact"/>
              <w:jc w:val="left"/>
            </w:pPr>
            <w:r>
              <w:t xml:space="preserve">164 (40.0)</w:t>
            </w:r>
          </w:p>
        </w:tc>
        <w:tc>
          <w:p>
            <w:pPr>
              <w:pStyle w:val="Compact"/>
              <w:jc w:val="left"/>
            </w:pPr>
            <w:r>
              <w:t xml:space="preserve">5994 (32.5)</w:t>
            </w:r>
          </w:p>
        </w:tc>
        <w:tc>
          <w:p>
            <w:pPr>
              <w:pStyle w:val="Compact"/>
              <w:jc w:val="left"/>
            </w:pPr>
            <w:r>
              <w:t xml:space="preserve">6158 (32.7)</w:t>
            </w:r>
          </w:p>
        </w:tc>
      </w:tr>
      <w:tr>
        <w:tc>
          <w:p/>
        </w:tc>
        <w:tc>
          <w:p>
            <w:pPr>
              <w:pStyle w:val="Compact"/>
              <w:jc w:val="left"/>
            </w:pPr>
            <w:r>
              <w:t xml:space="preserve">middle</w:t>
            </w:r>
          </w:p>
        </w:tc>
        <w:tc>
          <w:p>
            <w:pPr>
              <w:pStyle w:val="Compact"/>
              <w:jc w:val="left"/>
            </w:pPr>
            <w:r>
              <w:t xml:space="preserve">814 ( 37.5)</w:t>
            </w:r>
          </w:p>
        </w:tc>
        <w:tc>
          <w:p>
            <w:pPr>
              <w:pStyle w:val="Compact"/>
              <w:jc w:val="left"/>
            </w:pPr>
            <w:r>
              <w:t xml:space="preserve">28509 ( 32.9)</w:t>
            </w:r>
          </w:p>
        </w:tc>
        <w:tc>
          <w:p>
            <w:pPr>
              <w:pStyle w:val="Compact"/>
              <w:jc w:val="left"/>
            </w:pPr>
            <w:r>
              <w:t xml:space="preserve">29323 ( 33.0)</w:t>
            </w:r>
          </w:p>
        </w:tc>
        <w:tc>
          <w:p>
            <w:pPr>
              <w:pStyle w:val="Compact"/>
              <w:jc w:val="left"/>
            </w:pPr>
            <w:r>
              <w:t xml:space="preserve">163 (39.8)</w:t>
            </w:r>
          </w:p>
        </w:tc>
        <w:tc>
          <w:p>
            <w:pPr>
              <w:pStyle w:val="Compact"/>
              <w:jc w:val="left"/>
            </w:pPr>
            <w:r>
              <w:t xml:space="preserve">8409 (45.6)</w:t>
            </w:r>
          </w:p>
        </w:tc>
        <w:tc>
          <w:p>
            <w:pPr>
              <w:pStyle w:val="Compact"/>
              <w:jc w:val="left"/>
            </w:pPr>
            <w:r>
              <w:t xml:space="preserve">8572 (45.5)</w:t>
            </w:r>
          </w:p>
        </w:tc>
      </w:tr>
      <w:tr>
        <w:tc>
          <w:p/>
        </w:tc>
        <w:tc>
          <w:p>
            <w:pPr>
              <w:pStyle w:val="Compact"/>
              <w:jc w:val="left"/>
            </w:pPr>
            <w:r>
              <w:t xml:space="preserve">high</w:t>
            </w:r>
          </w:p>
        </w:tc>
        <w:tc>
          <w:p>
            <w:pPr>
              <w:pStyle w:val="Compact"/>
              <w:jc w:val="left"/>
            </w:pPr>
            <w:r>
              <w:t xml:space="preserve">906 ( 41.7)</w:t>
            </w:r>
          </w:p>
        </w:tc>
        <w:tc>
          <w:p>
            <w:pPr>
              <w:pStyle w:val="Compact"/>
              <w:jc w:val="left"/>
            </w:pPr>
            <w:r>
              <w:t xml:space="preserve">35941 ( 41.5)</w:t>
            </w:r>
          </w:p>
        </w:tc>
        <w:tc>
          <w:p>
            <w:pPr>
              <w:pStyle w:val="Compact"/>
              <w:jc w:val="left"/>
            </w:pPr>
            <w:r>
              <w:t xml:space="preserve">36847 ( 41.5)</w:t>
            </w:r>
          </w:p>
        </w:tc>
        <w:tc>
          <w:p>
            <w:pPr>
              <w:pStyle w:val="Compact"/>
              <w:jc w:val="left"/>
            </w:pPr>
            <w:r>
              <w:t xml:space="preserve">83 (20.2)</w:t>
            </w:r>
          </w:p>
        </w:tc>
        <w:tc>
          <w:p>
            <w:pPr>
              <w:pStyle w:val="Compact"/>
              <w:jc w:val="left"/>
            </w:pPr>
            <w:r>
              <w:t xml:space="preserve">4041 (21.9)</w:t>
            </w:r>
          </w:p>
        </w:tc>
        <w:tc>
          <w:p>
            <w:pPr>
              <w:pStyle w:val="Compact"/>
              <w:jc w:val="left"/>
            </w:pPr>
            <w:r>
              <w:t xml:space="preserve">4124 (21.9)</w:t>
            </w:r>
          </w:p>
        </w:tc>
      </w:tr>
      <w:tr>
        <w:tc>
          <w:p>
            <w:pPr>
              <w:pStyle w:val="Compact"/>
              <w:jc w:val="left"/>
            </w:pPr>
            <w:r>
              <w:t xml:space="preserve">Civil status</w:t>
            </w:r>
          </w:p>
        </w:tc>
        <w:tc>
          <w:p>
            <w:pPr>
              <w:pStyle w:val="Compact"/>
              <w:jc w:val="left"/>
            </w:pPr>
            <w:r>
              <w:t xml:space="preserve">married</w:t>
            </w:r>
          </w:p>
        </w:tc>
        <w:tc>
          <w:p>
            <w:pPr>
              <w:pStyle w:val="Compact"/>
              <w:jc w:val="left"/>
            </w:pPr>
            <w:r>
              <w:t xml:space="preserve">1134 ( 52.2)</w:t>
            </w:r>
          </w:p>
        </w:tc>
        <w:tc>
          <w:p>
            <w:pPr>
              <w:pStyle w:val="Compact"/>
              <w:jc w:val="left"/>
            </w:pPr>
            <w:r>
              <w:t xml:space="preserve">47999 ( 55.4)</w:t>
            </w:r>
          </w:p>
        </w:tc>
        <w:tc>
          <w:p>
            <w:pPr>
              <w:pStyle w:val="Compact"/>
              <w:jc w:val="left"/>
            </w:pPr>
            <w:r>
              <w:t xml:space="preserve">49133 ( 55.3)</w:t>
            </w:r>
          </w:p>
        </w:tc>
        <w:tc>
          <w:p>
            <w:pPr>
              <w:pStyle w:val="Compact"/>
              <w:jc w:val="left"/>
            </w:pPr>
            <w:r>
              <w:t xml:space="preserve">204 (49.8)</w:t>
            </w:r>
          </w:p>
        </w:tc>
        <w:tc>
          <w:p>
            <w:pPr>
              <w:pStyle w:val="Compact"/>
              <w:jc w:val="left"/>
            </w:pPr>
            <w:r>
              <w:t xml:space="preserve">10724 (58.1)</w:t>
            </w:r>
          </w:p>
        </w:tc>
        <w:tc>
          <w:p>
            <w:pPr>
              <w:pStyle w:val="Compact"/>
              <w:jc w:val="left"/>
            </w:pPr>
            <w:r>
              <w:t xml:space="preserve">10928 (58.0)</w:t>
            </w:r>
          </w:p>
        </w:tc>
      </w:tr>
      <w:tr>
        <w:tc>
          <w:p/>
        </w:tc>
        <w:tc>
          <w:p>
            <w:pPr>
              <w:pStyle w:val="Compact"/>
              <w:jc w:val="left"/>
            </w:pPr>
            <w:r>
              <w:t xml:space="preserve">single</w:t>
            </w:r>
          </w:p>
        </w:tc>
        <w:tc>
          <w:p>
            <w:pPr>
              <w:pStyle w:val="Compact"/>
              <w:jc w:val="left"/>
            </w:pPr>
            <w:r>
              <w:t xml:space="preserve">647 ( 29.8)</w:t>
            </w:r>
          </w:p>
        </w:tc>
        <w:tc>
          <w:p>
            <w:pPr>
              <w:pStyle w:val="Compact"/>
              <w:jc w:val="left"/>
            </w:pPr>
            <w:r>
              <w:t xml:space="preserve">25283 ( 29.2)</w:t>
            </w:r>
          </w:p>
        </w:tc>
        <w:tc>
          <w:p>
            <w:pPr>
              <w:pStyle w:val="Compact"/>
              <w:jc w:val="left"/>
            </w:pPr>
            <w:r>
              <w:t xml:space="preserve">25930 ( 29.2)</w:t>
            </w:r>
          </w:p>
        </w:tc>
        <w:tc>
          <w:p>
            <w:pPr>
              <w:pStyle w:val="Compact"/>
              <w:jc w:val="left"/>
            </w:pPr>
            <w:r>
              <w:t xml:space="preserve">123 (30.0)</w:t>
            </w:r>
          </w:p>
        </w:tc>
        <w:tc>
          <w:p>
            <w:pPr>
              <w:pStyle w:val="Compact"/>
              <w:jc w:val="left"/>
            </w:pPr>
            <w:r>
              <w:t xml:space="preserve">4393 (23.8)</w:t>
            </w:r>
          </w:p>
        </w:tc>
        <w:tc>
          <w:p>
            <w:pPr>
              <w:pStyle w:val="Compact"/>
              <w:jc w:val="left"/>
            </w:pPr>
            <w:r>
              <w:t xml:space="preserve">4516 (23.9)</w:t>
            </w:r>
          </w:p>
        </w:tc>
      </w:tr>
      <w:tr>
        <w:tc>
          <w:p/>
        </w:tc>
        <w:tc>
          <w:p>
            <w:pPr>
              <w:pStyle w:val="Compact"/>
              <w:jc w:val="left"/>
            </w:pPr>
            <w:r>
              <w:t xml:space="preserve">widow/widower</w:t>
            </w:r>
          </w:p>
        </w:tc>
        <w:tc>
          <w:p>
            <w:pPr>
              <w:pStyle w:val="Compact"/>
              <w:jc w:val="left"/>
            </w:pPr>
            <w:r>
              <w:t xml:space="preserve">392 ( 18.0)</w:t>
            </w:r>
          </w:p>
        </w:tc>
        <w:tc>
          <w:p>
            <w:pPr>
              <w:pStyle w:val="Compact"/>
              <w:jc w:val="left"/>
            </w:pPr>
            <w:r>
              <w:t xml:space="preserve">13375 ( 15.4)</w:t>
            </w:r>
          </w:p>
        </w:tc>
        <w:tc>
          <w:p>
            <w:pPr>
              <w:pStyle w:val="Compact"/>
              <w:jc w:val="left"/>
            </w:pPr>
            <w:r>
              <w:t xml:space="preserve">13767 ( 15.5)</w:t>
            </w:r>
          </w:p>
        </w:tc>
        <w:tc>
          <w:p>
            <w:pPr>
              <w:pStyle w:val="Compact"/>
              <w:jc w:val="left"/>
            </w:pPr>
            <w:r>
              <w:t xml:space="preserve">83 (20.2)</w:t>
            </w:r>
          </w:p>
        </w:tc>
        <w:tc>
          <w:p>
            <w:pPr>
              <w:pStyle w:val="Compact"/>
              <w:jc w:val="left"/>
            </w:pPr>
            <w:r>
              <w:t xml:space="preserve">3327 (18.0)</w:t>
            </w:r>
          </w:p>
        </w:tc>
        <w:tc>
          <w:p>
            <w:pPr>
              <w:pStyle w:val="Compact"/>
              <w:jc w:val="left"/>
            </w:pPr>
            <w:r>
              <w:t xml:space="preserve">3410 (18.1)</w:t>
            </w:r>
          </w:p>
        </w:tc>
      </w:tr>
      <w:tr>
        <w:tc>
          <w:p>
            <w:pPr>
              <w:pStyle w:val="Compact"/>
              <w:jc w:val="left"/>
            </w:pPr>
            <w:r>
              <w:t xml:space="preserve">Charlson</w:t>
            </w:r>
          </w:p>
        </w:tc>
        <w:tc>
          <w:p>
            <w:pPr>
              <w:pStyle w:val="Compact"/>
              <w:jc w:val="left"/>
            </w:pPr>
            <w:r>
              <w:t xml:space="preserve">0</w:t>
            </w:r>
          </w:p>
        </w:tc>
        <w:tc>
          <w:p>
            <w:pPr>
              <w:pStyle w:val="Compact"/>
              <w:jc w:val="left"/>
            </w:pPr>
            <w:r>
              <w:t xml:space="preserve">1413 ( 65.0)</w:t>
            </w:r>
          </w:p>
        </w:tc>
        <w:tc>
          <w:p>
            <w:pPr>
              <w:pStyle w:val="Compact"/>
              <w:jc w:val="left"/>
            </w:pPr>
            <w:r>
              <w:t xml:space="preserve">66024 ( 76.2)</w:t>
            </w:r>
          </w:p>
        </w:tc>
        <w:tc>
          <w:p>
            <w:pPr>
              <w:pStyle w:val="Compact"/>
              <w:jc w:val="left"/>
            </w:pPr>
            <w:r>
              <w:t xml:space="preserve">67437 ( 75.9)</w:t>
            </w:r>
          </w:p>
        </w:tc>
        <w:tc>
          <w:p>
            <w:pPr>
              <w:pStyle w:val="Compact"/>
              <w:jc w:val="left"/>
            </w:pPr>
            <w:r>
              <w:t xml:space="preserve">328 (80.0)</w:t>
            </w:r>
          </w:p>
        </w:tc>
        <w:tc>
          <w:p>
            <w:pPr>
              <w:pStyle w:val="Compact"/>
              <w:jc w:val="left"/>
            </w:pPr>
            <w:r>
              <w:t xml:space="preserve">15804 (85.7)</w:t>
            </w:r>
          </w:p>
        </w:tc>
        <w:tc>
          <w:p>
            <w:pPr>
              <w:pStyle w:val="Compact"/>
              <w:jc w:val="left"/>
            </w:pPr>
            <w:r>
              <w:t xml:space="preserve">16132 (85.6)</w:t>
            </w:r>
          </w:p>
        </w:tc>
      </w:tr>
      <w:tr>
        <w:tc>
          <w:p/>
        </w:tc>
        <w:tc>
          <w:p>
            <w:pPr>
              <w:pStyle w:val="Compact"/>
              <w:jc w:val="left"/>
            </w:pPr>
            <w:r>
              <w:t xml:space="preserve">1</w:t>
            </w:r>
          </w:p>
        </w:tc>
        <w:tc>
          <w:p>
            <w:pPr>
              <w:pStyle w:val="Compact"/>
              <w:jc w:val="left"/>
            </w:pPr>
            <w:r>
              <w:t xml:space="preserve">423 ( 19.5)</w:t>
            </w:r>
          </w:p>
        </w:tc>
        <w:tc>
          <w:p>
            <w:pPr>
              <w:pStyle w:val="Compact"/>
              <w:jc w:val="left"/>
            </w:pPr>
            <w:r>
              <w:t xml:space="preserve">12281 ( 14.2)</w:t>
            </w:r>
          </w:p>
        </w:tc>
        <w:tc>
          <w:p>
            <w:pPr>
              <w:pStyle w:val="Compact"/>
              <w:jc w:val="left"/>
            </w:pPr>
            <w:r>
              <w:t xml:space="preserve">12704 ( 14.3)</w:t>
            </w:r>
          </w:p>
        </w:tc>
        <w:tc>
          <w:p>
            <w:pPr>
              <w:pStyle w:val="Compact"/>
              <w:jc w:val="left"/>
            </w:pPr>
            <w:r>
              <w:t xml:space="preserve">63 (15.4)</w:t>
            </w:r>
          </w:p>
        </w:tc>
        <w:tc>
          <w:p>
            <w:pPr>
              <w:pStyle w:val="Compact"/>
              <w:jc w:val="left"/>
            </w:pPr>
            <w:r>
              <w:t xml:space="preserve">2180 (11.8)</w:t>
            </w:r>
          </w:p>
        </w:tc>
        <w:tc>
          <w:p>
            <w:pPr>
              <w:pStyle w:val="Compact"/>
              <w:jc w:val="left"/>
            </w:pPr>
            <w:r>
              <w:t xml:space="preserve">2243 (11.9)</w:t>
            </w:r>
          </w:p>
        </w:tc>
      </w:tr>
      <w:tr>
        <w:tc>
          <w:p/>
        </w:tc>
        <w:tc>
          <w:p>
            <w:pPr>
              <w:pStyle w:val="Compact"/>
              <w:jc w:val="left"/>
            </w:pPr>
            <w:r>
              <w:t xml:space="preserve">2+</w:t>
            </w:r>
          </w:p>
        </w:tc>
        <w:tc>
          <w:p>
            <w:pPr>
              <w:pStyle w:val="Compact"/>
              <w:jc w:val="left"/>
            </w:pPr>
            <w:r>
              <w:t xml:space="preserve">337 ( 15.5)</w:t>
            </w:r>
          </w:p>
        </w:tc>
        <w:tc>
          <w:p>
            <w:pPr>
              <w:pStyle w:val="Compact"/>
              <w:jc w:val="left"/>
            </w:pPr>
            <w:r>
              <w:t xml:space="preserve">8352 ( 9.6)</w:t>
            </w:r>
          </w:p>
        </w:tc>
        <w:tc>
          <w:p>
            <w:pPr>
              <w:pStyle w:val="Compact"/>
              <w:jc w:val="left"/>
            </w:pPr>
            <w:r>
              <w:t xml:space="preserve">8689 ( 9.8)</w:t>
            </w:r>
          </w:p>
        </w:tc>
        <w:tc>
          <w:p>
            <w:pPr>
              <w:pStyle w:val="Compact"/>
              <w:jc w:val="left"/>
            </w:pPr>
            <w:r>
              <w:t xml:space="preserve">19 (4.6)</w:t>
            </w:r>
          </w:p>
        </w:tc>
        <w:tc>
          <w:p>
            <w:pPr>
              <w:pStyle w:val="Compact"/>
              <w:jc w:val="left"/>
            </w:pPr>
            <w:r>
              <w:t xml:space="preserve">460 (2.5)</w:t>
            </w:r>
          </w:p>
        </w:tc>
        <w:tc>
          <w:p>
            <w:pPr>
              <w:pStyle w:val="Compact"/>
              <w:jc w:val="left"/>
            </w:pPr>
            <w:r>
              <w:t xml:space="preserve">479 (2.5)</w:t>
            </w:r>
          </w:p>
        </w:tc>
      </w:tr>
      <w:tr>
        <w:tc>
          <w:p>
            <w:pPr>
              <w:pStyle w:val="Compact"/>
              <w:jc w:val="left"/>
            </w:pPr>
            <w:r>
              <w:t xml:space="preserve">Elixhauser</w:t>
            </w:r>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1</w:t>
            </w:r>
          </w:p>
        </w:tc>
        <w:tc>
          <w:p>
            <w:pPr>
              <w:pStyle w:val="Compact"/>
              <w:jc w:val="left"/>
            </w:pPr>
            <w:r>
              <w:t xml:space="preserve">539 ( 24.8)</w:t>
            </w:r>
          </w:p>
        </w:tc>
        <w:tc>
          <w:p>
            <w:pPr>
              <w:pStyle w:val="Compact"/>
              <w:jc w:val="left"/>
            </w:pPr>
            <w:r>
              <w:t xml:space="preserve">20809 ( 24.0)</w:t>
            </w:r>
          </w:p>
        </w:tc>
        <w:tc>
          <w:p>
            <w:pPr>
              <w:pStyle w:val="Compact"/>
              <w:jc w:val="left"/>
            </w:pPr>
            <w:r>
              <w:t xml:space="preserve">21348 ( 24.0)</w:t>
            </w:r>
          </w:p>
        </w:tc>
        <w:tc>
          <w:p>
            <w:pPr>
              <w:pStyle w:val="Compact"/>
              <w:jc w:val="left"/>
            </w:pPr>
            <w:r>
              <w:t xml:space="preserve">77 (18.8)</w:t>
            </w:r>
          </w:p>
        </w:tc>
        <w:tc>
          <w:p>
            <w:pPr>
              <w:pStyle w:val="Compact"/>
              <w:jc w:val="left"/>
            </w:pPr>
            <w:r>
              <w:t xml:space="preserve">2639 (14.3)</w:t>
            </w:r>
          </w:p>
        </w:tc>
        <w:tc>
          <w:p>
            <w:pPr>
              <w:pStyle w:val="Compact"/>
              <w:jc w:val="left"/>
            </w:pPr>
            <w:r>
              <w:t xml:space="preserve">2716 (14.4)</w:t>
            </w:r>
          </w:p>
        </w:tc>
      </w:tr>
      <w:tr>
        <w:tc>
          <w:p/>
        </w:tc>
        <w:tc>
          <w:p>
            <w:pPr>
              <w:pStyle w:val="Compact"/>
              <w:jc w:val="left"/>
            </w:pPr>
            <w:r>
              <w:t xml:space="preserve">2</w:t>
            </w:r>
          </w:p>
        </w:tc>
        <w:tc>
          <w:p>
            <w:pPr>
              <w:pStyle w:val="Compact"/>
              <w:jc w:val="left"/>
            </w:pPr>
            <w:r>
              <w:t xml:space="preserve">372 ( 17.1)</w:t>
            </w:r>
          </w:p>
        </w:tc>
        <w:tc>
          <w:p>
            <w:pPr>
              <w:pStyle w:val="Compact"/>
              <w:jc w:val="left"/>
            </w:pPr>
            <w:r>
              <w:t xml:space="preserve">10362 ( 12.0)</w:t>
            </w:r>
          </w:p>
        </w:tc>
        <w:tc>
          <w:p>
            <w:pPr>
              <w:pStyle w:val="Compact"/>
              <w:jc w:val="left"/>
            </w:pPr>
            <w:r>
              <w:t xml:space="preserve">10734 ( 12.1)</w:t>
            </w:r>
          </w:p>
        </w:tc>
        <w:tc>
          <w:p>
            <w:pPr>
              <w:pStyle w:val="Compact"/>
              <w:jc w:val="left"/>
            </w:pPr>
            <w:r>
              <w:t xml:space="preserve">35 (8.5)</w:t>
            </w:r>
          </w:p>
        </w:tc>
        <w:tc>
          <w:p>
            <w:pPr>
              <w:pStyle w:val="Compact"/>
              <w:jc w:val="left"/>
            </w:pPr>
            <w:r>
              <w:t xml:space="preserve">865 (4.7)</w:t>
            </w:r>
          </w:p>
        </w:tc>
        <w:tc>
          <w:p>
            <w:pPr>
              <w:pStyle w:val="Compact"/>
              <w:jc w:val="left"/>
            </w:pPr>
            <w:r>
              <w:t xml:space="preserve">900 (4.8)</w:t>
            </w:r>
          </w:p>
        </w:tc>
      </w:tr>
      <w:tr>
        <w:tc>
          <w:p/>
        </w:tc>
        <w:tc>
          <w:p>
            <w:pPr>
              <w:pStyle w:val="Compact"/>
              <w:jc w:val="left"/>
            </w:pPr>
            <w:r>
              <w:t xml:space="preserve">3+</w:t>
            </w:r>
          </w:p>
        </w:tc>
        <w:tc>
          <w:p>
            <w:pPr>
              <w:pStyle w:val="Compact"/>
              <w:jc w:val="left"/>
            </w:pPr>
            <w:r>
              <w:t xml:space="preserve">316 ( 14.5)</w:t>
            </w:r>
          </w:p>
        </w:tc>
        <w:tc>
          <w:p>
            <w:pPr>
              <w:pStyle w:val="Compact"/>
              <w:jc w:val="left"/>
            </w:pPr>
            <w:r>
              <w:t xml:space="preserve">6219 ( 7.2)</w:t>
            </w:r>
          </w:p>
        </w:tc>
        <w:tc>
          <w:p>
            <w:pPr>
              <w:pStyle w:val="Compact"/>
              <w:jc w:val="left"/>
            </w:pPr>
            <w:r>
              <w:t xml:space="preserve">6535 ( 7.4)</w:t>
            </w:r>
          </w:p>
        </w:tc>
        <w:tc>
          <w:p>
            <w:pPr>
              <w:pStyle w:val="Compact"/>
              <w:jc w:val="left"/>
            </w:pPr>
            <w:r>
              <w:t xml:space="preserve">18 (4.4)</w:t>
            </w:r>
          </w:p>
        </w:tc>
        <w:tc>
          <w:p>
            <w:pPr>
              <w:pStyle w:val="Compact"/>
              <w:jc w:val="left"/>
            </w:pPr>
            <w:r>
              <w:t xml:space="preserve">467 (2.5)</w:t>
            </w:r>
          </w:p>
        </w:tc>
        <w:tc>
          <w:p>
            <w:pPr>
              <w:pStyle w:val="Compact"/>
              <w:jc w:val="left"/>
            </w:pPr>
            <w:r>
              <w:t xml:space="preserve">485 (2.6)</w:t>
            </w:r>
          </w:p>
        </w:tc>
      </w:tr>
      <w:tr>
        <w:tc>
          <w:p>
            <w:pPr>
              <w:pStyle w:val="Compact"/>
              <w:jc w:val="left"/>
            </w:pPr>
            <w:r>
              <w:t xml:space="preserve">RxRiskV</w:t>
            </w:r>
          </w:p>
        </w:tc>
        <w:tc>
          <w:p>
            <w:pPr>
              <w:pStyle w:val="Compact"/>
              <w:jc w:val="left"/>
            </w:pPr>
            <w:r>
              <w:t xml:space="preserve">-5-0</w:t>
            </w:r>
          </w:p>
        </w:tc>
        <w:tc>
          <w:p>
            <w:pPr>
              <w:pStyle w:val="Compact"/>
              <w:jc w:val="left"/>
            </w:pPr>
            <w:r>
              <w:t xml:space="preserve">448 ( 20.6)</w:t>
            </w:r>
          </w:p>
        </w:tc>
        <w:tc>
          <w:p>
            <w:pPr>
              <w:pStyle w:val="Compact"/>
              <w:jc w:val="left"/>
            </w:pPr>
            <w:r>
              <w:t xml:space="preserve">25508 ( 29.4)</w:t>
            </w:r>
          </w:p>
        </w:tc>
        <w:tc>
          <w:p>
            <w:pPr>
              <w:pStyle w:val="Compact"/>
              <w:jc w:val="left"/>
            </w:pPr>
            <w:r>
              <w:t xml:space="preserve">25956 ( 29.2)</w:t>
            </w:r>
          </w:p>
        </w:tc>
        <w:tc>
          <w:p>
            <w:pPr>
              <w:pStyle w:val="Compact"/>
              <w:jc w:val="left"/>
            </w:pPr>
            <w:r>
              <w:t xml:space="preserve">123 (30.0)</w:t>
            </w:r>
          </w:p>
        </w:tc>
        <w:tc>
          <w:p>
            <w:pPr>
              <w:pStyle w:val="Compact"/>
              <w:jc w:val="left"/>
            </w:pPr>
            <w:r>
              <w:t xml:space="preserve">8106 (43.9)</w:t>
            </w:r>
          </w:p>
        </w:tc>
        <w:tc>
          <w:p>
            <w:pPr>
              <w:pStyle w:val="Compact"/>
              <w:jc w:val="left"/>
            </w:pPr>
            <w:r>
              <w:t xml:space="preserve">8229 (43.6)</w:t>
            </w:r>
          </w:p>
        </w:tc>
      </w:tr>
      <w:tr>
        <w:tc>
          <w:p/>
        </w:tc>
        <w:tc>
          <w:p>
            <w:pPr>
              <w:pStyle w:val="Compact"/>
              <w:jc w:val="left"/>
            </w:pPr>
            <w:r>
              <w:t xml:space="preserve">1-3</w:t>
            </w:r>
          </w:p>
        </w:tc>
        <w:tc>
          <w:p>
            <w:pPr>
              <w:pStyle w:val="Compact"/>
              <w:jc w:val="left"/>
            </w:pPr>
            <w:r>
              <w:t xml:space="preserve">711 ( 32.7)</w:t>
            </w:r>
          </w:p>
        </w:tc>
        <w:tc>
          <w:p>
            <w:pPr>
              <w:pStyle w:val="Compact"/>
              <w:jc w:val="left"/>
            </w:pPr>
            <w:r>
              <w:t xml:space="preserve">30846 ( 35.6)</w:t>
            </w:r>
          </w:p>
        </w:tc>
        <w:tc>
          <w:p>
            <w:pPr>
              <w:pStyle w:val="Compact"/>
              <w:jc w:val="left"/>
            </w:pPr>
            <w:r>
              <w:t xml:space="preserve">31557 ( 35.5)</w:t>
            </w:r>
          </w:p>
        </w:tc>
        <w:tc>
          <w:p>
            <w:pPr>
              <w:pStyle w:val="Compact"/>
              <w:jc w:val="left"/>
            </w:pPr>
            <w:r>
              <w:t xml:space="preserve">153 (37.3)</w:t>
            </w:r>
          </w:p>
        </w:tc>
        <w:tc>
          <w:p>
            <w:pPr>
              <w:pStyle w:val="Compact"/>
              <w:jc w:val="left"/>
            </w:pPr>
            <w:r>
              <w:t xml:space="preserve">6277 (34.0)</w:t>
            </w:r>
          </w:p>
        </w:tc>
        <w:tc>
          <w:p>
            <w:pPr>
              <w:pStyle w:val="Compact"/>
              <w:jc w:val="left"/>
            </w:pPr>
            <w:r>
              <w:t xml:space="preserve">6430 (34.1)</w:t>
            </w:r>
          </w:p>
        </w:tc>
      </w:tr>
      <w:tr>
        <w:tc>
          <w:p/>
        </w:tc>
        <w:tc>
          <w:p>
            <w:pPr>
              <w:pStyle w:val="Compact"/>
              <w:jc w:val="left"/>
            </w:pPr>
            <w:r>
              <w:t xml:space="preserve">4-6</w:t>
            </w:r>
          </w:p>
        </w:tc>
        <w:tc>
          <w:p>
            <w:pPr>
              <w:pStyle w:val="Compact"/>
              <w:jc w:val="left"/>
            </w:pPr>
            <w:r>
              <w:t xml:space="preserve">547 ( 25.2)</w:t>
            </w:r>
          </w:p>
        </w:tc>
        <w:tc>
          <w:p>
            <w:pPr>
              <w:pStyle w:val="Compact"/>
              <w:jc w:val="left"/>
            </w:pPr>
            <w:r>
              <w:t xml:space="preserve">19304 ( 22.3)</w:t>
            </w:r>
          </w:p>
        </w:tc>
        <w:tc>
          <w:p>
            <w:pPr>
              <w:pStyle w:val="Compact"/>
              <w:jc w:val="left"/>
            </w:pPr>
            <w:r>
              <w:t xml:space="preserve">19851 ( 22.3)</w:t>
            </w:r>
          </w:p>
        </w:tc>
        <w:tc>
          <w:p>
            <w:pPr>
              <w:pStyle w:val="Compact"/>
              <w:jc w:val="left"/>
            </w:pPr>
            <w:r>
              <w:t xml:space="preserve">86 (21.0)</w:t>
            </w:r>
          </w:p>
        </w:tc>
        <w:tc>
          <w:p>
            <w:pPr>
              <w:pStyle w:val="Compact"/>
              <w:jc w:val="left"/>
            </w:pPr>
            <w:r>
              <w:t xml:space="preserve">2684 (14.6)</w:t>
            </w:r>
          </w:p>
        </w:tc>
        <w:tc>
          <w:p>
            <w:pPr>
              <w:pStyle w:val="Compact"/>
              <w:jc w:val="left"/>
            </w:pPr>
            <w:r>
              <w:t xml:space="preserve">2770 (14.7)</w:t>
            </w:r>
          </w:p>
        </w:tc>
      </w:tr>
      <w:tr>
        <w:tc>
          <w:p/>
        </w:tc>
        <w:tc>
          <w:p>
            <w:pPr>
              <w:pStyle w:val="Compact"/>
              <w:jc w:val="left"/>
            </w:pPr>
            <w:r>
              <w:t xml:space="preserve">7+</w:t>
            </w:r>
          </w:p>
        </w:tc>
        <w:tc>
          <w:p>
            <w:pPr>
              <w:pStyle w:val="Compact"/>
              <w:jc w:val="left"/>
            </w:pPr>
            <w:r>
              <w:t xml:space="preserve">467 ( 21.5)</w:t>
            </w:r>
          </w:p>
        </w:tc>
        <w:tc>
          <w:p>
            <w:pPr>
              <w:pStyle w:val="Compact"/>
              <w:jc w:val="left"/>
            </w:pPr>
            <w:r>
              <w:t xml:space="preserve">10999 ( 12.7)</w:t>
            </w:r>
          </w:p>
        </w:tc>
        <w:tc>
          <w:p>
            <w:pPr>
              <w:pStyle w:val="Compact"/>
              <w:jc w:val="left"/>
            </w:pPr>
            <w:r>
              <w:t xml:space="preserve">11466 ( 12.9)</w:t>
            </w:r>
          </w:p>
        </w:tc>
        <w:tc>
          <w:p>
            <w:pPr>
              <w:pStyle w:val="Compact"/>
              <w:jc w:val="left"/>
            </w:pPr>
            <w:r>
              <w:t xml:space="preserve">48 (11.7)</w:t>
            </w:r>
          </w:p>
        </w:tc>
        <w:tc>
          <w:p>
            <w:pPr>
              <w:pStyle w:val="Compact"/>
              <w:jc w:val="left"/>
            </w:pPr>
            <w:r>
              <w:t xml:space="preserve">1377 (7.5)</w:t>
            </w:r>
          </w:p>
        </w:tc>
        <w:tc>
          <w:p>
            <w:pPr>
              <w:pStyle w:val="Compact"/>
              <w:jc w:val="left"/>
            </w:pPr>
            <w:r>
              <w:t xml:space="preserve">1425 (7.6)</w:t>
            </w:r>
          </w:p>
        </w:tc>
      </w:tr>
      <w:tr>
        <w:tc>
          <w:p>
            <w:pPr>
              <w:pStyle w:val="Compact"/>
              <w:jc w:val="left"/>
            </w:pPr>
            <w:r>
              <w:t xml:space="preserve">AIDS/HIV</w:t>
            </w:r>
          </w:p>
        </w:tc>
        <w:tc>
          <w:p/>
        </w:tc>
        <w:tc>
          <w:p>
            <w:pPr>
              <w:pStyle w:val="Compact"/>
              <w:jc w:val="left"/>
            </w:pPr>
            <w:r>
              <w:t xml:space="preserve">1 ( 0.0)</w:t>
            </w:r>
          </w:p>
        </w:tc>
        <w:tc>
          <w:p>
            <w:pPr>
              <w:pStyle w:val="Compact"/>
              <w:jc w:val="left"/>
            </w:pPr>
            <w:r>
              <w:t xml:space="preserve">15 ( 0.0)</w:t>
            </w:r>
          </w:p>
        </w:tc>
        <w:tc>
          <w:p>
            <w:pPr>
              <w:pStyle w:val="Compact"/>
              <w:jc w:val="left"/>
            </w:pPr>
            <w:r>
              <w:t xml:space="preserve">16 ( 0.0)</w:t>
            </w:r>
          </w:p>
        </w:tc>
        <w:tc>
          <w:p>
            <w:pPr>
              <w:pStyle w:val="Compact"/>
              <w:jc w:val="left"/>
            </w:pPr>
            <w:r>
              <w:t xml:space="preserve">0 (0.0)</w:t>
            </w:r>
          </w:p>
        </w:tc>
        <w:tc>
          <w:p>
            <w:pPr>
              <w:pStyle w:val="Compact"/>
              <w:jc w:val="left"/>
            </w:pPr>
            <w:r>
              <w:t xml:space="preserve">8 (0.0)</w:t>
            </w:r>
          </w:p>
        </w:tc>
        <w:tc>
          <w:p>
            <w:pPr>
              <w:pStyle w:val="Compact"/>
              <w:jc w:val="left"/>
            </w:pPr>
            <w:r>
              <w:t xml:space="preserve">8 (0.0)</w:t>
            </w:r>
          </w:p>
        </w:tc>
      </w:tr>
      <w:tr>
        <w:tc>
          <w:p>
            <w:pPr>
              <w:pStyle w:val="Compact"/>
              <w:jc w:val="left"/>
            </w:pPr>
            <w:r>
              <w:t xml:space="preserve">Anemia</w:t>
            </w:r>
          </w:p>
        </w:tc>
        <w:tc>
          <w:p/>
        </w:tc>
        <w:tc>
          <w:p>
            <w:pPr>
              <w:pStyle w:val="Compact"/>
              <w:jc w:val="left"/>
            </w:pPr>
            <w:r>
              <w:t xml:space="preserve">20 ( 0.9)</w:t>
            </w:r>
          </w:p>
        </w:tc>
        <w:tc>
          <w:p>
            <w:pPr>
              <w:pStyle w:val="Compact"/>
              <w:jc w:val="left"/>
            </w:pPr>
            <w:r>
              <w:t xml:space="preserve">599 ( 0.7)</w:t>
            </w:r>
          </w:p>
        </w:tc>
        <w:tc>
          <w:p>
            <w:pPr>
              <w:pStyle w:val="Compact"/>
              <w:jc w:val="left"/>
            </w:pPr>
            <w:r>
              <w:t xml:space="preserve">619 ( 0.7)</w:t>
            </w:r>
          </w:p>
        </w:tc>
        <w:tc>
          <w:p>
            <w:pPr>
              <w:pStyle w:val="Compact"/>
              <w:jc w:val="left"/>
            </w:pPr>
            <w:r>
              <w:t xml:space="preserve">0 (0.0)</w:t>
            </w:r>
          </w:p>
        </w:tc>
        <w:tc>
          <w:p>
            <w:pPr>
              <w:pStyle w:val="Compact"/>
              <w:jc w:val="left"/>
            </w:pPr>
            <w:r>
              <w:t xml:space="preserve">49 (0.3)</w:t>
            </w:r>
          </w:p>
        </w:tc>
        <w:tc>
          <w:p>
            <w:pPr>
              <w:pStyle w:val="Compact"/>
              <w:jc w:val="left"/>
            </w:pPr>
            <w:r>
              <w:t xml:space="preserve">49 (0.3)</w:t>
            </w:r>
          </w:p>
        </w:tc>
      </w:tr>
      <w:tr>
        <w:tc>
          <w:p>
            <w:pPr>
              <w:pStyle w:val="Compact"/>
              <w:jc w:val="left"/>
            </w:pPr>
            <w:r>
              <w:t xml:space="preserve">Arrhythmia</w:t>
            </w:r>
          </w:p>
        </w:tc>
        <w:tc>
          <w:p/>
        </w:tc>
        <w:tc>
          <w:p>
            <w:pPr>
              <w:pStyle w:val="Compact"/>
              <w:jc w:val="left"/>
            </w:pPr>
            <w:r>
              <w:t xml:space="preserve">271 ( 12.5)</w:t>
            </w:r>
          </w:p>
        </w:tc>
        <w:tc>
          <w:p>
            <w:pPr>
              <w:pStyle w:val="Compact"/>
              <w:jc w:val="left"/>
            </w:pPr>
            <w:r>
              <w:t xml:space="preserve">6097 ( 7.0)</w:t>
            </w:r>
          </w:p>
        </w:tc>
        <w:tc>
          <w:p>
            <w:pPr>
              <w:pStyle w:val="Compact"/>
              <w:jc w:val="left"/>
            </w:pPr>
            <w:r>
              <w:t xml:space="preserve">6368 ( 7.2)</w:t>
            </w:r>
          </w:p>
        </w:tc>
        <w:tc>
          <w:p>
            <w:pPr>
              <w:pStyle w:val="Compact"/>
              <w:jc w:val="left"/>
            </w:pPr>
            <w:r>
              <w:t xml:space="preserve">28 (6.8)</w:t>
            </w:r>
          </w:p>
        </w:tc>
        <w:tc>
          <w:p>
            <w:pPr>
              <w:pStyle w:val="Compact"/>
              <w:jc w:val="left"/>
            </w:pPr>
            <w:r>
              <w:t xml:space="preserve">815 (4.4)</w:t>
            </w:r>
          </w:p>
        </w:tc>
        <w:tc>
          <w:p>
            <w:pPr>
              <w:pStyle w:val="Compact"/>
              <w:jc w:val="left"/>
            </w:pPr>
            <w:r>
              <w:t xml:space="preserve">843 (4.5)</w:t>
            </w:r>
          </w:p>
        </w:tc>
      </w:tr>
      <w:tr>
        <w:tc>
          <w:p>
            <w:pPr>
              <w:pStyle w:val="Compact"/>
              <w:jc w:val="left"/>
            </w:pPr>
            <w:r>
              <w:t xml:space="preserve">Arterial hypertension</w:t>
            </w:r>
          </w:p>
        </w:tc>
        <w:tc>
          <w:p/>
        </w:tc>
        <w:tc>
          <w:p>
            <w:pPr>
              <w:pStyle w:val="Compact"/>
              <w:jc w:val="left"/>
            </w:pPr>
            <w:r>
              <w:t xml:space="preserve">753 ( 34.7)</w:t>
            </w:r>
          </w:p>
        </w:tc>
        <w:tc>
          <w:p>
            <w:pPr>
              <w:pStyle w:val="Compact"/>
              <w:jc w:val="left"/>
            </w:pPr>
            <w:r>
              <w:t xml:space="preserve">23305 ( 26.9)</w:t>
            </w:r>
          </w:p>
        </w:tc>
        <w:tc>
          <w:p>
            <w:pPr>
              <w:pStyle w:val="Compact"/>
              <w:jc w:val="left"/>
            </w:pPr>
            <w:r>
              <w:t xml:space="preserve">24058 ( 27.1)</w:t>
            </w:r>
          </w:p>
        </w:tc>
        <w:tc>
          <w:p>
            <w:pPr>
              <w:pStyle w:val="Compact"/>
              <w:jc w:val="left"/>
            </w:pPr>
            <w:r>
              <w:t xml:space="preserve">45 (11.0)</w:t>
            </w:r>
          </w:p>
        </w:tc>
        <w:tc>
          <w:p>
            <w:pPr>
              <w:pStyle w:val="Compact"/>
              <w:jc w:val="left"/>
            </w:pPr>
            <w:r>
              <w:t xml:space="preserve">1395 (7.6)</w:t>
            </w:r>
          </w:p>
        </w:tc>
        <w:tc>
          <w:p>
            <w:pPr>
              <w:pStyle w:val="Compact"/>
              <w:jc w:val="left"/>
            </w:pPr>
            <w:r>
              <w:t xml:space="preserve">1440 (7.6)</w:t>
            </w:r>
          </w:p>
        </w:tc>
      </w:tr>
      <w:tr>
        <w:tc>
          <w:p>
            <w:pPr>
              <w:pStyle w:val="Compact"/>
              <w:jc w:val="left"/>
            </w:pPr>
            <w:r>
              <w:t xml:space="preserve">Cancer</w:t>
            </w:r>
          </w:p>
        </w:tc>
        <w:tc>
          <w:p/>
        </w:tc>
        <w:tc>
          <w:p>
            <w:pPr>
              <w:pStyle w:val="Compact"/>
              <w:jc w:val="left"/>
            </w:pPr>
            <w:r>
              <w:t xml:space="preserve">142 ( 6.5)</w:t>
            </w:r>
          </w:p>
        </w:tc>
        <w:tc>
          <w:p>
            <w:pPr>
              <w:pStyle w:val="Compact"/>
              <w:jc w:val="left"/>
            </w:pPr>
            <w:r>
              <w:t xml:space="preserve">3855 ( 4.4)</w:t>
            </w:r>
          </w:p>
        </w:tc>
        <w:tc>
          <w:p>
            <w:pPr>
              <w:pStyle w:val="Compact"/>
              <w:jc w:val="left"/>
            </w:pPr>
            <w:r>
              <w:t xml:space="preserve">3997 ( 4.5)</w:t>
            </w:r>
          </w:p>
        </w:tc>
        <w:tc>
          <w:p>
            <w:pPr>
              <w:pStyle w:val="Compact"/>
              <w:jc w:val="left"/>
            </w:pPr>
            <w:r>
              <w:t xml:space="preserve">20 (4.9)</w:t>
            </w:r>
          </w:p>
        </w:tc>
        <w:tc>
          <w:p>
            <w:pPr>
              <w:pStyle w:val="Compact"/>
              <w:jc w:val="left"/>
            </w:pPr>
            <w:r>
              <w:t xml:space="preserve">802 (4.3)</w:t>
            </w:r>
          </w:p>
        </w:tc>
        <w:tc>
          <w:p>
            <w:pPr>
              <w:pStyle w:val="Compact"/>
              <w:jc w:val="left"/>
            </w:pPr>
            <w:r>
              <w:t xml:space="preserve">822 (4.4)</w:t>
            </w:r>
          </w:p>
        </w:tc>
      </w:tr>
      <w:tr>
        <w:tc>
          <w:p>
            <w:pPr>
              <w:pStyle w:val="Compact"/>
              <w:jc w:val="left"/>
            </w:pPr>
            <w:r>
              <w:t xml:space="preserve">CNS disease</w:t>
            </w:r>
          </w:p>
        </w:tc>
        <w:tc>
          <w:p/>
        </w:tc>
        <w:tc>
          <w:p>
            <w:pPr>
              <w:pStyle w:val="Compact"/>
              <w:jc w:val="left"/>
            </w:pPr>
            <w:r>
              <w:t xml:space="preserve">166 ( 7.6)</w:t>
            </w:r>
          </w:p>
        </w:tc>
        <w:tc>
          <w:p>
            <w:pPr>
              <w:pStyle w:val="Compact"/>
              <w:jc w:val="left"/>
            </w:pPr>
            <w:r>
              <w:t xml:space="preserve">2976 ( 3.4)</w:t>
            </w:r>
          </w:p>
        </w:tc>
        <w:tc>
          <w:p>
            <w:pPr>
              <w:pStyle w:val="Compact"/>
              <w:jc w:val="left"/>
            </w:pPr>
            <w:r>
              <w:t xml:space="preserve">3142 ( 3.5)</w:t>
            </w:r>
          </w:p>
        </w:tc>
        <w:tc>
          <w:p>
            <w:pPr>
              <w:pStyle w:val="Compact"/>
              <w:jc w:val="left"/>
            </w:pPr>
            <w:r>
              <w:t xml:space="preserve">17 (4.1)</w:t>
            </w:r>
          </w:p>
        </w:tc>
        <w:tc>
          <w:p>
            <w:pPr>
              <w:pStyle w:val="Compact"/>
              <w:jc w:val="left"/>
            </w:pPr>
            <w:r>
              <w:t xml:space="preserve">293 (1.6)</w:t>
            </w:r>
          </w:p>
        </w:tc>
        <w:tc>
          <w:p>
            <w:pPr>
              <w:pStyle w:val="Compact"/>
              <w:jc w:val="left"/>
            </w:pPr>
            <w:r>
              <w:t xml:space="preserve">310 (1.6)</w:t>
            </w:r>
          </w:p>
        </w:tc>
      </w:tr>
      <w:tr>
        <w:tc>
          <w:p>
            <w:pPr>
              <w:pStyle w:val="Compact"/>
              <w:jc w:val="left"/>
            </w:pPr>
            <w:r>
              <w:t xml:space="preserve">Coagulopathy</w:t>
            </w:r>
          </w:p>
        </w:tc>
        <w:tc>
          <w:p/>
        </w:tc>
        <w:tc>
          <w:p>
            <w:pPr>
              <w:pStyle w:val="Compact"/>
              <w:jc w:val="left"/>
            </w:pPr>
            <w:r>
              <w:t xml:space="preserve">9 ( 0.4)</w:t>
            </w:r>
          </w:p>
        </w:tc>
        <w:tc>
          <w:p>
            <w:pPr>
              <w:pStyle w:val="Compact"/>
              <w:jc w:val="left"/>
            </w:pPr>
            <w:r>
              <w:t xml:space="preserve">320 ( 0.4)</w:t>
            </w:r>
          </w:p>
        </w:tc>
        <w:tc>
          <w:p>
            <w:pPr>
              <w:pStyle w:val="Compact"/>
              <w:jc w:val="left"/>
            </w:pPr>
            <w:r>
              <w:t xml:space="preserve">329 ( 0.4)</w:t>
            </w:r>
          </w:p>
        </w:tc>
        <w:tc>
          <w:p>
            <w:pPr>
              <w:pStyle w:val="Compact"/>
              <w:jc w:val="left"/>
            </w:pPr>
            <w:r>
              <w:t xml:space="preserve">0 (0.0)</w:t>
            </w:r>
          </w:p>
        </w:tc>
        <w:tc>
          <w:p>
            <w:pPr>
              <w:pStyle w:val="Compact"/>
              <w:jc w:val="left"/>
            </w:pPr>
            <w:r>
              <w:t xml:space="preserve">17 (0.1)</w:t>
            </w:r>
          </w:p>
        </w:tc>
        <w:tc>
          <w:p>
            <w:pPr>
              <w:pStyle w:val="Compact"/>
              <w:jc w:val="left"/>
            </w:pPr>
            <w:r>
              <w:t xml:space="preserve">17 (0.1)</w:t>
            </w:r>
          </w:p>
        </w:tc>
      </w:tr>
      <w:tr>
        <w:tc>
          <w:p>
            <w:pPr>
              <w:pStyle w:val="Compact"/>
              <w:jc w:val="left"/>
            </w:pPr>
            <w:r>
              <w:t xml:space="preserve">Diabetes</w:t>
            </w:r>
          </w:p>
        </w:tc>
        <w:tc>
          <w:p/>
        </w:tc>
        <w:tc>
          <w:p>
            <w:pPr>
              <w:pStyle w:val="Compact"/>
              <w:jc w:val="left"/>
            </w:pPr>
            <w:r>
              <w:t xml:space="preserve">212 ( 9.8)</w:t>
            </w:r>
          </w:p>
        </w:tc>
        <w:tc>
          <w:p>
            <w:pPr>
              <w:pStyle w:val="Compact"/>
              <w:jc w:val="left"/>
            </w:pPr>
            <w:r>
              <w:t xml:space="preserve">5761 ( 6.6)</w:t>
            </w:r>
          </w:p>
        </w:tc>
        <w:tc>
          <w:p>
            <w:pPr>
              <w:pStyle w:val="Compact"/>
              <w:jc w:val="left"/>
            </w:pPr>
            <w:r>
              <w:t xml:space="preserve">5973 ( 6.7)</w:t>
            </w:r>
          </w:p>
        </w:tc>
        <w:tc>
          <w:p>
            <w:pPr>
              <w:pStyle w:val="Compact"/>
              <w:jc w:val="left"/>
            </w:pPr>
            <w:r>
              <w:t xml:space="preserve">17 (4.1)</w:t>
            </w:r>
          </w:p>
        </w:tc>
        <w:tc>
          <w:p>
            <w:pPr>
              <w:pStyle w:val="Compact"/>
              <w:jc w:val="left"/>
            </w:pPr>
            <w:r>
              <w:t xml:space="preserve">476 (2.6)</w:t>
            </w:r>
          </w:p>
        </w:tc>
        <w:tc>
          <w:p>
            <w:pPr>
              <w:pStyle w:val="Compact"/>
              <w:jc w:val="left"/>
            </w:pPr>
            <w:r>
              <w:t xml:space="preserve">493 (2.6)</w:t>
            </w:r>
          </w:p>
        </w:tc>
      </w:tr>
      <w:tr>
        <w:tc>
          <w:p>
            <w:pPr>
              <w:pStyle w:val="Compact"/>
              <w:jc w:val="left"/>
            </w:pPr>
            <w:r>
              <w:t xml:space="preserve">Drug alcohol abuse</w:t>
            </w:r>
          </w:p>
        </w:tc>
        <w:tc>
          <w:p/>
        </w:tc>
        <w:tc>
          <w:p>
            <w:pPr>
              <w:pStyle w:val="Compact"/>
              <w:jc w:val="left"/>
            </w:pPr>
            <w:r>
              <w:t xml:space="preserve">30 ( 1.4)</w:t>
            </w:r>
          </w:p>
        </w:tc>
        <w:tc>
          <w:p>
            <w:pPr>
              <w:pStyle w:val="Compact"/>
              <w:jc w:val="left"/>
            </w:pPr>
            <w:r>
              <w:t xml:space="preserve">652 ( 0.8)</w:t>
            </w:r>
          </w:p>
        </w:tc>
        <w:tc>
          <w:p>
            <w:pPr>
              <w:pStyle w:val="Compact"/>
              <w:jc w:val="left"/>
            </w:pPr>
            <w:r>
              <w:t xml:space="preserve">682 ( 0.8)</w:t>
            </w:r>
          </w:p>
        </w:tc>
        <w:tc>
          <w:p>
            <w:pPr>
              <w:pStyle w:val="Compact"/>
              <w:jc w:val="left"/>
            </w:pPr>
            <w:r>
              <w:t xml:space="preserve">6 (1.5)</w:t>
            </w:r>
          </w:p>
        </w:tc>
        <w:tc>
          <w:p>
            <w:pPr>
              <w:pStyle w:val="Compact"/>
              <w:jc w:val="left"/>
            </w:pPr>
            <w:r>
              <w:t xml:space="preserve">99 (0.5)</w:t>
            </w:r>
          </w:p>
        </w:tc>
        <w:tc>
          <w:p>
            <w:pPr>
              <w:pStyle w:val="Compact"/>
              <w:jc w:val="left"/>
            </w:pPr>
            <w:r>
              <w:t xml:space="preserve">105 (0.6)</w:t>
            </w:r>
          </w:p>
        </w:tc>
      </w:tr>
      <w:tr>
        <w:tc>
          <w:p>
            <w:pPr>
              <w:pStyle w:val="Compact"/>
              <w:jc w:val="left"/>
            </w:pPr>
            <w:r>
              <w:t xml:space="preserve">Fluid electrolyte disorders</w:t>
            </w:r>
          </w:p>
        </w:tc>
        <w:tc>
          <w:p/>
        </w:tc>
        <w:tc>
          <w:p>
            <w:pPr>
              <w:pStyle w:val="Compact"/>
              <w:jc w:val="left"/>
            </w:pPr>
            <w:r>
              <w:t xml:space="preserve">29 ( 1.3)</w:t>
            </w:r>
          </w:p>
        </w:tc>
        <w:tc>
          <w:p>
            <w:pPr>
              <w:pStyle w:val="Compact"/>
              <w:jc w:val="left"/>
            </w:pPr>
            <w:r>
              <w:t xml:space="preserve">505 ( 0.6)</w:t>
            </w:r>
          </w:p>
        </w:tc>
        <w:tc>
          <w:p>
            <w:pPr>
              <w:pStyle w:val="Compact"/>
              <w:jc w:val="left"/>
            </w:pPr>
            <w:r>
              <w:t xml:space="preserve">534 ( 0.6)</w:t>
            </w:r>
          </w:p>
        </w:tc>
        <w:tc>
          <w:p>
            <w:pPr>
              <w:pStyle w:val="Compact"/>
              <w:jc w:val="left"/>
            </w:pPr>
            <w:r>
              <w:t xml:space="preserve">8 (2.0)</w:t>
            </w:r>
          </w:p>
        </w:tc>
        <w:tc>
          <w:p>
            <w:pPr>
              <w:pStyle w:val="Compact"/>
              <w:jc w:val="left"/>
            </w:pPr>
            <w:r>
              <w:t xml:space="preserve">187 (1.0)</w:t>
            </w:r>
          </w:p>
        </w:tc>
        <w:tc>
          <w:p>
            <w:pPr>
              <w:pStyle w:val="Compact"/>
              <w:jc w:val="left"/>
            </w:pPr>
            <w:r>
              <w:t xml:space="preserve">195 (1.0)</w:t>
            </w:r>
          </w:p>
        </w:tc>
      </w:tr>
      <w:tr>
        <w:tc>
          <w:p>
            <w:pPr>
              <w:pStyle w:val="Compact"/>
              <w:jc w:val="left"/>
            </w:pPr>
            <w:r>
              <w:t xml:space="preserve">Heart condition</w:t>
            </w:r>
          </w:p>
        </w:tc>
        <w:tc>
          <w:p/>
        </w:tc>
        <w:tc>
          <w:p>
            <w:pPr>
              <w:pStyle w:val="Compact"/>
              <w:jc w:val="left"/>
            </w:pPr>
            <w:r>
              <w:t xml:space="preserve">149 ( 6.9)</w:t>
            </w:r>
          </w:p>
        </w:tc>
        <w:tc>
          <w:p>
            <w:pPr>
              <w:pStyle w:val="Compact"/>
              <w:jc w:val="left"/>
            </w:pPr>
            <w:r>
              <w:t xml:space="preserve">3544 ( 4.1)</w:t>
            </w:r>
          </w:p>
        </w:tc>
        <w:tc>
          <w:p>
            <w:pPr>
              <w:pStyle w:val="Compact"/>
              <w:jc w:val="left"/>
            </w:pPr>
            <w:r>
              <w:t xml:space="preserve">3693 ( 4.2)</w:t>
            </w:r>
          </w:p>
        </w:tc>
        <w:tc>
          <w:p>
            <w:pPr>
              <w:pStyle w:val="Compact"/>
              <w:jc w:val="left"/>
            </w:pPr>
            <w:r>
              <w:t xml:space="preserve">13 (3.2)</w:t>
            </w:r>
          </w:p>
        </w:tc>
        <w:tc>
          <w:p>
            <w:pPr>
              <w:pStyle w:val="Compact"/>
              <w:jc w:val="left"/>
            </w:pPr>
            <w:r>
              <w:t xml:space="preserve">408 (2.2)</w:t>
            </w:r>
          </w:p>
        </w:tc>
        <w:tc>
          <w:p>
            <w:pPr>
              <w:pStyle w:val="Compact"/>
              <w:jc w:val="left"/>
            </w:pPr>
            <w:r>
              <w:t xml:space="preserve">421 (2.2)</w:t>
            </w:r>
          </w:p>
        </w:tc>
      </w:tr>
      <w:tr>
        <w:tc>
          <w:p>
            <w:pPr>
              <w:pStyle w:val="Compact"/>
              <w:jc w:val="left"/>
            </w:pPr>
            <w:r>
              <w:t xml:space="preserve">Myocardial infarction</w:t>
            </w:r>
          </w:p>
        </w:tc>
        <w:tc>
          <w:p/>
        </w:tc>
        <w:tc>
          <w:p>
            <w:pPr>
              <w:pStyle w:val="Compact"/>
              <w:jc w:val="left"/>
            </w:pPr>
            <w:r>
              <w:t xml:space="preserve">105 ( 4.8)</w:t>
            </w:r>
          </w:p>
        </w:tc>
        <w:tc>
          <w:p>
            <w:pPr>
              <w:pStyle w:val="Compact"/>
              <w:jc w:val="left"/>
            </w:pPr>
            <w:r>
              <w:t xml:space="preserve">2982 ( 3.4)</w:t>
            </w:r>
          </w:p>
        </w:tc>
        <w:tc>
          <w:p>
            <w:pPr>
              <w:pStyle w:val="Compact"/>
              <w:jc w:val="left"/>
            </w:pPr>
            <w:r>
              <w:t xml:space="preserve">3087 ( 3.5)</w:t>
            </w:r>
          </w:p>
        </w:tc>
        <w:tc>
          <w:p>
            <w:pPr>
              <w:pStyle w:val="Compact"/>
              <w:jc w:val="left"/>
            </w:pPr>
            <w:r>
              <w:t xml:space="preserve">0 (0.0)</w:t>
            </w:r>
          </w:p>
        </w:tc>
        <w:tc>
          <w:p>
            <w:pPr>
              <w:pStyle w:val="Compact"/>
              <w:jc w:val="left"/>
            </w:pPr>
            <w:r>
              <w:t xml:space="preserve">73 (0.4)</w:t>
            </w:r>
          </w:p>
        </w:tc>
        <w:tc>
          <w:p>
            <w:pPr>
              <w:pStyle w:val="Compact"/>
              <w:jc w:val="left"/>
            </w:pPr>
            <w:r>
              <w:t xml:space="preserve">73 (0.4)</w:t>
            </w:r>
          </w:p>
        </w:tc>
      </w:tr>
      <w:tr>
        <w:tc>
          <w:p>
            <w:pPr>
              <w:pStyle w:val="Compact"/>
              <w:jc w:val="left"/>
            </w:pPr>
            <w:r>
              <w:t xml:space="preserve">Hypothyroidism</w:t>
            </w:r>
          </w:p>
        </w:tc>
        <w:tc>
          <w:p/>
        </w:tc>
        <w:tc>
          <w:p>
            <w:pPr>
              <w:pStyle w:val="Compact"/>
              <w:jc w:val="left"/>
            </w:pPr>
            <w:r>
              <w:t xml:space="preserve">82 ( 3.8)</w:t>
            </w:r>
          </w:p>
        </w:tc>
        <w:tc>
          <w:p>
            <w:pPr>
              <w:pStyle w:val="Compact"/>
              <w:jc w:val="left"/>
            </w:pPr>
            <w:r>
              <w:t xml:space="preserve">2501 ( 2.9)</w:t>
            </w:r>
          </w:p>
        </w:tc>
        <w:tc>
          <w:p>
            <w:pPr>
              <w:pStyle w:val="Compact"/>
              <w:jc w:val="left"/>
            </w:pPr>
            <w:r>
              <w:t xml:space="preserve">2583 ( 2.9)</w:t>
            </w:r>
          </w:p>
        </w:tc>
        <w:tc>
          <w:p/>
        </w:tc>
        <w:tc>
          <w:p/>
        </w:tc>
        <w:tc>
          <w:p/>
        </w:tc>
      </w:tr>
      <w:tr>
        <w:tc>
          <w:p>
            <w:pPr>
              <w:pStyle w:val="Compact"/>
              <w:jc w:val="left"/>
            </w:pPr>
            <w:r>
              <w:t xml:space="preserve">Kidney disease</w:t>
            </w:r>
          </w:p>
        </w:tc>
        <w:tc>
          <w:p/>
        </w:tc>
        <w:tc>
          <w:p>
            <w:pPr>
              <w:pStyle w:val="Compact"/>
              <w:jc w:val="left"/>
            </w:pPr>
            <w:r>
              <w:t xml:space="preserve">36 ( 1.7)</w:t>
            </w:r>
          </w:p>
        </w:tc>
        <w:tc>
          <w:p>
            <w:pPr>
              <w:pStyle w:val="Compact"/>
              <w:jc w:val="left"/>
            </w:pPr>
            <w:r>
              <w:t xml:space="preserve">847 ( 1.0)</w:t>
            </w:r>
          </w:p>
        </w:tc>
        <w:tc>
          <w:p>
            <w:pPr>
              <w:pStyle w:val="Compact"/>
              <w:jc w:val="left"/>
            </w:pPr>
            <w:r>
              <w:t xml:space="preserve">883 ( 1.0)</w:t>
            </w:r>
          </w:p>
        </w:tc>
        <w:tc>
          <w:p/>
        </w:tc>
        <w:tc>
          <w:p/>
        </w:tc>
        <w:tc>
          <w:p/>
        </w:tc>
      </w:tr>
      <w:tr>
        <w:tc>
          <w:p>
            <w:pPr>
              <w:pStyle w:val="Compact"/>
              <w:jc w:val="left"/>
            </w:pPr>
            <w:r>
              <w:t xml:space="preserve">Liver disease</w:t>
            </w:r>
          </w:p>
        </w:tc>
        <w:tc>
          <w:p/>
        </w:tc>
        <w:tc>
          <w:p>
            <w:pPr>
              <w:pStyle w:val="Compact"/>
              <w:jc w:val="left"/>
            </w:pPr>
            <w:r>
              <w:t xml:space="preserve">33 ( 1.5)</w:t>
            </w:r>
          </w:p>
        </w:tc>
        <w:tc>
          <w:p>
            <w:pPr>
              <w:pStyle w:val="Compact"/>
              <w:jc w:val="left"/>
            </w:pPr>
            <w:r>
              <w:t xml:space="preserve">491 ( 0.6)</w:t>
            </w:r>
          </w:p>
        </w:tc>
        <w:tc>
          <w:p>
            <w:pPr>
              <w:pStyle w:val="Compact"/>
              <w:jc w:val="left"/>
            </w:pPr>
            <w:r>
              <w:t xml:space="preserve">524 ( 0.6)</w:t>
            </w:r>
          </w:p>
        </w:tc>
        <w:tc>
          <w:p/>
        </w:tc>
        <w:tc>
          <w:p/>
        </w:tc>
        <w:tc>
          <w:p/>
        </w:tc>
      </w:tr>
      <w:tr>
        <w:tc>
          <w:p>
            <w:pPr>
              <w:pStyle w:val="Compact"/>
              <w:jc w:val="left"/>
            </w:pPr>
            <w:r>
              <w:t xml:space="preserve">Lung airways disease</w:t>
            </w:r>
          </w:p>
        </w:tc>
        <w:tc>
          <w:p/>
        </w:tc>
        <w:tc>
          <w:p>
            <w:pPr>
              <w:pStyle w:val="Compact"/>
              <w:jc w:val="left"/>
            </w:pPr>
            <w:r>
              <w:t xml:space="preserve">172 ( 7.9)</w:t>
            </w:r>
          </w:p>
        </w:tc>
        <w:tc>
          <w:p>
            <w:pPr>
              <w:pStyle w:val="Compact"/>
              <w:jc w:val="left"/>
            </w:pPr>
            <w:r>
              <w:t xml:space="preserve">4145 ( 4.8)</w:t>
            </w:r>
          </w:p>
        </w:tc>
        <w:tc>
          <w:p>
            <w:pPr>
              <w:pStyle w:val="Compact"/>
              <w:jc w:val="left"/>
            </w:pPr>
            <w:r>
              <w:t xml:space="preserve">4317 ( 4.9)</w:t>
            </w:r>
          </w:p>
        </w:tc>
        <w:tc>
          <w:p>
            <w:pPr>
              <w:pStyle w:val="Compact"/>
              <w:jc w:val="left"/>
            </w:pPr>
            <w:r>
              <w:t xml:space="preserve">20 (4.9)</w:t>
            </w:r>
          </w:p>
        </w:tc>
        <w:tc>
          <w:p>
            <w:pPr>
              <w:pStyle w:val="Compact"/>
              <w:jc w:val="left"/>
            </w:pPr>
            <w:r>
              <w:t xml:space="preserve">517 (2.8)</w:t>
            </w:r>
          </w:p>
        </w:tc>
        <w:tc>
          <w:p>
            <w:pPr>
              <w:pStyle w:val="Compact"/>
              <w:jc w:val="left"/>
            </w:pPr>
            <w:r>
              <w:t xml:space="preserve">537 (2.8)</w:t>
            </w:r>
          </w:p>
        </w:tc>
      </w:tr>
      <w:tr>
        <w:tc>
          <w:p>
            <w:pPr>
              <w:pStyle w:val="Compact"/>
              <w:jc w:val="left"/>
            </w:pPr>
            <w:r>
              <w:t xml:space="preserve">Peptic ulcer</w:t>
            </w:r>
          </w:p>
        </w:tc>
        <w:tc>
          <w:p/>
        </w:tc>
        <w:tc>
          <w:p>
            <w:pPr>
              <w:pStyle w:val="Compact"/>
              <w:jc w:val="left"/>
            </w:pPr>
            <w:r>
              <w:t xml:space="preserve">21 ( 1.0)</w:t>
            </w:r>
          </w:p>
        </w:tc>
        <w:tc>
          <w:p>
            <w:pPr>
              <w:pStyle w:val="Compact"/>
              <w:jc w:val="left"/>
            </w:pPr>
            <w:r>
              <w:t xml:space="preserve">515 ( 0.6)</w:t>
            </w:r>
          </w:p>
        </w:tc>
        <w:tc>
          <w:p>
            <w:pPr>
              <w:pStyle w:val="Compact"/>
              <w:jc w:val="left"/>
            </w:pPr>
            <w:r>
              <w:t xml:space="preserve">536 ( 0.6)</w:t>
            </w:r>
          </w:p>
        </w:tc>
        <w:tc>
          <w:p/>
        </w:tc>
        <w:tc>
          <w:p/>
        </w:tc>
        <w:tc>
          <w:p/>
        </w:tc>
      </w:tr>
      <w:tr>
        <w:tc>
          <w:p>
            <w:pPr>
              <w:pStyle w:val="Compact"/>
              <w:jc w:val="left"/>
            </w:pPr>
            <w:r>
              <w:t xml:space="preserve">Rheumatic disease</w:t>
            </w:r>
          </w:p>
        </w:tc>
        <w:tc>
          <w:p/>
        </w:tc>
        <w:tc>
          <w:p>
            <w:pPr>
              <w:pStyle w:val="Compact"/>
              <w:jc w:val="left"/>
            </w:pPr>
            <w:r>
              <w:t xml:space="preserve">144 ( 6.6)</w:t>
            </w:r>
          </w:p>
        </w:tc>
        <w:tc>
          <w:p>
            <w:pPr>
              <w:pStyle w:val="Compact"/>
              <w:jc w:val="left"/>
            </w:pPr>
            <w:r>
              <w:t xml:space="preserve">3782 ( 4.4)</w:t>
            </w:r>
          </w:p>
        </w:tc>
        <w:tc>
          <w:p>
            <w:pPr>
              <w:pStyle w:val="Compact"/>
              <w:jc w:val="left"/>
            </w:pPr>
            <w:r>
              <w:t xml:space="preserve">3926 ( 4.4)</w:t>
            </w:r>
          </w:p>
        </w:tc>
        <w:tc>
          <w:p>
            <w:pPr>
              <w:pStyle w:val="Compact"/>
              <w:jc w:val="left"/>
            </w:pPr>
            <w:r>
              <w:t xml:space="preserve">12 (2.9)</w:t>
            </w:r>
          </w:p>
        </w:tc>
        <w:tc>
          <w:p>
            <w:pPr>
              <w:pStyle w:val="Compact"/>
              <w:jc w:val="left"/>
            </w:pPr>
            <w:r>
              <w:t xml:space="preserve">372 (2.0)</w:t>
            </w:r>
          </w:p>
        </w:tc>
        <w:tc>
          <w:p>
            <w:pPr>
              <w:pStyle w:val="Compact"/>
              <w:jc w:val="left"/>
            </w:pPr>
            <w:r>
              <w:t xml:space="preserve">384 (2.0)</w:t>
            </w:r>
          </w:p>
        </w:tc>
      </w:tr>
      <w:tr>
        <w:tc>
          <w:p>
            <w:pPr>
              <w:pStyle w:val="Compact"/>
              <w:jc w:val="left"/>
            </w:pPr>
            <w:r>
              <w:t xml:space="preserve">Vascular disease</w:t>
            </w:r>
          </w:p>
        </w:tc>
        <w:tc>
          <w:p/>
        </w:tc>
        <w:tc>
          <w:p>
            <w:pPr>
              <w:pStyle w:val="Compact"/>
              <w:jc w:val="left"/>
            </w:pPr>
            <w:r>
              <w:t xml:space="preserve">89 ( 4.1)</w:t>
            </w:r>
          </w:p>
        </w:tc>
        <w:tc>
          <w:p>
            <w:pPr>
              <w:pStyle w:val="Compact"/>
              <w:jc w:val="left"/>
            </w:pPr>
            <w:r>
              <w:t xml:space="preserve">2434 ( 2.8)</w:t>
            </w:r>
          </w:p>
        </w:tc>
        <w:tc>
          <w:p>
            <w:pPr>
              <w:pStyle w:val="Compact"/>
              <w:jc w:val="left"/>
            </w:pPr>
            <w:r>
              <w:t xml:space="preserve">2523 ( 2.8)</w:t>
            </w:r>
          </w:p>
        </w:tc>
        <w:tc>
          <w:p>
            <w:pPr>
              <w:pStyle w:val="Compact"/>
              <w:jc w:val="left"/>
            </w:pPr>
            <w:r>
              <w:t xml:space="preserve">21 (5.1)</w:t>
            </w:r>
          </w:p>
        </w:tc>
        <w:tc>
          <w:p>
            <w:pPr>
              <w:pStyle w:val="Compact"/>
              <w:jc w:val="left"/>
            </w:pPr>
            <w:r>
              <w:t xml:space="preserve">485 (2.6)</w:t>
            </w:r>
          </w:p>
        </w:tc>
        <w:tc>
          <w:p>
            <w:pPr>
              <w:pStyle w:val="Compact"/>
              <w:jc w:val="left"/>
            </w:pPr>
            <w:r>
              <w:t xml:space="preserve">506 (2.7)</w:t>
            </w:r>
          </w:p>
        </w:tc>
      </w:tr>
      <w:tr>
        <w:tc>
          <w:p>
            <w:pPr>
              <w:pStyle w:val="Compact"/>
              <w:jc w:val="left"/>
            </w:pPr>
            <w:r>
              <w:t xml:space="preserve">Weight loss</w:t>
            </w:r>
          </w:p>
        </w:tc>
        <w:tc>
          <w:p/>
        </w:tc>
        <w:tc>
          <w:p>
            <w:pPr>
              <w:pStyle w:val="Compact"/>
              <w:jc w:val="left"/>
            </w:pPr>
            <w:r>
              <w:t xml:space="preserve">5 ( 0.2)</w:t>
            </w:r>
          </w:p>
        </w:tc>
        <w:tc>
          <w:p>
            <w:pPr>
              <w:pStyle w:val="Compact"/>
              <w:jc w:val="left"/>
            </w:pPr>
            <w:r>
              <w:t xml:space="preserve">64 ( 0.1)</w:t>
            </w:r>
          </w:p>
        </w:tc>
        <w:tc>
          <w:p>
            <w:pPr>
              <w:pStyle w:val="Compact"/>
              <w:jc w:val="left"/>
            </w:pPr>
            <w:r>
              <w:t xml:space="preserve">69 ( 0.1)</w:t>
            </w:r>
          </w:p>
        </w:tc>
        <w:tc>
          <w:p>
            <w:pPr>
              <w:pStyle w:val="Compact"/>
              <w:jc w:val="left"/>
            </w:pPr>
            <w:r>
              <w:t xml:space="preserve">0 (0.0)</w:t>
            </w:r>
          </w:p>
        </w:tc>
        <w:tc>
          <w:p>
            <w:pPr>
              <w:pStyle w:val="Compact"/>
              <w:jc w:val="left"/>
            </w:pPr>
            <w:r>
              <w:t xml:space="preserve">29 (0.2)</w:t>
            </w:r>
          </w:p>
        </w:tc>
        <w:tc>
          <w:p>
            <w:pPr>
              <w:pStyle w:val="Compact"/>
              <w:jc w:val="left"/>
            </w:pPr>
            <w:r>
              <w:t xml:space="preserve">29 (0.2)</w:t>
            </w:r>
          </w:p>
        </w:tc>
      </w:tr>
    </w:tbl>
    <w:bookmarkEnd w:id="60"/>
    <w:bookmarkStart w:id="61" w:name="page-break-11"/>
    <w:p>
      <w:pPr>
        <w:pStyle w:val="Heading5"/>
      </w:pPr>
      <w:r>
        <w:t xml:space="preserve">PAGE BREAK</w:t>
      </w:r>
    </w:p>
    <w:p>
      <w:pPr>
        <w:pStyle w:val="TableCaption"/>
      </w:pPr>
      <w: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pct" w:w="0.0"/>
        <w:tblLook w:firstRow="1" w:lastRow="0" w:firstColumn="0" w:lastColumn="0" w:noHBand="0" w:noVBand="0" w:val="002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tr>
        <w:tc>
          <w:p>
            <w:pPr>
              <w:pStyle w:val="Compact"/>
              <w:jc w:val="left"/>
            </w:pPr>
            <w:r>
              <w:t xml:space="preserve">variable</w:t>
            </w:r>
          </w:p>
        </w:tc>
        <w:tc>
          <w:p>
            <w:pPr>
              <w:pStyle w:val="Compact"/>
              <w:jc w:val="right"/>
            </w:pPr>
            <w:r>
              <w:t xml:space="preserve">n</w:t>
            </w:r>
          </w:p>
        </w:tc>
      </w:tr>
      <w:tr>
        <w:tc>
          <w:p>
            <w:pPr>
              <w:pStyle w:val="Compact"/>
              <w:jc w:val="left"/>
            </w:pPr>
            <w:r>
              <w:t xml:space="preserve">CNS disease</w:t>
            </w:r>
          </w:p>
        </w:tc>
        <w:tc>
          <w:p>
            <w:pPr>
              <w:pStyle w:val="Compact"/>
              <w:jc w:val="right"/>
            </w:pPr>
            <w:r>
              <w:t xml:space="preserve">100</w:t>
            </w:r>
          </w:p>
        </w:tc>
      </w:tr>
      <w:tr>
        <w:tc>
          <w:p>
            <w:pPr>
              <w:pStyle w:val="Compact"/>
              <w:jc w:val="left"/>
            </w:pPr>
            <w:r>
              <w:t xml:space="preserve">Fluid electrolyte disorders</w:t>
            </w:r>
          </w:p>
        </w:tc>
        <w:tc>
          <w:p>
            <w:pPr>
              <w:pStyle w:val="Compact"/>
              <w:jc w:val="right"/>
            </w:pPr>
            <w:r>
              <w:t xml:space="preserve">100</w:t>
            </w:r>
          </w:p>
        </w:tc>
      </w:tr>
      <w:tr>
        <w:tc>
          <w:p>
            <w:pPr>
              <w:pStyle w:val="Compact"/>
              <w:jc w:val="left"/>
            </w:pPr>
            <w:r>
              <w:t xml:space="preserve">Liver disease</w:t>
            </w:r>
          </w:p>
        </w:tc>
        <w:tc>
          <w:p>
            <w:pPr>
              <w:pStyle w:val="Compact"/>
              <w:jc w:val="right"/>
            </w:pPr>
            <w:r>
              <w:t xml:space="preserve">100</w:t>
            </w:r>
          </w:p>
        </w:tc>
      </w:tr>
      <w:tr>
        <w:tc>
          <w:p>
            <w:pPr>
              <w:pStyle w:val="Compact"/>
              <w:jc w:val="left"/>
            </w:pPr>
            <w:r>
              <w:t xml:space="preserve">ASA class: III</w:t>
            </w:r>
          </w:p>
        </w:tc>
        <w:tc>
          <w:p>
            <w:pPr>
              <w:pStyle w:val="Compact"/>
              <w:jc w:val="right"/>
            </w:pPr>
            <w:r>
              <w:t xml:space="preserve">100</w:t>
            </w:r>
          </w:p>
        </w:tc>
      </w:tr>
      <w:tr>
        <w:tc>
          <w:p>
            <w:pPr>
              <w:pStyle w:val="Compact"/>
              <w:jc w:val="left"/>
            </w:pPr>
            <w:r>
              <w:t xml:space="preserve">BMI: class I obesity</w:t>
            </w:r>
          </w:p>
        </w:tc>
        <w:tc>
          <w:p>
            <w:pPr>
              <w:pStyle w:val="Compact"/>
              <w:jc w:val="right"/>
            </w:pPr>
            <w:r>
              <w:t xml:space="preserve">100</w:t>
            </w:r>
          </w:p>
        </w:tc>
      </w:tr>
      <w:tr>
        <w:tc>
          <w:p>
            <w:pPr>
              <w:pStyle w:val="Compact"/>
              <w:jc w:val="left"/>
            </w:pPr>
            <w:r>
              <w:t xml:space="preserve">BMI: class II III obesity</w:t>
            </w:r>
          </w:p>
        </w:tc>
        <w:tc>
          <w:p>
            <w:pPr>
              <w:pStyle w:val="Compact"/>
              <w:jc w:val="right"/>
            </w:pPr>
            <w:r>
              <w:t xml:space="preserve">100</w:t>
            </w:r>
          </w:p>
        </w:tc>
      </w:tr>
      <w:tr>
        <w:tc>
          <w:p>
            <w:pPr>
              <w:pStyle w:val="Compact"/>
              <w:jc w:val="left"/>
            </w:pPr>
            <w:r>
              <w:t xml:space="preserve">BMI: overweight</w:t>
            </w:r>
          </w:p>
        </w:tc>
        <w:tc>
          <w:p>
            <w:pPr>
              <w:pStyle w:val="Compact"/>
              <w:jc w:val="right"/>
            </w:pPr>
            <w:r>
              <w:t xml:space="preserve">100</w:t>
            </w:r>
          </w:p>
        </w:tc>
      </w:tr>
      <w:tr>
        <w:tc>
          <w:p>
            <w:pPr>
              <w:pStyle w:val="Compact"/>
              <w:jc w:val="left"/>
            </w:pPr>
            <w:r>
              <w:t xml:space="preserve">Diagnosis: Avascular necrosis of the femoral head (AVN)</w:t>
            </w:r>
          </w:p>
        </w:tc>
        <w:tc>
          <w:p>
            <w:pPr>
              <w:pStyle w:val="Compact"/>
              <w:jc w:val="right"/>
            </w:pPr>
            <w:r>
              <w:t xml:space="preserve">100</w:t>
            </w:r>
          </w:p>
        </w:tc>
      </w:tr>
      <w:tr>
        <w:tc>
          <w:p>
            <w:pPr>
              <w:pStyle w:val="Compact"/>
              <w:jc w:val="left"/>
            </w:pPr>
            <w:r>
              <w:t xml:space="preserve">Diagnosis: Inflammatory joint disease</w:t>
            </w:r>
          </w:p>
        </w:tc>
        <w:tc>
          <w:p>
            <w:pPr>
              <w:pStyle w:val="Compact"/>
              <w:jc w:val="right"/>
            </w:pPr>
            <w:r>
              <w:t xml:space="preserve">100</w:t>
            </w:r>
          </w:p>
        </w:tc>
      </w:tr>
      <w:tr>
        <w:tc>
          <w:p>
            <w:pPr>
              <w:pStyle w:val="Compact"/>
              <w:jc w:val="left"/>
            </w:pPr>
            <w:r>
              <w:t xml:space="preserve">Diagnosis: Secondary osteoarthritis</w:t>
            </w:r>
          </w:p>
        </w:tc>
        <w:tc>
          <w:p>
            <w:pPr>
              <w:pStyle w:val="Compact"/>
              <w:jc w:val="right"/>
            </w:pPr>
            <w:r>
              <w:t xml:space="preserve">100</w:t>
            </w:r>
          </w:p>
        </w:tc>
      </w:tr>
      <w:tr>
        <w:tc>
          <w:p>
            <w:pPr>
              <w:pStyle w:val="Compact"/>
              <w:jc w:val="left"/>
            </w:pPr>
            <w:r>
              <w:t xml:space="preserve">Sex Male</w:t>
            </w:r>
          </w:p>
        </w:tc>
        <w:tc>
          <w:p>
            <w:pPr>
              <w:pStyle w:val="Compact"/>
              <w:jc w:val="right"/>
            </w:pPr>
            <w:r>
              <w:t xml:space="preserve">100</w:t>
            </w:r>
          </w:p>
        </w:tc>
      </w:tr>
      <w:tr>
        <w:tc>
          <w:p>
            <w:pPr>
              <w:pStyle w:val="Compact"/>
              <w:jc w:val="left"/>
            </w:pPr>
            <w:r>
              <w:t xml:space="preserve">Arrhythmia</w:t>
            </w:r>
          </w:p>
        </w:tc>
        <w:tc>
          <w:p>
            <w:pPr>
              <w:pStyle w:val="Compact"/>
              <w:jc w:val="right"/>
            </w:pPr>
            <w:r>
              <w:t xml:space="preserve">95</w:t>
            </w:r>
          </w:p>
        </w:tc>
      </w:tr>
      <w:tr>
        <w:tc>
          <w:p>
            <w:pPr>
              <w:pStyle w:val="Compact"/>
              <w:jc w:val="left"/>
            </w:pPr>
            <w:r>
              <w:t xml:space="preserve">Diagnosis: Sequelae after childhood hip disease</w:t>
            </w:r>
          </w:p>
        </w:tc>
        <w:tc>
          <w:p>
            <w:pPr>
              <w:pStyle w:val="Compact"/>
              <w:jc w:val="right"/>
            </w:pPr>
            <w:r>
              <w:t xml:space="preserve">95</w:t>
            </w:r>
          </w:p>
        </w:tc>
      </w:tr>
      <w:tr>
        <w:tc>
          <w:p>
            <w:pPr>
              <w:pStyle w:val="Compact"/>
              <w:jc w:val="left"/>
            </w:pPr>
            <w:r>
              <w:t xml:space="preserve">Lung airways disease</w:t>
            </w:r>
          </w:p>
        </w:tc>
        <w:tc>
          <w:p>
            <w:pPr>
              <w:pStyle w:val="Compact"/>
              <w:jc w:val="right"/>
            </w:pPr>
            <w:r>
              <w:t xml:space="preserve">93</w:t>
            </w:r>
          </w:p>
        </w:tc>
      </w:tr>
      <w:tr>
        <w:tc>
          <w:p>
            <w:pPr>
              <w:pStyle w:val="Compact"/>
              <w:jc w:val="left"/>
            </w:pPr>
            <w:r>
              <w:t xml:space="preserve">Age</w:t>
            </w:r>
          </w:p>
        </w:tc>
        <w:tc>
          <w:p>
            <w:pPr>
              <w:pStyle w:val="Compact"/>
              <w:jc w:val="right"/>
            </w:pPr>
            <w:r>
              <w:t xml:space="preserve">82</w:t>
            </w:r>
          </w:p>
        </w:tc>
      </w:tr>
      <w:tr>
        <w:tc>
          <w:p>
            <w:pPr>
              <w:pStyle w:val="Compact"/>
              <w:jc w:val="left"/>
            </w:pPr>
            <w:r>
              <w:t xml:space="preserve">Rheumatidisease</w:t>
            </w:r>
          </w:p>
        </w:tc>
        <w:tc>
          <w:p>
            <w:pPr>
              <w:pStyle w:val="Compact"/>
              <w:jc w:val="right"/>
            </w:pPr>
            <w:r>
              <w:t xml:space="preserve">68</w:t>
            </w:r>
          </w:p>
        </w:tc>
      </w:tr>
      <w:tr>
        <w:tc>
          <w:p>
            <w:pPr>
              <w:pStyle w:val="Compact"/>
              <w:jc w:val="left"/>
            </w:pPr>
            <w:r>
              <w:t xml:space="preserve">Cancer</w:t>
            </w:r>
          </w:p>
        </w:tc>
        <w:tc>
          <w:p>
            <w:pPr>
              <w:pStyle w:val="Compact"/>
              <w:jc w:val="right"/>
            </w:pPr>
            <w:r>
              <w:t xml:space="preserve">57</w:t>
            </w:r>
          </w:p>
        </w:tc>
      </w:tr>
      <w:tr>
        <w:tc>
          <w:p>
            <w:pPr>
              <w:pStyle w:val="Compact"/>
              <w:jc w:val="left"/>
            </w:pPr>
            <w:r>
              <w:t xml:space="preserve">Peptiulcer</w:t>
            </w:r>
          </w:p>
        </w:tc>
        <w:tc>
          <w:p>
            <w:pPr>
              <w:pStyle w:val="Compact"/>
              <w:jc w:val="right"/>
            </w:pPr>
            <w:r>
              <w:t xml:space="preserve">43</w:t>
            </w:r>
          </w:p>
        </w:tc>
      </w:tr>
      <w:tr>
        <w:tc>
          <w:p>
            <w:pPr>
              <w:pStyle w:val="Compact"/>
              <w:jc w:val="left"/>
            </w:pPr>
            <w:r>
              <w:t xml:space="preserve">Cemented cup</w:t>
            </w:r>
          </w:p>
        </w:tc>
        <w:tc>
          <w:p>
            <w:pPr>
              <w:pStyle w:val="Compact"/>
              <w:jc w:val="right"/>
            </w:pPr>
            <w:r>
              <w:t xml:space="preserve">41</w:t>
            </w:r>
          </w:p>
        </w:tc>
      </w:tr>
      <w:tr>
        <w:tc>
          <w:p>
            <w:pPr>
              <w:pStyle w:val="Compact"/>
              <w:jc w:val="left"/>
            </w:pPr>
            <w:r>
              <w:t xml:space="preserve">Hospital County</w:t>
            </w:r>
          </w:p>
        </w:tc>
        <w:tc>
          <w:p>
            <w:pPr>
              <w:pStyle w:val="Compact"/>
              <w:jc w:val="right"/>
            </w:pPr>
            <w:r>
              <w:t xml:space="preserve">33</w:t>
            </w:r>
          </w:p>
        </w:tc>
      </w:tr>
      <w:tr>
        <w:tc>
          <w:p>
            <w:pPr>
              <w:pStyle w:val="Compact"/>
              <w:jc w:val="left"/>
            </w:pPr>
            <w:r>
              <w:t xml:space="preserve">ASA class: II</w:t>
            </w:r>
          </w:p>
        </w:tc>
        <w:tc>
          <w:p>
            <w:pPr>
              <w:pStyle w:val="Compact"/>
              <w:jc w:val="right"/>
            </w:pPr>
            <w:r>
              <w:t xml:space="preserve">23</w:t>
            </w:r>
          </w:p>
        </w:tc>
      </w:tr>
      <w:tr>
        <w:tc>
          <w:p>
            <w:pPr>
              <w:pStyle w:val="Compact"/>
              <w:jc w:val="left"/>
            </w:pPr>
            <w:r>
              <w:t xml:space="preserve">Civil status widow widower</w:t>
            </w:r>
          </w:p>
        </w:tc>
        <w:tc>
          <w:p>
            <w:pPr>
              <w:pStyle w:val="Compact"/>
              <w:jc w:val="right"/>
            </w:pPr>
            <w:r>
              <w:t xml:space="preserve">8</w:t>
            </w:r>
          </w:p>
        </w:tc>
      </w:tr>
      <w:tr>
        <w:tc>
          <w:p>
            <w:pPr>
              <w:pStyle w:val="Compact"/>
              <w:jc w:val="left"/>
            </w:pPr>
            <w:r>
              <w:t xml:space="preserve">Hypothyroidism</w:t>
            </w:r>
          </w:p>
        </w:tc>
        <w:tc>
          <w:p>
            <w:pPr>
              <w:pStyle w:val="Compact"/>
              <w:jc w:val="right"/>
            </w:pPr>
            <w:r>
              <w:t xml:space="preserve">3</w:t>
            </w:r>
          </w:p>
        </w:tc>
      </w:tr>
      <w:tr>
        <w:tc>
          <w:p>
            <w:pPr>
              <w:pStyle w:val="Compact"/>
              <w:jc w:val="left"/>
            </w:pPr>
            <w:r>
              <w:t xml:space="preserve">Heart infarct</w:t>
            </w:r>
          </w:p>
        </w:tc>
        <w:tc>
          <w:p>
            <w:pPr>
              <w:pStyle w:val="Compact"/>
              <w:jc w:val="right"/>
            </w:pPr>
            <w:r>
              <w:t xml:space="preserve">1</w:t>
            </w:r>
          </w:p>
        </w:tc>
      </w:tr>
    </w:tbl>
    <w:bookmarkEnd w:id="61"/>
    <w:bookmarkStart w:id="62" w:name="page-break-12"/>
    <w:p>
      <w:pPr>
        <w:pStyle w:val="Heading5"/>
      </w:pPr>
      <w:r>
        <w:t xml:space="preserve">PAGE BREAK</w:t>
      </w:r>
    </w:p>
    <w:p>
      <w:pPr>
        <w:pStyle w:val="TableCaption"/>
      </w:pPr>
      <w:r>
        <w:t xml:space="preserve">Table 5: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reference for the fraction of new information (FNI) added by the other models.</w:t>
      </w:r>
    </w:p>
    <w:tbl>
      <w:tblPr>
        <w:tblStyle w:val="Table"/>
        <w:tblW w:type="pct" w:w="0.0"/>
        <w:tblLook w:firstRow="1" w:lastRow="0" w:firstColumn="0" w:lastColumn="0" w:noHBand="0" w:noVBand="0" w:val="0020"/>
        <w:tblCaption w:val="Table 5: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reference for the fraction of new information (FNI) added by the other models."/>
      </w:tblPr>
      <w:tblGrid/>
      <w:tr>
        <w:tc>
          <w:p>
            <w:pPr>
              <w:pStyle w:val="Compact"/>
              <w:jc w:val="left"/>
            </w:pPr>
            <w:r>
              <w:t xml:space="preserve">Model</w:t>
            </w:r>
          </w:p>
        </w:tc>
        <w:tc>
          <w:p>
            <w:pPr>
              <w:pStyle w:val="Compact"/>
              <w:jc w:val="left"/>
            </w:pPr>
            <w:r>
              <w:t xml:space="preserve">AUC (95 % CI)</w:t>
            </w:r>
          </w:p>
        </w:tc>
        <w:tc>
          <w:p>
            <w:pPr>
              <w:pStyle w:val="Compact"/>
              <w:jc w:val="right"/>
            </w:pPr>
            <w:r>
              <w:t xml:space="preserve">R2 (%)</w:t>
            </w:r>
          </w:p>
        </w:tc>
        <w:tc>
          <w:p>
            <w:pPr>
              <w:pStyle w:val="Compact"/>
              <w:jc w:val="right"/>
            </w:pPr>
            <w:r>
              <w:t xml:space="preserve">FNI (%)</w:t>
            </w:r>
          </w:p>
        </w:tc>
      </w:tr>
      <w:tr>
        <w:tc>
          <w:p>
            <w:pPr>
              <w:pStyle w:val="Compact"/>
              <w:jc w:val="left"/>
            </w:pPr>
            <w:r>
              <w:t xml:space="preserve">Main model</w:t>
            </w:r>
          </w:p>
        </w:tc>
        <w:tc>
          <w:p>
            <w:pPr>
              <w:pStyle w:val="Compact"/>
              <w:jc w:val="left"/>
            </w:pPr>
            <w:r>
              <w:t xml:space="preserve">0.68 (0.67; 0.69)</w:t>
            </w:r>
          </w:p>
        </w:tc>
        <w:tc>
          <w:p>
            <w:pPr>
              <w:pStyle w:val="Compact"/>
              <w:jc w:val="right"/>
            </w:pPr>
            <w:r>
              <w:t xml:space="preserve">4.86</w:t>
            </w:r>
          </w:p>
        </w:tc>
        <w:tc>
          <w:p>
            <w:pPr>
              <w:pStyle w:val="Compact"/>
              <w:jc w:val="right"/>
            </w:pPr>
            <w:r>
              <w:t xml:space="preserve">85</w:t>
            </w:r>
          </w:p>
        </w:tc>
      </w:tr>
      <w:tr>
        <w:tc>
          <w:p>
            <w:pPr>
              <w:pStyle w:val="Compact"/>
              <w:jc w:val="left"/>
            </w:pPr>
            <w:r>
              <w:t xml:space="preserve">Reduced model</w:t>
            </w:r>
          </w:p>
        </w:tc>
        <w:tc>
          <w:p>
            <w:pPr>
              <w:pStyle w:val="Compact"/>
              <w:jc w:val="left"/>
            </w:pPr>
            <w:r>
              <w:t xml:space="preserve">0.68 (0.66; 0.69)</w:t>
            </w:r>
          </w:p>
        </w:tc>
        <w:tc>
          <w:p>
            <w:pPr>
              <w:pStyle w:val="Compact"/>
              <w:jc w:val="right"/>
            </w:pPr>
            <w:r>
              <w:t xml:space="preserve">4.72</w:t>
            </w:r>
          </w:p>
        </w:tc>
        <w:tc>
          <w:p>
            <w:pPr>
              <w:pStyle w:val="Compact"/>
              <w:jc w:val="right"/>
            </w:pPr>
            <w:r>
              <w:t xml:space="preserve">84</w:t>
            </w:r>
          </w:p>
        </w:tc>
      </w:tr>
      <w:tr>
        <w:tc>
          <w:p>
            <w:pPr>
              <w:pStyle w:val="Compact"/>
              <w:jc w:val="left"/>
            </w:pPr>
            <w:r>
              <w:t xml:space="preserve">ASA + BMI + Age + Sex</w:t>
            </w:r>
          </w:p>
        </w:tc>
        <w:tc>
          <w:p>
            <w:pPr>
              <w:pStyle w:val="Compact"/>
              <w:jc w:val="left"/>
            </w:pPr>
            <w:r>
              <w:t xml:space="preserve">0.65 (0.64; 0.66)</w:t>
            </w:r>
          </w:p>
        </w:tc>
        <w:tc>
          <w:p>
            <w:pPr>
              <w:pStyle w:val="Compact"/>
              <w:jc w:val="right"/>
            </w:pPr>
            <w:r>
              <w:t xml:space="preserve">3.32</w:t>
            </w:r>
          </w:p>
        </w:tc>
        <w:tc>
          <w:p>
            <w:pPr>
              <w:pStyle w:val="Compact"/>
              <w:jc w:val="right"/>
            </w:pPr>
            <w:r>
              <w:t xml:space="preserve">78</w:t>
            </w:r>
          </w:p>
        </w:tc>
      </w:tr>
      <w:tr>
        <w:tc>
          <w:p>
            <w:pPr>
              <w:pStyle w:val="Compact"/>
              <w:jc w:val="left"/>
            </w:pPr>
            <w:r>
              <w:t xml:space="preserve">BMI + Age + Sex</w:t>
            </w:r>
          </w:p>
        </w:tc>
        <w:tc>
          <w:p>
            <w:pPr>
              <w:pStyle w:val="Compact"/>
              <w:jc w:val="left"/>
            </w:pPr>
            <w:r>
              <w:t xml:space="preserve">0.64 (0.62; 0.65)</w:t>
            </w:r>
          </w:p>
        </w:tc>
        <w:tc>
          <w:p>
            <w:pPr>
              <w:pStyle w:val="Compact"/>
              <w:jc w:val="right"/>
            </w:pPr>
            <w:r>
              <w:t xml:space="preserve">2.75</w:t>
            </w:r>
          </w:p>
        </w:tc>
        <w:tc>
          <w:p>
            <w:pPr>
              <w:pStyle w:val="Compact"/>
              <w:jc w:val="right"/>
            </w:pPr>
            <w:r>
              <w:t xml:space="preserve">73</w:t>
            </w:r>
          </w:p>
        </w:tc>
      </w:tr>
      <w:tr>
        <w:tc>
          <w:p>
            <w:pPr>
              <w:pStyle w:val="Compact"/>
              <w:jc w:val="left"/>
            </w:pPr>
            <w:r>
              <w:t xml:space="preserve">ASA + Age + Sex</w:t>
            </w:r>
          </w:p>
        </w:tc>
        <w:tc>
          <w:p>
            <w:pPr>
              <w:pStyle w:val="Compact"/>
              <w:jc w:val="left"/>
            </w:pPr>
            <w:r>
              <w:t xml:space="preserve">0.62 (0.60; 0.63)</w:t>
            </w:r>
          </w:p>
        </w:tc>
        <w:tc>
          <w:p>
            <w:pPr>
              <w:pStyle w:val="Compact"/>
              <w:jc w:val="right"/>
            </w:pPr>
            <w:r>
              <w:t xml:space="preserve">1.94</w:t>
            </w:r>
          </w:p>
        </w:tc>
        <w:tc>
          <w:p>
            <w:pPr>
              <w:pStyle w:val="Compact"/>
              <w:jc w:val="right"/>
            </w:pPr>
            <w:r>
              <w:t xml:space="preserve">62</w:t>
            </w:r>
          </w:p>
        </w:tc>
      </w:tr>
      <w:tr>
        <w:tc>
          <w:p>
            <w:pPr>
              <w:pStyle w:val="Compact"/>
              <w:jc w:val="left"/>
            </w:pPr>
            <w:r>
              <w:t xml:space="preserve">Elixhauser + Age + Sex</w:t>
            </w:r>
          </w:p>
        </w:tc>
        <w:tc>
          <w:p>
            <w:pPr>
              <w:pStyle w:val="Compact"/>
              <w:jc w:val="left"/>
            </w:pPr>
            <w:r>
              <w:t xml:space="preserve">0.61 (0.60; 0.62)</w:t>
            </w:r>
          </w:p>
        </w:tc>
        <w:tc>
          <w:p>
            <w:pPr>
              <w:pStyle w:val="Compact"/>
              <w:jc w:val="right"/>
            </w:pPr>
            <w:r>
              <w:t xml:space="preserve">1.75</w:t>
            </w:r>
          </w:p>
        </w:tc>
        <w:tc>
          <w:p>
            <w:pPr>
              <w:pStyle w:val="Compact"/>
              <w:jc w:val="right"/>
            </w:pPr>
            <w:r>
              <w:t xml:space="preserve">58</w:t>
            </w:r>
          </w:p>
        </w:tc>
      </w:tr>
      <w:tr>
        <w:tc>
          <w:p>
            <w:pPr>
              <w:pStyle w:val="Compact"/>
              <w:jc w:val="left"/>
            </w:pPr>
            <w:r>
              <w:t xml:space="preserve">ASA</w:t>
            </w:r>
          </w:p>
        </w:tc>
        <w:tc>
          <w:p>
            <w:pPr>
              <w:pStyle w:val="Compact"/>
              <w:jc w:val="left"/>
            </w:pPr>
            <w:r>
              <w:t xml:space="preserve">0.59 (0.58; 0.60)</w:t>
            </w:r>
          </w:p>
        </w:tc>
        <w:tc>
          <w:p>
            <w:pPr>
              <w:pStyle w:val="Compact"/>
              <w:jc w:val="right"/>
            </w:pPr>
            <w:r>
              <w:t xml:space="preserve">1.57</w:t>
            </w:r>
          </w:p>
        </w:tc>
        <w:tc>
          <w:p>
            <w:pPr>
              <w:pStyle w:val="Compact"/>
              <w:jc w:val="right"/>
            </w:pPr>
            <w:r>
              <w:t xml:space="preserve">53</w:t>
            </w:r>
          </w:p>
        </w:tc>
      </w:tr>
      <w:tr>
        <w:tc>
          <w:p>
            <w:pPr>
              <w:pStyle w:val="Compact"/>
              <w:jc w:val="left"/>
            </w:pPr>
            <w:r>
              <w:t xml:space="preserve">Elixhauser</w:t>
            </w:r>
          </w:p>
        </w:tc>
        <w:tc>
          <w:p>
            <w:pPr>
              <w:pStyle w:val="Compact"/>
              <w:jc w:val="left"/>
            </w:pPr>
            <w:r>
              <w:t xml:space="preserve">0.58 (0.57; 0.60)</w:t>
            </w:r>
          </w:p>
        </w:tc>
        <w:tc>
          <w:p>
            <w:pPr>
              <w:pStyle w:val="Compact"/>
              <w:jc w:val="right"/>
            </w:pPr>
            <w:r>
              <w:t xml:space="preserve">1.29</w:t>
            </w:r>
          </w:p>
        </w:tc>
        <w:tc>
          <w:p>
            <w:pPr>
              <w:pStyle w:val="Compact"/>
              <w:jc w:val="right"/>
            </w:pPr>
            <w:r>
              <w:t xml:space="preserve">43</w:t>
            </w:r>
          </w:p>
        </w:tc>
      </w:tr>
      <w:tr>
        <w:tc>
          <w:p>
            <w:pPr>
              <w:pStyle w:val="Compact"/>
              <w:jc w:val="left"/>
            </w:pPr>
            <w:r>
              <w:t xml:space="preserve">Charlson + Age + Sex</w:t>
            </w:r>
          </w:p>
        </w:tc>
        <w:tc>
          <w:p>
            <w:pPr>
              <w:pStyle w:val="Compact"/>
              <w:jc w:val="left"/>
            </w:pPr>
            <w:r>
              <w:t xml:space="preserve">0.60 (0.58; 0.61)</w:t>
            </w:r>
          </w:p>
        </w:tc>
        <w:tc>
          <w:p>
            <w:pPr>
              <w:pStyle w:val="Compact"/>
              <w:jc w:val="right"/>
            </w:pPr>
            <w:r>
              <w:t xml:space="preserve">1.26</w:t>
            </w:r>
          </w:p>
        </w:tc>
        <w:tc>
          <w:p>
            <w:pPr>
              <w:pStyle w:val="Compact"/>
              <w:jc w:val="right"/>
            </w:pPr>
            <w:r>
              <w:t xml:space="preserve">42</w:t>
            </w:r>
          </w:p>
        </w:tc>
      </w:tr>
      <w:tr>
        <w:tc>
          <w:p>
            <w:pPr>
              <w:pStyle w:val="Compact"/>
              <w:jc w:val="left"/>
            </w:pPr>
            <w:r>
              <w:t xml:space="preserve">Rx Risk</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Rx Risk + Age + Sex</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Charlson</w:t>
            </w:r>
          </w:p>
        </w:tc>
        <w:tc>
          <w:p>
            <w:pPr>
              <w:pStyle w:val="Compact"/>
              <w:jc w:val="left"/>
            </w:pPr>
            <w:r>
              <w:t xml:space="preserve">0.56 (0.55; 0.57)</w:t>
            </w:r>
          </w:p>
        </w:tc>
        <w:tc>
          <w:p>
            <w:pPr>
              <w:pStyle w:val="Compact"/>
              <w:jc w:val="right"/>
            </w:pPr>
            <w:r>
              <w:t xml:space="preserve">0.73</w:t>
            </w:r>
          </w:p>
        </w:tc>
        <w:tc>
          <w:p>
            <w:pPr>
              <w:pStyle w:val="Compact"/>
              <w:jc w:val="right"/>
            </w:pPr>
            <w:r>
              <w:t xml:space="preserve">0</w:t>
            </w:r>
          </w:p>
        </w:tc>
      </w:tr>
    </w:tbl>
    <w:bookmarkEnd w:id="62"/>
    <w:bookmarkStart w:id="63" w:name="page-break-13"/>
    <w:p>
      <w:pPr>
        <w:pStyle w:val="Heading5"/>
      </w:pPr>
      <w:r>
        <w:t xml:space="preserve">PAGE BREAK</w:t>
      </w:r>
    </w:p>
    <w:p>
      <w:pPr>
        <w:pStyle w:val="TableCaption"/>
      </w:pPr>
      <w:r>
        <w:t xml:space="preserve">Table 6: Estimated coefficients (beta) and odds ratios (OR) with 95 % confidence intervals for the reduced models. BMI = body mass index (under/normal weight as baseline). CNS = central nervous system.</w:t>
      </w:r>
    </w:p>
    <w:tbl>
      <w:tblPr>
        <w:tblStyle w:val="Table"/>
        <w:tblW w:type="pct" w:w="0.0"/>
        <w:tblLook w:firstRow="1" w:lastRow="0" w:firstColumn="0" w:lastColumn="0" w:noHBand="0" w:noVBand="0" w:val="0020"/>
        <w:tblCaption w:val="Table 6: Estimated coefficients (beta) and odds ratios (OR) with 95 % confidence intervals for the reduced models. BMI = body mass index (under/normal weight as baseline). CNS = central nervous system."/>
      </w:tblPr>
      <w:tblGrid/>
      <w:tr>
        <w:tc>
          <w:p>
            <w:pPr>
              <w:pStyle w:val="Compact"/>
              <w:jc w:val="left"/>
            </w:pPr>
            <w:r>
              <w:t xml:space="preserve">variable</w:t>
            </w:r>
          </w:p>
        </w:tc>
        <w:tc>
          <w:p>
            <w:pPr>
              <w:pStyle w:val="Compact"/>
              <w:jc w:val="left"/>
            </w:pPr>
            <w:r>
              <w:t xml:space="preserve">level</w:t>
            </w:r>
          </w:p>
        </w:tc>
        <w:tc>
          <w:p>
            <w:pPr>
              <w:pStyle w:val="Compact"/>
              <w:jc w:val="right"/>
            </w:pPr>
            <w:r>
              <w:t xml:space="preserve">beta</w:t>
            </w:r>
          </w:p>
        </w:tc>
        <w:tc>
          <w:p>
            <w:pPr>
              <w:pStyle w:val="Compact"/>
              <w:jc w:val="left"/>
            </w:pPr>
            <w:r>
              <w:t xml:space="preserve">OR 95 % CI</w:t>
            </w:r>
          </w:p>
        </w:tc>
        <w:tc>
          <w:p>
            <w:pPr>
              <w:pStyle w:val="Compact"/>
              <w:jc w:val="left"/>
            </w:pPr>
            <w:r>
              <w:t xml:space="preserve">p</w:t>
            </w:r>
          </w:p>
        </w:tc>
      </w:tr>
      <w:tr>
        <w:tc>
          <w:p>
            <w:pPr>
              <w:pStyle w:val="Compact"/>
              <w:jc w:val="left"/>
            </w:pPr>
            <w:r>
              <w:t xml:space="preserve">(Intercept)</w:t>
            </w:r>
          </w:p>
        </w:tc>
        <w:tc>
          <w:p/>
        </w:tc>
        <w:tc>
          <w:p>
            <w:pPr>
              <w:pStyle w:val="Compact"/>
              <w:jc w:val="right"/>
            </w:pPr>
            <w:r>
              <w:t xml:space="preserve">-6.31</w:t>
            </w:r>
          </w:p>
        </w:tc>
        <w:tc>
          <w:p/>
        </w:tc>
        <w:tc>
          <w:p/>
        </w:tc>
      </w:tr>
      <w:tr>
        <w:tc>
          <w:p>
            <w:pPr>
              <w:pStyle w:val="Compact"/>
              <w:jc w:val="left"/>
            </w:pPr>
            <w:r>
              <w:t xml:space="preserve">Age</w:t>
            </w:r>
          </w:p>
        </w:tc>
        <w:tc>
          <w:p/>
        </w:tc>
        <w:tc>
          <w:p>
            <w:pPr>
              <w:pStyle w:val="Compact"/>
              <w:jc w:val="right"/>
            </w:pPr>
            <w:r>
              <w:t xml:space="preserve">0.02</w:t>
            </w:r>
          </w:p>
        </w:tc>
        <w:tc>
          <w:p>
            <w:pPr>
              <w:pStyle w:val="Compact"/>
              <w:jc w:val="left"/>
            </w:pPr>
            <w:r>
              <w:t xml:space="preserve">1.02 (1.02-1.03)</w:t>
            </w:r>
          </w:p>
        </w:tc>
        <w:tc>
          <w:p>
            <w:pPr>
              <w:pStyle w:val="Compact"/>
              <w:jc w:val="left"/>
            </w:pPr>
            <w:r>
              <w:t xml:space="preserve">&lt;0.001</w:t>
            </w:r>
          </w:p>
        </w:tc>
      </w:tr>
      <w:tr>
        <w:tc>
          <w:p>
            <w:pPr>
              <w:pStyle w:val="Compact"/>
              <w:jc w:val="left"/>
            </w:pPr>
            <w:r>
              <w:t xml:space="preserve">Arrhythmia</w:t>
            </w:r>
          </w:p>
        </w:tc>
        <w:tc>
          <w:p/>
        </w:tc>
        <w:tc>
          <w:p>
            <w:pPr>
              <w:pStyle w:val="Compact"/>
              <w:jc w:val="right"/>
            </w:pPr>
            <w:r>
              <w:t xml:space="preserve">0.27</w:t>
            </w:r>
          </w:p>
        </w:tc>
        <w:tc>
          <w:p>
            <w:pPr>
              <w:pStyle w:val="Compact"/>
              <w:jc w:val="left"/>
            </w:pPr>
            <w:r>
              <w:t xml:space="preserve">1.30 (1.13-1.49)</w:t>
            </w:r>
          </w:p>
        </w:tc>
        <w:tc>
          <w:p>
            <w:pPr>
              <w:pStyle w:val="Compact"/>
              <w:jc w:val="left"/>
            </w:pPr>
            <w:r>
              <w:t xml:space="preserve">&lt;0.001</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II</w:t>
            </w:r>
          </w:p>
        </w:tc>
        <w:tc>
          <w:p>
            <w:pPr>
              <w:pStyle w:val="Compact"/>
              <w:jc w:val="right"/>
            </w:pPr>
            <w:r>
              <w:t xml:space="preserve">0.18</w:t>
            </w:r>
          </w:p>
        </w:tc>
        <w:tc>
          <w:p>
            <w:pPr>
              <w:pStyle w:val="Compact"/>
              <w:jc w:val="left"/>
            </w:pPr>
            <w:r>
              <w:t xml:space="preserve">1.20 (1.05-1.37)</w:t>
            </w:r>
          </w:p>
        </w:tc>
        <w:tc>
          <w:p>
            <w:pPr>
              <w:pStyle w:val="Compact"/>
              <w:jc w:val="left"/>
            </w:pPr>
            <w:r>
              <w:t xml:space="preserve">0.009</w:t>
            </w:r>
          </w:p>
        </w:tc>
      </w:tr>
      <w:tr>
        <w:tc>
          <w:p/>
        </w:tc>
        <w:tc>
          <w:p>
            <w:pPr>
              <w:pStyle w:val="Compact"/>
              <w:jc w:val="left"/>
            </w:pPr>
            <w:r>
              <w:t xml:space="preserve">III</w:t>
            </w:r>
          </w:p>
        </w:tc>
        <w:tc>
          <w:p>
            <w:pPr>
              <w:pStyle w:val="Compact"/>
              <w:jc w:val="right"/>
            </w:pPr>
            <w:r>
              <w:t xml:space="preserve">0.44</w:t>
            </w:r>
          </w:p>
        </w:tc>
        <w:tc>
          <w:p>
            <w:pPr>
              <w:pStyle w:val="Compact"/>
              <w:jc w:val="left"/>
            </w:pPr>
            <w:r>
              <w:t xml:space="preserve">1.56 (1.33-1.83)</w:t>
            </w:r>
          </w:p>
        </w:tc>
        <w:tc>
          <w:p>
            <w:pPr>
              <w:pStyle w:val="Compact"/>
              <w:jc w:val="left"/>
            </w:pPr>
            <w:r>
              <w:t xml:space="preserve">&lt;0.001</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overweight</w:t>
            </w:r>
          </w:p>
        </w:tc>
        <w:tc>
          <w:p>
            <w:pPr>
              <w:pStyle w:val="Compact"/>
              <w:jc w:val="right"/>
            </w:pPr>
            <w:r>
              <w:t xml:space="preserve">0.39</w:t>
            </w:r>
          </w:p>
        </w:tc>
        <w:tc>
          <w:p>
            <w:pPr>
              <w:pStyle w:val="Compact"/>
              <w:jc w:val="left"/>
            </w:pPr>
            <w:r>
              <w:t xml:space="preserve">1.47 (1.32-1.65)</w:t>
            </w:r>
          </w:p>
        </w:tc>
        <w:tc>
          <w:p>
            <w:pPr>
              <w:pStyle w:val="Compact"/>
              <w:jc w:val="left"/>
            </w:pPr>
            <w:r>
              <w:t xml:space="preserve">&lt;0.001</w:t>
            </w:r>
          </w:p>
        </w:tc>
      </w:tr>
      <w:tr>
        <w:tc>
          <w:p/>
        </w:tc>
        <w:tc>
          <w:p>
            <w:pPr>
              <w:pStyle w:val="Compact"/>
              <w:jc w:val="left"/>
            </w:pPr>
            <w:r>
              <w:t xml:space="preserve">class I obesity</w:t>
            </w:r>
          </w:p>
        </w:tc>
        <w:tc>
          <w:p>
            <w:pPr>
              <w:pStyle w:val="Compact"/>
              <w:jc w:val="right"/>
            </w:pPr>
            <w:r>
              <w:t xml:space="preserve">0.81</w:t>
            </w:r>
          </w:p>
        </w:tc>
        <w:tc>
          <w:p>
            <w:pPr>
              <w:pStyle w:val="Compact"/>
              <w:jc w:val="left"/>
            </w:pPr>
            <w:r>
              <w:t xml:space="preserve">2.24 (1.97-2.55)</w:t>
            </w:r>
          </w:p>
        </w:tc>
        <w:tc>
          <w:p>
            <w:pPr>
              <w:pStyle w:val="Compact"/>
              <w:jc w:val="left"/>
            </w:pPr>
            <w:r>
              <w:t xml:space="preserve">&lt;0.001</w:t>
            </w:r>
          </w:p>
        </w:tc>
      </w:tr>
      <w:tr>
        <w:tc>
          <w:p/>
        </w:tc>
        <w:tc>
          <w:p>
            <w:pPr>
              <w:pStyle w:val="Compact"/>
              <w:jc w:val="left"/>
            </w:pPr>
            <w:r>
              <w:t xml:space="preserve">class II-III obesity</w:t>
            </w:r>
          </w:p>
        </w:tc>
        <w:tc>
          <w:p>
            <w:pPr>
              <w:pStyle w:val="Compact"/>
              <w:jc w:val="right"/>
            </w:pPr>
            <w:r>
              <w:t xml:space="preserve">1.40</w:t>
            </w:r>
          </w:p>
        </w:tc>
        <w:tc>
          <w:p>
            <w:pPr>
              <w:pStyle w:val="Compact"/>
              <w:jc w:val="left"/>
            </w:pPr>
            <w:r>
              <w:t xml:space="preserve">4.05 (3.46-4.75)</w:t>
            </w:r>
          </w:p>
        </w:tc>
        <w:tc>
          <w:p>
            <w:pPr>
              <w:pStyle w:val="Compact"/>
              <w:jc w:val="left"/>
            </w:pPr>
            <w:r>
              <w:t xml:space="preserve">&lt;0.001</w:t>
            </w:r>
          </w:p>
        </w:tc>
      </w:tr>
      <w:tr>
        <w:tc>
          <w:p>
            <w:pPr>
              <w:pStyle w:val="Compact"/>
              <w:jc w:val="left"/>
            </w:pPr>
            <w:r>
              <w:t xml:space="preserve">CNS disease</w:t>
            </w:r>
          </w:p>
        </w:tc>
        <w:tc>
          <w:p/>
        </w:tc>
        <w:tc>
          <w:p>
            <w:pPr>
              <w:pStyle w:val="Compact"/>
              <w:jc w:val="right"/>
            </w:pPr>
            <w:r>
              <w:t xml:space="preserve">0.69</w:t>
            </w:r>
          </w:p>
        </w:tc>
        <w:tc>
          <w:p>
            <w:pPr>
              <w:pStyle w:val="Compact"/>
              <w:jc w:val="left"/>
            </w:pPr>
            <w:r>
              <w:t xml:space="preserve">2.00 (1.68-2.35)</w:t>
            </w:r>
          </w:p>
        </w:tc>
        <w:tc>
          <w:p>
            <w:pPr>
              <w:pStyle w:val="Compact"/>
              <w:jc w:val="left"/>
            </w:pPr>
            <w:r>
              <w:t xml:space="preserve">&lt;0.001</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left"/>
            </w:pPr>
            <w:r>
              <w:t xml:space="preserve">1.48 (1.06-2.01)</w:t>
            </w:r>
          </w:p>
        </w:tc>
        <w:tc>
          <w:p>
            <w:pPr>
              <w:pStyle w:val="Compact"/>
              <w:jc w:val="left"/>
            </w:pPr>
            <w:r>
              <w:t xml:space="preserve">0.016</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left"/>
            </w:pPr>
            <w:r>
              <w:t xml:space="preserve">1.79 (1.40-2.26)</w:t>
            </w:r>
          </w:p>
        </w:tc>
        <w:tc>
          <w:p>
            <w:pPr>
              <w:pStyle w:val="Compact"/>
              <w:jc w:val="left"/>
            </w:pPr>
            <w:r>
              <w:t xml:space="preserve">&lt;0.001</w:t>
            </w:r>
          </w:p>
        </w:tc>
      </w:tr>
      <w:tr>
        <w:tc>
          <w:p/>
        </w:tc>
        <w:tc>
          <w:p>
            <w:pPr>
              <w:pStyle w:val="Compact"/>
              <w:jc w:val="left"/>
            </w:pPr>
            <w:r>
              <w:t xml:space="preserve">Secondary osteoarthritis</w:t>
            </w:r>
          </w:p>
        </w:tc>
        <w:tc>
          <w:p>
            <w:pPr>
              <w:pStyle w:val="Compact"/>
              <w:jc w:val="right"/>
            </w:pPr>
            <w:r>
              <w:t xml:space="preserve">0.74</w:t>
            </w:r>
          </w:p>
        </w:tc>
        <w:tc>
          <w:p>
            <w:pPr>
              <w:pStyle w:val="Compact"/>
              <w:jc w:val="left"/>
            </w:pPr>
            <w:r>
              <w:t xml:space="preserve">2.09 (1.80-2.41)</w:t>
            </w:r>
          </w:p>
        </w:tc>
        <w:tc>
          <w:p>
            <w:pPr>
              <w:pStyle w:val="Compact"/>
              <w:jc w:val="left"/>
            </w:pPr>
            <w:r>
              <w:t xml:space="preserve">&lt;0.001</w:t>
            </w:r>
          </w:p>
        </w:tc>
      </w:tr>
      <w:tr>
        <w:tc>
          <w:p/>
        </w:tc>
        <w:tc>
          <w:p>
            <w:pPr>
              <w:pStyle w:val="Compact"/>
              <w:jc w:val="left"/>
            </w:pPr>
            <w:r>
              <w:t xml:space="preserve">Inflammatory joint disease</w:t>
            </w:r>
          </w:p>
        </w:tc>
        <w:tc>
          <w:p>
            <w:pPr>
              <w:pStyle w:val="Compact"/>
              <w:jc w:val="right"/>
            </w:pPr>
            <w:r>
              <w:t xml:space="preserve">0.94</w:t>
            </w:r>
          </w:p>
        </w:tc>
        <w:tc>
          <w:p>
            <w:pPr>
              <w:pStyle w:val="Compact"/>
              <w:jc w:val="left"/>
            </w:pPr>
            <w:r>
              <w:t xml:space="preserve">2.55 (1.91-3.33)</w:t>
            </w:r>
          </w:p>
        </w:tc>
        <w:tc>
          <w:p>
            <w:pPr>
              <w:pStyle w:val="Compact"/>
              <w:jc w:val="left"/>
            </w:pPr>
            <w:r>
              <w:t xml:space="preserve">&lt;0.001</w:t>
            </w:r>
          </w:p>
        </w:tc>
      </w:tr>
      <w:tr>
        <w:tc>
          <w:p>
            <w:pPr>
              <w:pStyle w:val="Compact"/>
              <w:jc w:val="left"/>
            </w:pPr>
            <w:r>
              <w:t xml:space="preserve">Fluid electrolyte disorders</w:t>
            </w:r>
          </w:p>
        </w:tc>
        <w:tc>
          <w:p/>
        </w:tc>
        <w:tc>
          <w:p>
            <w:pPr>
              <w:pStyle w:val="Compact"/>
              <w:jc w:val="right"/>
            </w:pPr>
            <w:r>
              <w:t xml:space="preserve">0.42</w:t>
            </w:r>
          </w:p>
        </w:tc>
        <w:tc>
          <w:p>
            <w:pPr>
              <w:pStyle w:val="Compact"/>
              <w:jc w:val="left"/>
            </w:pPr>
            <w:r>
              <w:t xml:space="preserve">1.52 (1.01-2.20)</w:t>
            </w:r>
          </w:p>
        </w:tc>
        <w:tc>
          <w:p>
            <w:pPr>
              <w:pStyle w:val="Compact"/>
              <w:jc w:val="left"/>
            </w:pPr>
            <w:r>
              <w:t xml:space="preserve">0.034</w:t>
            </w:r>
          </w:p>
        </w:tc>
      </w:tr>
      <w:tr>
        <w:tc>
          <w:p>
            <w:pPr>
              <w:pStyle w:val="Compact"/>
              <w:jc w:val="left"/>
            </w:pPr>
            <w:r>
              <w:t xml:space="preserve">Liver disease</w:t>
            </w:r>
          </w:p>
        </w:tc>
        <w:tc>
          <w:p/>
        </w:tc>
        <w:tc>
          <w:p>
            <w:pPr>
              <w:pStyle w:val="Compact"/>
              <w:jc w:val="right"/>
            </w:pPr>
            <w:r>
              <w:t xml:space="preserve">0.75</w:t>
            </w:r>
          </w:p>
        </w:tc>
        <w:tc>
          <w:p>
            <w:pPr>
              <w:pStyle w:val="Compact"/>
              <w:jc w:val="left"/>
            </w:pPr>
            <w:r>
              <w:t xml:space="preserve">2.11 (1.44-3.00)</w:t>
            </w:r>
          </w:p>
        </w:tc>
        <w:tc>
          <w:p>
            <w:pPr>
              <w:pStyle w:val="Compact"/>
              <w:jc w:val="left"/>
            </w:pPr>
            <w:r>
              <w:t xml:space="preserve">&lt;0.001</w:t>
            </w:r>
          </w:p>
        </w:tc>
      </w:tr>
      <w:tr>
        <w:tc>
          <w:p>
            <w:pPr>
              <w:pStyle w:val="Compact"/>
              <w:jc w:val="left"/>
            </w:pPr>
            <w:r>
              <w:t xml:space="preserve">Lung airways disease</w:t>
            </w:r>
          </w:p>
        </w:tc>
        <w:tc>
          <w:p/>
        </w:tc>
        <w:tc>
          <w:p>
            <w:pPr>
              <w:pStyle w:val="Compact"/>
              <w:jc w:val="right"/>
            </w:pPr>
            <w:r>
              <w:t xml:space="preserve">0.27</w:t>
            </w:r>
          </w:p>
        </w:tc>
        <w:tc>
          <w:p>
            <w:pPr>
              <w:pStyle w:val="Compact"/>
              <w:jc w:val="left"/>
            </w:pPr>
            <w:r>
              <w:t xml:space="preserve">1.31 (1.11-1.54)</w:t>
            </w:r>
          </w:p>
        </w:tc>
        <w:tc>
          <w:p>
            <w:pPr>
              <w:pStyle w:val="Compact"/>
              <w:jc w:val="left"/>
            </w:pPr>
            <w:r>
              <w:t xml:space="preserve">0.001</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Male</w:t>
            </w:r>
          </w:p>
        </w:tc>
        <w:tc>
          <w:p>
            <w:pPr>
              <w:pStyle w:val="Compact"/>
              <w:jc w:val="right"/>
            </w:pPr>
            <w:r>
              <w:t xml:space="preserve">0.37</w:t>
            </w:r>
          </w:p>
        </w:tc>
        <w:tc>
          <w:p>
            <w:pPr>
              <w:pStyle w:val="Compact"/>
              <w:jc w:val="left"/>
            </w:pPr>
            <w:r>
              <w:t xml:space="preserve">1.45 (1.33-1.59)</w:t>
            </w:r>
          </w:p>
        </w:tc>
        <w:tc>
          <w:p>
            <w:pPr>
              <w:pStyle w:val="Compact"/>
              <w:jc w:val="left"/>
            </w:pPr>
            <w:r>
              <w:t xml:space="preserve">&lt;0.001</w:t>
            </w:r>
          </w:p>
        </w:tc>
      </w:tr>
    </w:tbl>
    <w:bookmarkEnd w:id="63"/>
    <w:bookmarkStart w:id="64" w:name="page-break-14"/>
    <w:p>
      <w:pPr>
        <w:pStyle w:val="Heading5"/>
      </w:pPr>
      <w:r>
        <w:t xml:space="preserve">PAGE BREAK</w:t>
      </w:r>
    </w:p>
    <w:bookmarkEnd w:id="64"/>
    <w:bookmarkEnd w:id="65"/>
    <w:bookmarkStart w:id="74" w:name="supplementary"/>
    <w:p>
      <w:pPr>
        <w:pStyle w:val="Heading1"/>
      </w:pPr>
      <w:r>
        <w:t xml:space="preserve">Supplementary</w:t>
      </w:r>
    </w:p>
    <w:bookmarkStart w:id="67" w:name="model-coefficients"/>
    <w:p>
      <w:pPr>
        <w:pStyle w:val="Heading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This is a rare condition, with very few observed PJI:s within 90 days. We also re-estimated the model coefficients 1,000 times based on the Swedish data. Each time, we took a random sample of the same size (</w:t>
      </w:r>
      <m:oMath>
        <m:r>
          <m:t>N</m:t>
        </m:r>
        <m:r>
          <m:rPr>
            <m:sty m:val="p"/>
          </m:rPr>
          <m:t>=</m:t>
        </m:r>
        <m:r>
          <m:t>18</m:t>
        </m:r>
        <m:r>
          <m:rPr>
            <m:sty m:val="p"/>
          </m:rPr>
          <m:t>,</m:t>
        </m:r>
        <m:r>
          <m:t>854</m:t>
        </m:r>
      </m:oMath>
      <w:r>
        <w:t xml:space="preserve">) as was observed in the Danish cohort. The 2.5th and 97.5th percentiles were then used to form empirical 95 % confidence intervals for each coefficient (Tab.</w:t>
      </w:r>
      <w:r>
        <w:t xml:space="preserve"> </w:t>
      </w:r>
      <w:r>
        <w:t xml:space="preserve">7</w:t>
      </w:r>
      <w:r>
        <w:t xml:space="preserve"> </w:t>
      </w:r>
      <w:r>
        <w:t xml:space="preserve">and Fig.</w:t>
      </w:r>
      <w:r>
        <w:t xml:space="preserve"> </w:t>
      </w:r>
      <w:r>
        <w:t xml:space="preserve">8</w:t>
      </w:r>
      <w:r>
        <w:t xml:space="preserve">). The estimated effect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w:t>
      </w:r>
    </w:p>
    <w:tbl>
      <w:tblPr>
        <w:tblStyle w:val="Table"/>
        <w:tblW w:type="pct" w:w="0.0"/>
        <w:tblLook w:firstRow="1" w:lastRow="0" w:firstColumn="0" w:lastColumn="0" w:noHBand="0" w:noVBand="0" w:val="002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w:tblPr>
      <w:tblGrid/>
      <w:tr>
        <w:tc>
          <w:p>
            <w:pPr>
              <w:pStyle w:val="Compact"/>
              <w:jc w:val="left"/>
            </w:pPr>
            <w:r>
              <w:t xml:space="preserve">variable</w:t>
            </w:r>
          </w:p>
        </w:tc>
        <w:tc>
          <w:p>
            <w:pPr>
              <w:pStyle w:val="Compact"/>
              <w:jc w:val="left"/>
            </w:pPr>
            <w:r>
              <w:t xml:space="preserve">level</w:t>
            </w:r>
          </w:p>
        </w:tc>
        <w:tc>
          <w:p>
            <w:pPr>
              <w:pStyle w:val="Compact"/>
              <w:jc w:val="right"/>
            </w:pPr>
            <w:r>
              <w:t xml:space="preserve">Swedish</w:t>
            </w:r>
          </w:p>
        </w:tc>
        <w:tc>
          <w:p>
            <w:pPr>
              <w:pStyle w:val="Compact"/>
              <w:jc w:val="right"/>
            </w:pPr>
            <w:r>
              <w:t xml:space="preserve">Danish</w:t>
            </w:r>
          </w:p>
        </w:tc>
        <w:tc>
          <w:p>
            <w:pPr>
              <w:pStyle w:val="Compact"/>
              <w:jc w:val="left"/>
            </w:pPr>
            <w:r>
              <w:t xml:space="preserve">95 % CI</w:t>
            </w:r>
          </w:p>
        </w:tc>
      </w:tr>
      <w:tr>
        <w:tc>
          <w:p>
            <w:pPr>
              <w:pStyle w:val="Compact"/>
              <w:jc w:val="left"/>
            </w:pPr>
            <w:r>
              <w:t xml:space="preserve">(Intercept)</w:t>
            </w:r>
          </w:p>
        </w:tc>
        <w:tc>
          <w:p/>
        </w:tc>
        <w:tc>
          <w:p>
            <w:pPr>
              <w:pStyle w:val="Compact"/>
              <w:jc w:val="right"/>
            </w:pPr>
            <w:r>
              <w:t xml:space="preserve">-6.31</w:t>
            </w:r>
          </w:p>
        </w:tc>
        <w:tc>
          <w:p>
            <w:pPr>
              <w:pStyle w:val="Compact"/>
              <w:jc w:val="right"/>
            </w:pPr>
            <w:r>
              <w:t xml:space="preserve">-6.26</w:t>
            </w:r>
          </w:p>
        </w:tc>
        <w:tc>
          <w:p/>
        </w:tc>
      </w:tr>
      <w:tr>
        <w:tc>
          <w:p>
            <w:pPr>
              <w:pStyle w:val="Compact"/>
              <w:jc w:val="left"/>
            </w:pPr>
            <w:r>
              <w:t xml:space="preserve">Age</w:t>
            </w:r>
          </w:p>
        </w:tc>
        <w:tc>
          <w:p/>
        </w:tc>
        <w:tc>
          <w:p>
            <w:pPr>
              <w:pStyle w:val="Compact"/>
              <w:jc w:val="right"/>
            </w:pPr>
            <w:r>
              <w:t xml:space="preserve">0.02</w:t>
            </w:r>
          </w:p>
        </w:tc>
        <w:tc>
          <w:p>
            <w:pPr>
              <w:pStyle w:val="Compact"/>
              <w:jc w:val="right"/>
            </w:pPr>
            <w:r>
              <w:t xml:space="preserve">0.02</w:t>
            </w:r>
          </w:p>
        </w:tc>
        <w:tc>
          <w:p>
            <w:pPr>
              <w:pStyle w:val="Compact"/>
              <w:jc w:val="left"/>
            </w:pPr>
            <w:r>
              <w:t xml:space="preserve">(0.01, 0.03)</w:t>
            </w:r>
          </w:p>
        </w:tc>
      </w:tr>
      <w:tr>
        <w:tc>
          <w:p>
            <w:pPr>
              <w:pStyle w:val="Compact"/>
              <w:jc w:val="left"/>
            </w:pPr>
            <w:r>
              <w:t xml:space="preserve">Arrhythmia</w:t>
            </w:r>
          </w:p>
        </w:tc>
        <w:tc>
          <w:p/>
        </w:tc>
        <w:tc>
          <w:p>
            <w:pPr>
              <w:pStyle w:val="Compact"/>
              <w:jc w:val="right"/>
            </w:pPr>
            <w:r>
              <w:t xml:space="preserve">0.27</w:t>
            </w:r>
          </w:p>
        </w:tc>
        <w:tc>
          <w:p>
            <w:pPr>
              <w:pStyle w:val="Compact"/>
              <w:jc w:val="right"/>
            </w:pPr>
            <w:r>
              <w:t xml:space="preserve">0.14</w:t>
            </w:r>
          </w:p>
        </w:tc>
        <w:tc>
          <w:p>
            <w:pPr>
              <w:pStyle w:val="Compact"/>
              <w:jc w:val="left"/>
            </w:pPr>
            <w:r>
              <w:t xml:space="preserve">(-0.04, 0.52)</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II</w:t>
            </w:r>
          </w:p>
        </w:tc>
        <w:tc>
          <w:p>
            <w:pPr>
              <w:pStyle w:val="Compact"/>
              <w:jc w:val="right"/>
            </w:pPr>
            <w:r>
              <w:t xml:space="preserve">0.18</w:t>
            </w:r>
          </w:p>
        </w:tc>
        <w:tc>
          <w:p>
            <w:pPr>
              <w:pStyle w:val="Compact"/>
              <w:jc w:val="right"/>
            </w:pPr>
            <w:r>
              <w:t xml:space="preserve">0.38</w:t>
            </w:r>
          </w:p>
        </w:tc>
        <w:tc>
          <w:p>
            <w:pPr>
              <w:pStyle w:val="Compact"/>
              <w:jc w:val="left"/>
            </w:pPr>
            <w:r>
              <w:t xml:space="preserve">(-0.06, 0.45)</w:t>
            </w:r>
          </w:p>
        </w:tc>
      </w:tr>
      <w:tr>
        <w:tc>
          <w:p/>
        </w:tc>
        <w:tc>
          <w:p>
            <w:pPr>
              <w:pStyle w:val="Compact"/>
              <w:jc w:val="left"/>
            </w:pPr>
            <w:r>
              <w:t xml:space="preserve">III</w:t>
            </w:r>
          </w:p>
        </w:tc>
        <w:tc>
          <w:p>
            <w:pPr>
              <w:pStyle w:val="Compact"/>
              <w:jc w:val="right"/>
            </w:pPr>
            <w:r>
              <w:t xml:space="preserve">0.44</w:t>
            </w:r>
          </w:p>
        </w:tc>
        <w:tc>
          <w:p>
            <w:pPr>
              <w:pStyle w:val="Compact"/>
              <w:jc w:val="right"/>
            </w:pPr>
            <w:r>
              <w:t xml:space="preserve">0.51</w:t>
            </w:r>
          </w:p>
        </w:tc>
        <w:tc>
          <w:p>
            <w:pPr>
              <w:pStyle w:val="Compact"/>
              <w:jc w:val="left"/>
            </w:pPr>
            <w:r>
              <w:t xml:space="preserve">(0.12, 0.76)</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overweight</w:t>
            </w:r>
          </w:p>
        </w:tc>
        <w:tc>
          <w:p>
            <w:pPr>
              <w:pStyle w:val="Compact"/>
              <w:jc w:val="right"/>
            </w:pPr>
            <w:r>
              <w:t xml:space="preserve">0.39</w:t>
            </w:r>
          </w:p>
        </w:tc>
        <w:tc>
          <w:p>
            <w:pPr>
              <w:pStyle w:val="Compact"/>
              <w:jc w:val="right"/>
            </w:pPr>
            <w:r>
              <w:t xml:space="preserve">0.42</w:t>
            </w:r>
          </w:p>
        </w:tc>
        <w:tc>
          <w:p>
            <w:pPr>
              <w:pStyle w:val="Compact"/>
              <w:jc w:val="left"/>
            </w:pPr>
            <w:r>
              <w:t xml:space="preserve">(0.16, 0.62)</w:t>
            </w:r>
          </w:p>
        </w:tc>
      </w:tr>
      <w:tr>
        <w:tc>
          <w:p/>
        </w:tc>
        <w:tc>
          <w:p>
            <w:pPr>
              <w:pStyle w:val="Compact"/>
              <w:jc w:val="left"/>
            </w:pPr>
            <w:r>
              <w:t xml:space="preserve">class I obesity</w:t>
            </w:r>
          </w:p>
        </w:tc>
        <w:tc>
          <w:p>
            <w:pPr>
              <w:pStyle w:val="Compact"/>
              <w:jc w:val="right"/>
            </w:pPr>
            <w:r>
              <w:t xml:space="preserve">0.81</w:t>
            </w:r>
          </w:p>
        </w:tc>
        <w:tc>
          <w:p>
            <w:pPr>
              <w:pStyle w:val="Compact"/>
              <w:jc w:val="right"/>
            </w:pPr>
            <w:r>
              <w:t xml:space="preserve">0.69</w:t>
            </w:r>
          </w:p>
        </w:tc>
        <w:tc>
          <w:p>
            <w:pPr>
              <w:pStyle w:val="Compact"/>
              <w:jc w:val="left"/>
            </w:pPr>
            <w:r>
              <w:t xml:space="preserve">(0.56, 1.08)</w:t>
            </w:r>
          </w:p>
        </w:tc>
      </w:tr>
      <w:tr>
        <w:tc>
          <w:p/>
        </w:tc>
        <w:tc>
          <w:p>
            <w:pPr>
              <w:pStyle w:val="Compact"/>
              <w:jc w:val="left"/>
            </w:pPr>
            <w:r>
              <w:t xml:space="preserve">class II-III obesity</w:t>
            </w:r>
          </w:p>
        </w:tc>
        <w:tc>
          <w:p>
            <w:pPr>
              <w:pStyle w:val="Compact"/>
              <w:jc w:val="right"/>
            </w:pPr>
            <w:r>
              <w:t xml:space="preserve">1.40</w:t>
            </w:r>
          </w:p>
        </w:tc>
        <w:tc>
          <w:p>
            <w:pPr>
              <w:pStyle w:val="Compact"/>
              <w:jc w:val="right"/>
            </w:pPr>
            <w:r>
              <w:t xml:space="preserve">1.55</w:t>
            </w:r>
          </w:p>
        </w:tc>
        <w:tc>
          <w:p>
            <w:pPr>
              <w:pStyle w:val="Compact"/>
              <w:jc w:val="left"/>
            </w:pPr>
            <w:r>
              <w:t xml:space="preserve">(1.08, 1.70)</w:t>
            </w:r>
          </w:p>
        </w:tc>
      </w:tr>
      <w:tr>
        <w:tc>
          <w:p>
            <w:pPr>
              <w:pStyle w:val="Compact"/>
              <w:jc w:val="left"/>
            </w:pPr>
            <w:r>
              <w:t xml:space="preserve">CNS disease</w:t>
            </w:r>
          </w:p>
        </w:tc>
        <w:tc>
          <w:p/>
        </w:tc>
        <w:tc>
          <w:p>
            <w:pPr>
              <w:pStyle w:val="Compact"/>
              <w:jc w:val="right"/>
            </w:pPr>
            <w:r>
              <w:t xml:space="preserve">0.69</w:t>
            </w:r>
          </w:p>
        </w:tc>
        <w:tc>
          <w:p>
            <w:pPr>
              <w:pStyle w:val="Compact"/>
              <w:jc w:val="right"/>
            </w:pPr>
            <w:r>
              <w:t xml:space="preserve">0.79</w:t>
            </w:r>
          </w:p>
        </w:tc>
        <w:tc>
          <w:p>
            <w:pPr>
              <w:pStyle w:val="Compact"/>
              <w:jc w:val="left"/>
            </w:pPr>
            <w:r>
              <w:t xml:space="preserve">(0.32, 0.99)</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right"/>
            </w:pPr>
            <w:r>
              <w:t xml:space="preserve">-0.52</w:t>
            </w:r>
          </w:p>
        </w:tc>
        <w:tc>
          <w:p>
            <w:pPr>
              <w:pStyle w:val="Compact"/>
              <w:jc w:val="left"/>
            </w:pPr>
            <w:r>
              <w:t xml:space="preserve">(-0.37, 0.89)</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right"/>
            </w:pPr>
            <w:r>
              <w:t xml:space="preserve">0.82</w:t>
            </w:r>
          </w:p>
        </w:tc>
        <w:tc>
          <w:p>
            <w:pPr>
              <w:pStyle w:val="Compact"/>
              <w:jc w:val="left"/>
            </w:pPr>
            <w:r>
              <w:t xml:space="preserve">(0.00, 0.99)</w:t>
            </w:r>
          </w:p>
        </w:tc>
      </w:tr>
      <w:tr>
        <w:tc>
          <w:p/>
        </w:tc>
        <w:tc>
          <w:p>
            <w:pPr>
              <w:pStyle w:val="Compact"/>
              <w:jc w:val="left"/>
            </w:pPr>
            <w:r>
              <w:t xml:space="preserve">Secondary osteoarthritis</w:t>
            </w:r>
          </w:p>
        </w:tc>
        <w:tc>
          <w:p>
            <w:pPr>
              <w:pStyle w:val="Compact"/>
              <w:jc w:val="right"/>
            </w:pPr>
            <w:r>
              <w:t xml:space="preserve">0.74</w:t>
            </w:r>
          </w:p>
        </w:tc>
        <w:tc>
          <w:p>
            <w:pPr>
              <w:pStyle w:val="Compact"/>
              <w:jc w:val="right"/>
            </w:pPr>
            <w:r>
              <w:t xml:space="preserve">0.44</w:t>
            </w:r>
          </w:p>
        </w:tc>
        <w:tc>
          <w:p>
            <w:pPr>
              <w:pStyle w:val="Compact"/>
              <w:jc w:val="left"/>
            </w:pPr>
            <w:r>
              <w:t xml:space="preserve">(0.44, 1.00)</w:t>
            </w:r>
          </w:p>
        </w:tc>
      </w:tr>
      <w:tr>
        <w:tc>
          <w:p/>
        </w:tc>
        <w:tc>
          <w:p>
            <w:pPr>
              <w:pStyle w:val="Compact"/>
              <w:jc w:val="left"/>
            </w:pPr>
            <w:r>
              <w:t xml:space="preserve">Inflammatory joint disease</w:t>
            </w:r>
          </w:p>
        </w:tc>
        <w:tc>
          <w:p>
            <w:pPr>
              <w:pStyle w:val="Compact"/>
              <w:jc w:val="right"/>
            </w:pPr>
            <w:r>
              <w:t xml:space="preserve">0.94</w:t>
            </w:r>
          </w:p>
        </w:tc>
        <w:tc>
          <w:p>
            <w:pPr>
              <w:pStyle w:val="Compact"/>
              <w:jc w:val="right"/>
            </w:pPr>
            <w:r>
              <w:t xml:space="preserve">0.41</w:t>
            </w:r>
          </w:p>
        </w:tc>
        <w:tc>
          <w:p>
            <w:pPr>
              <w:pStyle w:val="Compact"/>
              <w:jc w:val="left"/>
            </w:pPr>
            <w:r>
              <w:t xml:space="preserve">(0.27, 1.38)</w:t>
            </w:r>
          </w:p>
        </w:tc>
      </w:tr>
      <w:tr>
        <w:tc>
          <w:p>
            <w:pPr>
              <w:pStyle w:val="Compact"/>
              <w:jc w:val="left"/>
            </w:pPr>
            <w:r>
              <w:t xml:space="preserve">Fluid electrolyte disorders</w:t>
            </w:r>
          </w:p>
        </w:tc>
        <w:tc>
          <w:p/>
        </w:tc>
        <w:tc>
          <w:p>
            <w:pPr>
              <w:pStyle w:val="Compact"/>
              <w:jc w:val="right"/>
            </w:pPr>
            <w:r>
              <w:t xml:space="preserve">0.42</w:t>
            </w:r>
          </w:p>
        </w:tc>
        <w:tc>
          <w:p>
            <w:pPr>
              <w:pStyle w:val="Compact"/>
              <w:jc w:val="right"/>
            </w:pPr>
            <w:r>
              <w:t xml:space="preserve">0.27</w:t>
            </w:r>
          </w:p>
        </w:tc>
        <w:tc>
          <w:p>
            <w:pPr>
              <w:pStyle w:val="Compact"/>
              <w:jc w:val="left"/>
            </w:pPr>
            <w:r>
              <w:t xml:space="preserve">(-0.70, 1.05)</w:t>
            </w:r>
          </w:p>
        </w:tc>
      </w:tr>
      <w:tr>
        <w:tc>
          <w:p>
            <w:pPr>
              <w:pStyle w:val="Compact"/>
              <w:jc w:val="left"/>
            </w:pPr>
            <w:r>
              <w:t xml:space="preserve">Liver disease</w:t>
            </w:r>
          </w:p>
        </w:tc>
        <w:tc>
          <w:p/>
        </w:tc>
        <w:tc>
          <w:p>
            <w:pPr>
              <w:pStyle w:val="Compact"/>
              <w:jc w:val="right"/>
            </w:pPr>
            <w:r>
              <w:t xml:space="preserve">0.75</w:t>
            </w:r>
          </w:p>
        </w:tc>
        <w:tc>
          <w:p>
            <w:pPr>
              <w:pStyle w:val="Compact"/>
              <w:jc w:val="right"/>
            </w:pPr>
            <w:r>
              <w:t xml:space="preserve">0.48</w:t>
            </w:r>
          </w:p>
        </w:tc>
        <w:tc>
          <w:p>
            <w:pPr>
              <w:pStyle w:val="Compact"/>
              <w:jc w:val="left"/>
            </w:pPr>
            <w:r>
              <w:t xml:space="preserve">(-0.20, 1.39)</w:t>
            </w:r>
          </w:p>
        </w:tc>
      </w:tr>
      <w:tr>
        <w:tc>
          <w:p>
            <w:pPr>
              <w:pStyle w:val="Compact"/>
              <w:jc w:val="left"/>
            </w:pPr>
            <w:r>
              <w:t xml:space="preserve">Lung airways disease</w:t>
            </w:r>
          </w:p>
        </w:tc>
        <w:tc>
          <w:p/>
        </w:tc>
        <w:tc>
          <w:p>
            <w:pPr>
              <w:pStyle w:val="Compact"/>
              <w:jc w:val="right"/>
            </w:pPr>
            <w:r>
              <w:t xml:space="preserve">0.27</w:t>
            </w:r>
          </w:p>
        </w:tc>
        <w:tc>
          <w:p>
            <w:pPr>
              <w:pStyle w:val="Compact"/>
              <w:jc w:val="right"/>
            </w:pPr>
            <w:r>
              <w:t xml:space="preserve">0.30</w:t>
            </w:r>
          </w:p>
        </w:tc>
        <w:tc>
          <w:p>
            <w:pPr>
              <w:pStyle w:val="Compact"/>
              <w:jc w:val="left"/>
            </w:pPr>
            <w:r>
              <w:t xml:space="preserve">(-0.07, 0.55)</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Male</w:t>
            </w:r>
          </w:p>
        </w:tc>
        <w:tc>
          <w:p>
            <w:pPr>
              <w:pStyle w:val="Compact"/>
              <w:jc w:val="right"/>
            </w:pPr>
            <w:r>
              <w:t xml:space="preserve">0.37</w:t>
            </w:r>
          </w:p>
        </w:tc>
        <w:tc>
          <w:p>
            <w:pPr>
              <w:pStyle w:val="Compact"/>
              <w:jc w:val="right"/>
            </w:pPr>
            <w:r>
              <w:t xml:space="preserve">0.32</w:t>
            </w:r>
          </w:p>
        </w:tc>
        <w:tc>
          <w:p/>
        </w:tc>
      </w:tr>
    </w:tbl>
    <w:p>
      <w:pPr>
        <w:pStyle w:val="CaptionedFigure"/>
      </w:pPr>
      <w:r>
        <w:drawing>
          <wp:inline>
            <wp:extent cx="5969000" cy="2984500"/>
            <wp:effectExtent b="0" l="0" r="0" t="0"/>
            <wp:docPr descr="Figure 8: Estimated coefficient values for the reduced model. Red triangles indicate estimates from the Swedish derivation data set. Red circles indicate re-estimated coefficient values for the same model based on the Danish validation cohort. Small coulored dots are empirical estimates from 1000 subsamples based on the Swedish data set, of the same sample size as used in the Danish validation cohort. Black dots indicate the outer limits of 95 % empirical confidence intervals. The Danish estimates almost always fall within those CIs."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6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8: Estimated coefficient values for the reduced model. Red triangles indicate estimates from the Swedish derivation data set. Red circles indicate re-estimated coefficient values for the same model based on the Danish validation cohort. Small coulored dots are empirical estimates from 1000 subsamples based on the Swedish data set, of the same sample size as used in the Danish validation cohort. Black dots indicate the outer limits of 95 % empirical confidence intervals. The Danish estimates almost always fall within those CIs.</w:t>
      </w:r>
    </w:p>
    <w:bookmarkEnd w:id="67"/>
    <w:bookmarkStart w:id="73" w:name="stratified-separation"/>
    <w:p>
      <w:pPr>
        <w:pStyle w:val="Heading2"/>
      </w:pPr>
      <w:r>
        <w:t xml:space="preserve">Stratified separation</w:t>
      </w:r>
    </w:p>
    <w:p>
      <w:pPr>
        <w:pStyle w:val="FirstParagraph"/>
      </w:pPr>
      <w:r>
        <w:rPr>
          <w:bCs/>
          <w:b/>
        </w:rPr>
        <w:t xml:space="preserve">TODO: If we decide to include those figures, could we get the Danish ggplot2-objects as well? Would you also like to add some descriptive text in that case Ute?</w:t>
      </w:r>
    </w:p>
    <w:p>
      <w:pPr>
        <w:pStyle w:val="CaptionedFigure"/>
      </w:pPr>
      <w:r>
        <w:drawing>
          <wp:inline>
            <wp:extent cx="3611727" cy="3611727"/>
            <wp:effectExtent b="0" l="0" r="0" t="0"/>
            <wp:docPr descr="Figure 9: Predicted probability by the reduced model, stratified by outcome and sex." title="" id="1" name="Picture"/>
            <a:graphic>
              <a:graphicData uri="http://schemas.openxmlformats.org/drawingml/2006/picture">
                <pic:pic>
                  <pic:nvPicPr>
                    <pic:cNvPr descr="../graphs/separation_strata_sex.png" id="0" name="Picture"/>
                    <pic:cNvPicPr>
                      <a:picLocks noChangeArrowheads="1" noChangeAspect="1"/>
                    </pic:cNvPicPr>
                  </pic:nvPicPr>
                  <pic:blipFill>
                    <a:blip r:embed="rId68"/>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9: Predicted probability by the reduced model, stratified by outcome and sex.</w:t>
      </w:r>
    </w:p>
    <w:p>
      <w:pPr>
        <w:pStyle w:val="CaptionedFigure"/>
      </w:pPr>
      <w:r>
        <w:drawing>
          <wp:inline>
            <wp:extent cx="3611727" cy="5416061"/>
            <wp:effectExtent b="0" l="0" r="0" t="0"/>
            <wp:docPr descr="Figure 10: Predicted probability by the reduced model, stratified by outcome and ASA class." title="" id="1" name="Picture"/>
            <a:graphic>
              <a:graphicData uri="http://schemas.openxmlformats.org/drawingml/2006/picture">
                <pic:pic>
                  <pic:nvPicPr>
                    <pic:cNvPr descr="../graphs/separation_strata_asa.png" id="0" name="Picture"/>
                    <pic:cNvPicPr>
                      <a:picLocks noChangeArrowheads="1" noChangeAspect="1"/>
                    </pic:cNvPicPr>
                  </pic:nvPicPr>
                  <pic:blipFill>
                    <a:blip r:embed="rId69"/>
                    <a:stretch>
                      <a:fillRect/>
                    </a:stretch>
                  </pic:blipFill>
                  <pic:spPr bwMode="auto">
                    <a:xfrm>
                      <a:off x="0" y="0"/>
                      <a:ext cx="3611727" cy="5416061"/>
                    </a:xfrm>
                    <a:prstGeom prst="rect">
                      <a:avLst/>
                    </a:prstGeom>
                    <a:noFill/>
                    <a:ln w="9525">
                      <a:noFill/>
                      <a:headEnd/>
                      <a:tailEnd/>
                    </a:ln>
                  </pic:spPr>
                </pic:pic>
              </a:graphicData>
            </a:graphic>
          </wp:inline>
        </w:drawing>
      </w:r>
    </w:p>
    <w:p>
      <w:pPr>
        <w:pStyle w:val="ImageCaption"/>
      </w:pPr>
      <w:r>
        <w:t xml:space="preserve">Figure 10: Predicted probability by the reduced model, stratified by outcome and ASA class.</w:t>
      </w:r>
    </w:p>
    <w:p>
      <w:pPr>
        <w:pStyle w:val="CaptionedFigure"/>
      </w:pPr>
      <w:r>
        <w:drawing>
          <wp:inline>
            <wp:extent cx="3611727" cy="5416061"/>
            <wp:effectExtent b="0" l="0" r="0" t="0"/>
            <wp:docPr descr="Figure 11: Predicted probability by the reduced model, stratified by outcome and Body Mass index (BMI)." title="" id="1" name="Picture"/>
            <a:graphic>
              <a:graphicData uri="http://schemas.openxmlformats.org/drawingml/2006/picture">
                <pic:pic>
                  <pic:nvPicPr>
                    <pic:cNvPr descr="../graphs/separation_strata_bmi.png" id="0" name="Picture"/>
                    <pic:cNvPicPr>
                      <a:picLocks noChangeArrowheads="1" noChangeAspect="1"/>
                    </pic:cNvPicPr>
                  </pic:nvPicPr>
                  <pic:blipFill>
                    <a:blip r:embed="rId70"/>
                    <a:stretch>
                      <a:fillRect/>
                    </a:stretch>
                  </pic:blipFill>
                  <pic:spPr bwMode="auto">
                    <a:xfrm>
                      <a:off x="0" y="0"/>
                      <a:ext cx="3611727" cy="5416061"/>
                    </a:xfrm>
                    <a:prstGeom prst="rect">
                      <a:avLst/>
                    </a:prstGeom>
                    <a:noFill/>
                    <a:ln w="9525">
                      <a:noFill/>
                      <a:headEnd/>
                      <a:tailEnd/>
                    </a:ln>
                  </pic:spPr>
                </pic:pic>
              </a:graphicData>
            </a:graphic>
          </wp:inline>
        </w:drawing>
      </w:r>
    </w:p>
    <w:p>
      <w:pPr>
        <w:pStyle w:val="ImageCaption"/>
      </w:pPr>
      <w:r>
        <w:t xml:space="preserve">Figure 11: Predicted probability by the reduced model, stratified by outcome and Body Mass index (BMI).</w:t>
      </w:r>
    </w:p>
    <w:p>
      <w:pPr>
        <w:pStyle w:val="CaptionedFigure"/>
      </w:pPr>
      <w:r>
        <w:drawing>
          <wp:inline>
            <wp:extent cx="5969000" cy="4475486"/>
            <wp:effectExtent b="0" l="0" r="0" t="0"/>
            <wp:docPr descr="Figure 12: Predicted probability by the reduced model, stratified by outcome and diagnose group." title="" id="1" name="Picture"/>
            <a:graphic>
              <a:graphicData uri="http://schemas.openxmlformats.org/drawingml/2006/picture">
                <pic:pic>
                  <pic:nvPicPr>
                    <pic:cNvPr descr="../graphs/separation_strata_diagrp.png" id="0" name="Picture"/>
                    <pic:cNvPicPr>
                      <a:picLocks noChangeArrowheads="1" noChangeAspect="1"/>
                    </pic:cNvPicPr>
                  </pic:nvPicPr>
                  <pic:blipFill>
                    <a:blip r:embed="rId71"/>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r>
        <w:t xml:space="preserve">Figure 12: Predicted probability by the reduced model, stratified by outcome and diagnose group.</w:t>
      </w:r>
    </w:p>
    <w:bookmarkStart w:id="72" w:name="page-break-15"/>
    <w:p>
      <w:pPr>
        <w:pStyle w:val="Heading5"/>
      </w:pPr>
      <w:r>
        <w:t xml:space="preserve">PAGE BREAK</w:t>
      </w:r>
    </w:p>
    <w:bookmarkEnd w:id="72"/>
    <w:bookmarkEnd w:id="73"/>
    <w:bookmarkEnd w:id="74"/>
    <w:bookmarkStart w:id="136" w:name="bibliography"/>
    <w:p>
      <w:pPr>
        <w:pStyle w:val="Heading1"/>
      </w:pPr>
      <w:r>
        <w:t xml:space="preserve">Bibliography</w:t>
      </w:r>
    </w:p>
    <w:bookmarkStart w:id="135" w:name="refs"/>
    <w:bookmarkStart w:id="75" w:name="ref-Zimmerli2006"/>
    <w:p>
      <w:pPr>
        <w:pStyle w:val="Bibliography"/>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w:t>
      </w:r>
      <w:r>
        <w:t xml:space="preserve">2006;</w:t>
      </w:r>
      <w:r>
        <w:t xml:space="preserve"> </w:t>
      </w:r>
      <w:r>
        <w:rPr>
          <w:bCs/>
          <w:b/>
        </w:rPr>
        <w:t xml:space="preserve">20</w:t>
      </w:r>
      <w:r>
        <w:t xml:space="preserve">: 1045–63.</w:t>
      </w:r>
    </w:p>
    <w:bookmarkEnd w:id="75"/>
    <w:bookmarkStart w:id="76" w:name="ref-Kapadia2016"/>
    <w:p>
      <w:pPr>
        <w:pStyle w:val="Bibliography"/>
      </w:pPr>
      <w:r>
        <w:t xml:space="preserve">2</w:t>
      </w:r>
      <w:r>
        <w:t xml:space="preserve"> </w:t>
      </w:r>
      <w:r>
        <w:t xml:space="preserve">	</w:t>
      </w:r>
      <w:r>
        <w:t xml:space="preserve">Kapadia BH, Berg RA, Daley JA, Fritz J, Bhave A, Mont MA. Periprosthetic joint infection.</w:t>
      </w:r>
      <w:r>
        <w:t xml:space="preserve"> </w:t>
      </w:r>
      <w:r>
        <w:rPr>
          <w:iCs/>
          <w:i/>
        </w:rPr>
        <w:t xml:space="preserve">The Lancet</w:t>
      </w:r>
      <w:r>
        <w:t xml:space="preserve"> </w:t>
      </w:r>
      <w:r>
        <w:t xml:space="preserve">2016;</w:t>
      </w:r>
      <w:r>
        <w:t xml:space="preserve"> </w:t>
      </w:r>
      <w:r>
        <w:rPr>
          <w:bCs/>
          <w:b/>
        </w:rPr>
        <w:t xml:space="preserve">387</w:t>
      </w:r>
      <w:r>
        <w:t xml:space="preserve">: 386–94.</w:t>
      </w:r>
    </w:p>
    <w:bookmarkEnd w:id="76"/>
    <w:bookmarkStart w:id="77" w:name="ref-Shohat2019"/>
    <w:p>
      <w:pPr>
        <w:pStyle w:val="Bibliography"/>
      </w:pPr>
      <w:r>
        <w:t xml:space="preserve">3</w:t>
      </w:r>
      <w:r>
        <w:t xml:space="preserve"> </w:t>
      </w:r>
      <w:r>
        <w:t xml:space="preserve">	</w:t>
      </w:r>
      <w:r>
        <w:t xml:space="preserve">Shohat N, Bauer T, Buttaro M,</w:t>
      </w:r>
      <w:r>
        <w:t xml:space="preserve"> </w:t>
      </w:r>
      <w:r>
        <w:rPr>
          <w:iCs/>
          <w:i/>
        </w:rPr>
        <w:t xml:space="preserve">et al.</w:t>
      </w:r>
      <w:r>
        <w:t xml:space="preserve">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w:t>
      </w:r>
      <w:r>
        <w:t xml:space="preserve">2019;</w:t>
      </w:r>
      <w:r>
        <w:t xml:space="preserve"> </w:t>
      </w:r>
      <w:r>
        <w:rPr>
          <w:bCs/>
          <w:b/>
        </w:rPr>
        <w:t xml:space="preserve">34</w:t>
      </w:r>
      <w:r>
        <w:t xml:space="preserve">: S325–7.</w:t>
      </w:r>
    </w:p>
    <w:bookmarkEnd w:id="77"/>
    <w:bookmarkStart w:id="78" w:name="ref-Ridgeway2005"/>
    <w:p>
      <w:pPr>
        <w:pStyle w:val="Bibliography"/>
      </w:pPr>
      <w:r>
        <w:t xml:space="preserve">4</w:t>
      </w:r>
      <w:r>
        <w:t xml:space="preserve"> </w:t>
      </w:r>
      <w:r>
        <w:t xml:space="preserve">	</w:t>
      </w:r>
      <w:r>
        <w:t xml:space="preserve">Ridgeway S, Wilson J, Charlet A, Kafatos G, Pearson A, Coello R. Infection of the surgical site after arthroplasty of the hip.</w:t>
      </w:r>
      <w:r>
        <w:t xml:space="preserve"> </w:t>
      </w:r>
      <w:r>
        <w:rPr>
          <w:iCs/>
          <w:i/>
        </w:rPr>
        <w:t xml:space="preserve">The Journal of Bone and Joint Surgery British volume</w:t>
      </w:r>
      <w:r>
        <w:t xml:space="preserve"> </w:t>
      </w:r>
      <w:r>
        <w:t xml:space="preserve">2005;</w:t>
      </w:r>
      <w:r>
        <w:t xml:space="preserve"> </w:t>
      </w:r>
      <w:r>
        <w:rPr>
          <w:bCs/>
          <w:b/>
        </w:rPr>
        <w:t xml:space="preserve">87-B</w:t>
      </w:r>
      <w:r>
        <w:t xml:space="preserve">: 844–50.</w:t>
      </w:r>
    </w:p>
    <w:bookmarkEnd w:id="78"/>
    <w:bookmarkStart w:id="79" w:name="ref-Lai2007"/>
    <w:p>
      <w:pPr>
        <w:pStyle w:val="Bibliography"/>
      </w:pPr>
      <w:r>
        <w:t xml:space="preserve">5</w:t>
      </w:r>
      <w:r>
        <w:t xml:space="preserve"> </w:t>
      </w:r>
      <w:r>
        <w:t xml:space="preserve">	</w:t>
      </w:r>
      <w:r>
        <w:t xml:space="preserve">Lai K, Bohm ER, Burnell C, Hedden DR.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w:t>
      </w:r>
      <w:r>
        <w:t xml:space="preserve">2007;</w:t>
      </w:r>
      <w:r>
        <w:t xml:space="preserve"> </w:t>
      </w:r>
      <w:r>
        <w:rPr>
          <w:bCs/>
          <w:b/>
        </w:rPr>
        <w:t xml:space="preserve">22</w:t>
      </w:r>
      <w:r>
        <w:t xml:space="preserve">: 651–6.</w:t>
      </w:r>
    </w:p>
    <w:bookmarkEnd w:id="79"/>
    <w:bookmarkStart w:id="80" w:name="ref-Malinzak2009"/>
    <w:p>
      <w:pPr>
        <w:pStyle w:val="Bibliography"/>
      </w:pPr>
      <w:r>
        <w:t xml:space="preserve">6</w:t>
      </w:r>
      <w:r>
        <w:t xml:space="preserve"> </w:t>
      </w:r>
      <w:r>
        <w:t xml:space="preserve">	</w:t>
      </w:r>
      <w:r>
        <w:t xml:space="preserve">Malinzak RA, Ritter MA, Berend ME, Meding JB, Olberding EM, Davis KE.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w:t>
      </w:r>
      <w:r>
        <w:t xml:space="preserve">2009;</w:t>
      </w:r>
      <w:r>
        <w:t xml:space="preserve"> </w:t>
      </w:r>
      <w:r>
        <w:rPr>
          <w:bCs/>
          <w:b/>
        </w:rPr>
        <w:t xml:space="preserve">24</w:t>
      </w:r>
      <w:r>
        <w:t xml:space="preserve">: 84–8.</w:t>
      </w:r>
    </w:p>
    <w:bookmarkEnd w:id="80"/>
    <w:bookmarkStart w:id="81" w:name="ref-Ong2009"/>
    <w:p>
      <w:pPr>
        <w:pStyle w:val="Bibliography"/>
      </w:pPr>
      <w:r>
        <w:t xml:space="preserve">7</w:t>
      </w:r>
      <w:r>
        <w:t xml:space="preserve"> </w:t>
      </w:r>
      <w:r>
        <w:t xml:space="preserve">	</w:t>
      </w:r>
      <w:r>
        <w:t xml:space="preserve">Ong KL, Kurtz SM, Lau E, Bozic KJ, Berry DJ, Parvizi J.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w:t>
      </w:r>
      <w:r>
        <w:t xml:space="preserve">2009;</w:t>
      </w:r>
      <w:r>
        <w:t xml:space="preserve"> </w:t>
      </w:r>
      <w:r>
        <w:rPr>
          <w:bCs/>
          <w:b/>
        </w:rPr>
        <w:t xml:space="preserve">24</w:t>
      </w:r>
      <w:r>
        <w:t xml:space="preserve">: 105–9.</w:t>
      </w:r>
    </w:p>
    <w:bookmarkEnd w:id="81"/>
    <w:bookmarkStart w:id="82" w:name="ref-Pedersen2010"/>
    <w:p>
      <w:pPr>
        <w:pStyle w:val="Bibliography"/>
      </w:pPr>
      <w:r>
        <w:t xml:space="preserve">8</w:t>
      </w:r>
      <w:r>
        <w:t xml:space="preserve"> </w:t>
      </w:r>
      <w:r>
        <w:t xml:space="preserve">	</w:t>
      </w:r>
      <w:r>
        <w:t xml:space="preserve">Pedersen AB, Mehnert F, Johnsen SP, Sørensen HT.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w:t>
      </w:r>
      <w:r>
        <w:t xml:space="preserve">2010;</w:t>
      </w:r>
      <w:r>
        <w:t xml:space="preserve"> </w:t>
      </w:r>
      <w:r>
        <w:rPr>
          <w:bCs/>
          <w:b/>
        </w:rPr>
        <w:t xml:space="preserve">92-B</w:t>
      </w:r>
      <w:r>
        <w:t xml:space="preserve">: 929–34.</w:t>
      </w:r>
    </w:p>
    <w:bookmarkEnd w:id="82"/>
    <w:bookmarkStart w:id="83" w:name="ref-Bozic2012"/>
    <w:p>
      <w:pPr>
        <w:pStyle w:val="Bibliography"/>
      </w:pPr>
      <w:r>
        <w:t xml:space="preserve">9</w:t>
      </w:r>
      <w:r>
        <w:t xml:space="preserve"> </w:t>
      </w:r>
      <w:r>
        <w:t xml:space="preserve">	</w:t>
      </w:r>
      <w:r>
        <w:t xml:space="preserve">Bozic KJ, Lau E, Kurtz S,</w:t>
      </w:r>
      <w:r>
        <w:t xml:space="preserve"> </w:t>
      </w:r>
      <w:r>
        <w:rPr>
          <w:iCs/>
          <w:i/>
        </w:rPr>
        <w:t xml:space="preserve">et al.</w:t>
      </w:r>
      <w:r>
        <w:t xml:space="preserve">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w:t>
      </w:r>
      <w:r>
        <w:t xml:space="preserve">2012;</w:t>
      </w:r>
      <w:r>
        <w:t xml:space="preserve"> </w:t>
      </w:r>
      <w:r>
        <w:rPr>
          <w:bCs/>
          <w:b/>
        </w:rPr>
        <w:t xml:space="preserve">94</w:t>
      </w:r>
      <w:r>
        <w:t xml:space="preserve">: 794–800.</w:t>
      </w:r>
    </w:p>
    <w:bookmarkEnd w:id="83"/>
    <w:bookmarkStart w:id="84" w:name="ref-Jamsen2012"/>
    <w:p>
      <w:pPr>
        <w:pStyle w:val="Bibliography"/>
      </w:pPr>
      <w:r>
        <w:t xml:space="preserve">10</w:t>
      </w:r>
      <w:r>
        <w:t xml:space="preserve"> </w:t>
      </w:r>
      <w:r>
        <w:t xml:space="preserve">	</w:t>
      </w:r>
      <w:r>
        <w:t xml:space="preserve">Jämsen E, Nevalainen P, Eskelinen A, Huotari K, Kalliovalkama J, Moilanen T.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w:t>
      </w:r>
      <w:r>
        <w:t xml:space="preserve">2012;</w:t>
      </w:r>
      <w:r>
        <w:t xml:space="preserve"> </w:t>
      </w:r>
      <w:r>
        <w:rPr>
          <w:bCs/>
          <w:b/>
        </w:rPr>
        <w:t xml:space="preserve">94</w:t>
      </w:r>
      <w:r>
        <w:t xml:space="preserve">: e101-1-9.</w:t>
      </w:r>
    </w:p>
    <w:bookmarkEnd w:id="84"/>
    <w:bookmarkStart w:id="85" w:name="ref-Rasouli2014a"/>
    <w:p>
      <w:pPr>
        <w:pStyle w:val="Bibliography"/>
      </w:pPr>
      <w:r>
        <w:t xml:space="preserve">11</w:t>
      </w:r>
      <w:r>
        <w:t xml:space="preserve"> </w:t>
      </w:r>
      <w:r>
        <w:t xml:space="preserve">	</w:t>
      </w:r>
      <w:r>
        <w:t xml:space="preserve">Rasouli MR, Restrepo C, Maltenfort MG, Purtill JJ, Parvizi J.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w:t>
      </w:r>
      <w:r>
        <w:t xml:space="preserve">2014;</w:t>
      </w:r>
      <w:r>
        <w:t xml:space="preserve"> </w:t>
      </w:r>
      <w:r>
        <w:rPr>
          <w:bCs/>
          <w:b/>
        </w:rPr>
        <w:t xml:space="preserve">96</w:t>
      </w:r>
      <w:r>
        <w:t xml:space="preserve">: e158-1-5.</w:t>
      </w:r>
    </w:p>
    <w:bookmarkEnd w:id="85"/>
    <w:bookmarkStart w:id="86" w:name="ref-Maoz2015"/>
    <w:p>
      <w:pPr>
        <w:pStyle w:val="Bibliography"/>
      </w:pPr>
      <w:r>
        <w:t xml:space="preserve">12</w:t>
      </w:r>
      <w:r>
        <w:t xml:space="preserve"> </w:t>
      </w:r>
      <w:r>
        <w:t xml:space="preserve">	</w:t>
      </w:r>
      <w:r>
        <w:t xml:space="preserve">Maoz G, Phillips M, Bosco J,</w:t>
      </w:r>
      <w:r>
        <w:t xml:space="preserve"> </w:t>
      </w:r>
      <w:r>
        <w:rPr>
          <w:iCs/>
          <w:i/>
        </w:rPr>
        <w:t xml:space="preserve">et al.</w:t>
      </w:r>
      <w:r>
        <w:t xml:space="preserve">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w:t>
      </w:r>
      <w:r>
        <w:t xml:space="preserve">2015;</w:t>
      </w:r>
      <w:r>
        <w:t xml:space="preserve"> </w:t>
      </w:r>
      <w:r>
        <w:rPr>
          <w:bCs/>
          <w:b/>
        </w:rPr>
        <w:t xml:space="preserve">473</w:t>
      </w:r>
      <w:r>
        <w:t xml:space="preserve">: 453–9.</w:t>
      </w:r>
    </w:p>
    <w:bookmarkEnd w:id="86"/>
    <w:bookmarkStart w:id="87" w:name="ref-Haynes1995"/>
    <w:p>
      <w:pPr>
        <w:pStyle w:val="Bibliography"/>
      </w:pPr>
      <w:r>
        <w:t xml:space="preserve">13</w:t>
      </w:r>
      <w:r>
        <w:t xml:space="preserve"> </w:t>
      </w:r>
      <w:r>
        <w:t xml:space="preserve">	</w:t>
      </w:r>
      <w:r>
        <w:t xml:space="preserve">Haynes SR, Lawler PG. An assessment of the consistency of</w:t>
      </w:r>
      <w:r>
        <w:t xml:space="preserve"> </w:t>
      </w:r>
      <w:r>
        <w:t xml:space="preserve">ASA</w:t>
      </w:r>
      <w:r>
        <w:t xml:space="preserve"> </w:t>
      </w:r>
      <w:r>
        <w:t xml:space="preserve">physical status classification allocation.</w:t>
      </w:r>
      <w:r>
        <w:t xml:space="preserve"> </w:t>
      </w:r>
      <w:r>
        <w:rPr>
          <w:iCs/>
          <w:i/>
        </w:rPr>
        <w:t xml:space="preserve">Anaesthesia</w:t>
      </w:r>
      <w:r>
        <w:t xml:space="preserve"> </w:t>
      </w:r>
      <w:r>
        <w:t xml:space="preserve">1995;</w:t>
      </w:r>
      <w:r>
        <w:t xml:space="preserve"> </w:t>
      </w:r>
      <w:r>
        <w:rPr>
          <w:bCs/>
          <w:b/>
        </w:rPr>
        <w:t xml:space="preserve">50</w:t>
      </w:r>
      <w:r>
        <w:t xml:space="preserve">: 195–9.</w:t>
      </w:r>
    </w:p>
    <w:bookmarkEnd w:id="87"/>
    <w:bookmarkStart w:id="88" w:name="ref-Berbari2012"/>
    <w:p>
      <w:pPr>
        <w:pStyle w:val="Bibliography"/>
      </w:pPr>
      <w:r>
        <w:t xml:space="preserve">14</w:t>
      </w:r>
      <w:r>
        <w:t xml:space="preserve"> </w:t>
      </w:r>
      <w:r>
        <w:t xml:space="preserve">	</w:t>
      </w:r>
      <w:r>
        <w:t xml:space="preserve">Berbari EF, Osmon DR, Lahr B,</w:t>
      </w:r>
      <w:r>
        <w:t xml:space="preserve"> </w:t>
      </w:r>
      <w:r>
        <w:rPr>
          <w:iCs/>
          <w:i/>
        </w:rPr>
        <w:t xml:space="preserve">et al.</w:t>
      </w:r>
      <w:r>
        <w:t xml:space="preserve">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w:t>
      </w:r>
      <w:r>
        <w:t xml:space="preserve">2012;</w:t>
      </w:r>
      <w:r>
        <w:t xml:space="preserve"> </w:t>
      </w:r>
      <w:r>
        <w:rPr>
          <w:bCs/>
          <w:b/>
        </w:rPr>
        <w:t xml:space="preserve">33</w:t>
      </w:r>
      <w:r>
        <w:t xml:space="preserve">: 774–81.</w:t>
      </w:r>
    </w:p>
    <w:bookmarkEnd w:id="88"/>
    <w:bookmarkStart w:id="89" w:name="ref-Charlson1987"/>
    <w:p>
      <w:pPr>
        <w:pStyle w:val="Bibliography"/>
      </w:pPr>
      <w:r>
        <w:t xml:space="preserve">15</w:t>
      </w:r>
      <w:r>
        <w:t xml:space="preserve"> </w:t>
      </w:r>
      <w:r>
        <w:t xml:space="preserve">	</w:t>
      </w:r>
      <w:r>
        <w:t xml:space="preserve">Charlson ME, Pompei P, Ales KL, MacKenzie CR. A new method of classifying prognostic comorbidity in longitudinal studies:</w:t>
      </w:r>
      <w:r>
        <w:t xml:space="preserve"> </w:t>
      </w:r>
      <w:r>
        <w:t xml:space="preserve">Development</w:t>
      </w:r>
      <w:r>
        <w:t xml:space="preserve"> </w:t>
      </w:r>
      <w:r>
        <w:t xml:space="preserve">and validation.</w:t>
      </w:r>
      <w:r>
        <w:t xml:space="preserve"> </w:t>
      </w:r>
      <w:r>
        <w:rPr>
          <w:iCs/>
          <w:i/>
        </w:rPr>
        <w:t xml:space="preserve">Journal of Chronic Diseases</w:t>
      </w:r>
      <w:r>
        <w:t xml:space="preserve"> </w:t>
      </w:r>
      <w:r>
        <w:t xml:space="preserve">1987;</w:t>
      </w:r>
      <w:r>
        <w:t xml:space="preserve"> </w:t>
      </w:r>
      <w:r>
        <w:rPr>
          <w:bCs/>
          <w:b/>
        </w:rPr>
        <w:t xml:space="preserve">40</w:t>
      </w:r>
      <w:r>
        <w:t xml:space="preserve">: 373–83.</w:t>
      </w:r>
    </w:p>
    <w:bookmarkEnd w:id="89"/>
    <w:bookmarkStart w:id="90" w:name="ref-Elixhauser1998"/>
    <w:p>
      <w:pPr>
        <w:pStyle w:val="Bibliography"/>
      </w:pPr>
      <w:r>
        <w:t xml:space="preserve">16</w:t>
      </w:r>
      <w:r>
        <w:t xml:space="preserve"> </w:t>
      </w:r>
      <w:r>
        <w:t xml:space="preserve">	</w:t>
      </w:r>
      <w:r>
        <w:t xml:space="preserve">Elixhauser A, Steiner C, Harris DR, Coffey RM. Comorbidity measures for use with administrative data.</w:t>
      </w:r>
      <w:r>
        <w:t xml:space="preserve"> </w:t>
      </w:r>
      <w:r>
        <w:rPr>
          <w:iCs/>
          <w:i/>
        </w:rPr>
        <w:t xml:space="preserve">Medical care</w:t>
      </w:r>
      <w:r>
        <w:t xml:space="preserve"> </w:t>
      </w:r>
      <w:r>
        <w:t xml:space="preserve">1998;</w:t>
      </w:r>
      <w:r>
        <w:t xml:space="preserve"> </w:t>
      </w:r>
      <w:r>
        <w:rPr>
          <w:bCs/>
          <w:b/>
        </w:rPr>
        <w:t xml:space="preserve">36</w:t>
      </w:r>
      <w:r>
        <w:t xml:space="preserve">: 8–27.</w:t>
      </w:r>
    </w:p>
    <w:bookmarkEnd w:id="90"/>
    <w:bookmarkStart w:id="91" w:name="ref-Sloan2003"/>
    <w:p>
      <w:pPr>
        <w:pStyle w:val="Bibliography"/>
      </w:pPr>
      <w:r>
        <w:t xml:space="preserve">17</w:t>
      </w:r>
      <w:r>
        <w:t xml:space="preserve"> </w:t>
      </w:r>
      <w:r>
        <w:t xml:space="preserve">	</w:t>
      </w:r>
      <w:r>
        <w:t xml:space="preserve">Sloan KL, Sales AE, Liu C-F,</w:t>
      </w:r>
      <w:r>
        <w:t xml:space="preserve"> </w:t>
      </w:r>
      <w:r>
        <w:rPr>
          <w:iCs/>
          <w:i/>
        </w:rPr>
        <w:t xml:space="preserve">et al.</w:t>
      </w:r>
      <w:r>
        <w:t xml:space="preserve"> Construction and characteristics of the</w:t>
      </w:r>
      <w:r>
        <w:t xml:space="preserve"> </w:t>
      </w:r>
      <w:r>
        <w:t xml:space="preserve">RxRisk</w:t>
      </w:r>
      <w:r>
        <w:t xml:space="preserve">-</w:t>
      </w:r>
      <w:r>
        <w:t xml:space="preserve">V</w:t>
      </w:r>
      <w:r>
        <w:t xml:space="preserve">: A</w:t>
      </w:r>
      <w:r>
        <w:t xml:space="preserve"> </w:t>
      </w:r>
      <w:r>
        <w:t xml:space="preserve">VA</w:t>
      </w:r>
      <w:r>
        <w:t xml:space="preserve">-adapted pharmacy-based case-mix instrument.</w:t>
      </w:r>
      <w:r>
        <w:t xml:space="preserve"> </w:t>
      </w:r>
      <w:r>
        <w:rPr>
          <w:iCs/>
          <w:i/>
        </w:rPr>
        <w:t xml:space="preserve">Medical care</w:t>
      </w:r>
      <w:r>
        <w:t xml:space="preserve"> </w:t>
      </w:r>
      <w:r>
        <w:t xml:space="preserve">2003;</w:t>
      </w:r>
      <w:r>
        <w:t xml:space="preserve"> </w:t>
      </w:r>
      <w:r>
        <w:rPr>
          <w:bCs/>
          <w:b/>
        </w:rPr>
        <w:t xml:space="preserve">41</w:t>
      </w:r>
      <w:r>
        <w:t xml:space="preserve">: 761–74.</w:t>
      </w:r>
    </w:p>
    <w:bookmarkEnd w:id="91"/>
    <w:bookmarkStart w:id="93" w:name="ref-Pratt2018"/>
    <w:p>
      <w:pPr>
        <w:pStyle w:val="Bibliography"/>
      </w:pPr>
      <w:r>
        <w:t xml:space="preserve">18</w:t>
      </w:r>
      <w:r>
        <w:t xml:space="preserve"> </w:t>
      </w:r>
      <w:r>
        <w:t xml:space="preserve">	</w:t>
      </w:r>
      <w:r>
        <w:t xml:space="preserve">Pratt NL, Kerr M, Barratt JD,</w:t>
      </w:r>
      <w:r>
        <w:t xml:space="preserve"> </w:t>
      </w:r>
      <w:r>
        <w:rPr>
          <w:iCs/>
          <w:i/>
        </w:rPr>
        <w:t xml:space="preserve">et al.</w:t>
      </w:r>
      <w:r>
        <w:t xml:space="preserve">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w:t>
      </w:r>
      <w:r>
        <w:t xml:space="preserve">2018;</w:t>
      </w:r>
      <w:r>
        <w:t xml:space="preserve"> </w:t>
      </w:r>
      <w:r>
        <w:rPr>
          <w:bCs/>
          <w:b/>
        </w:rPr>
        <w:t xml:space="preserve">8</w:t>
      </w:r>
      <w:r>
        <w:t xml:space="preserve">. DOI:</w:t>
      </w:r>
      <w:hyperlink r:id="rId92">
        <w:r>
          <w:rPr>
            <w:rStyle w:val="Hyperlink"/>
          </w:rPr>
          <w:t xml:space="preserve">10.1136/bmjopen-2017-021122</w:t>
        </w:r>
      </w:hyperlink>
      <w:r>
        <w:t xml:space="preserve">.</w:t>
      </w:r>
    </w:p>
    <w:bookmarkEnd w:id="93"/>
    <w:bookmarkStart w:id="94" w:name="ref-Edelstein2015"/>
    <w:p>
      <w:pPr>
        <w:pStyle w:val="Bibliography"/>
      </w:pPr>
      <w:r>
        <w:t xml:space="preserve">19</w:t>
      </w:r>
      <w:r>
        <w:t xml:space="preserve"> </w:t>
      </w:r>
      <w:r>
        <w:t xml:space="preserve">	</w:t>
      </w:r>
      <w:r>
        <w:t xml:space="preserve">Edelstein AI, Kwasny MJ, Suleiman LI,</w:t>
      </w:r>
      <w:r>
        <w:t xml:space="preserve"> </w:t>
      </w:r>
      <w:r>
        <w:rPr>
          <w:iCs/>
          <w:i/>
        </w:rPr>
        <w:t xml:space="preserve">et al.</w:t>
      </w:r>
      <w:r>
        <w:t xml:space="preserve">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w:t>
      </w:r>
      <w:r>
        <w:t xml:space="preserve">2015;</w:t>
      </w:r>
      <w:r>
        <w:t xml:space="preserve"> </w:t>
      </w:r>
      <w:r>
        <w:rPr>
          <w:bCs/>
          <w:b/>
        </w:rPr>
        <w:t xml:space="preserve">30</w:t>
      </w:r>
      <w:r>
        <w:t xml:space="preserve">: 5–10.</w:t>
      </w:r>
    </w:p>
    <w:bookmarkEnd w:id="94"/>
    <w:bookmarkStart w:id="95" w:name="ref-Wingert2016a"/>
    <w:p>
      <w:pPr>
        <w:pStyle w:val="Bibliography"/>
      </w:pPr>
      <w:r>
        <w:t xml:space="preserve">20</w:t>
      </w:r>
      <w:r>
        <w:t xml:space="preserve"> </w:t>
      </w:r>
      <w:r>
        <w:t xml:space="preserve">	</w:t>
      </w:r>
      <w:r>
        <w:t xml:space="preserve">Wingert NC, Gotoff J, Parrilla E, Gotoff R, Hou L, Ghanem 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w:t>
      </w:r>
      <w:r>
        <w:t xml:space="preserve">2016;</w:t>
      </w:r>
      <w:r>
        <w:t xml:space="preserve"> </w:t>
      </w:r>
      <w:r>
        <w:rPr>
          <w:bCs/>
          <w:b/>
        </w:rPr>
        <w:t xml:space="preserve">474</w:t>
      </w:r>
      <w:r>
        <w:t xml:space="preserve">: 1643–8.</w:t>
      </w:r>
    </w:p>
    <w:bookmarkEnd w:id="95"/>
    <w:bookmarkStart w:id="96" w:name="ref-Bozic2013a"/>
    <w:p>
      <w:pPr>
        <w:pStyle w:val="Bibliography"/>
      </w:pPr>
      <w:r>
        <w:t xml:space="preserve">21</w:t>
      </w:r>
      <w:r>
        <w:t xml:space="preserve"> </w:t>
      </w:r>
      <w:r>
        <w:t xml:space="preserve">	</w:t>
      </w:r>
      <w:r>
        <w:t xml:space="preserve">Bozic KJ, Ong K, Lau E,</w:t>
      </w:r>
      <w:r>
        <w:t xml:space="preserve"> </w:t>
      </w:r>
      <w:r>
        <w:rPr>
          <w:iCs/>
          <w:i/>
        </w:rPr>
        <w:t xml:space="preserve">et al.</w:t>
      </w:r>
      <w:r>
        <w:t xml:space="preserve">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w:t>
      </w:r>
      <w:r>
        <w:t xml:space="preserve">2013;</w:t>
      </w:r>
      <w:r>
        <w:t xml:space="preserve"> </w:t>
      </w:r>
      <w:r>
        <w:rPr>
          <w:bCs/>
          <w:b/>
        </w:rPr>
        <w:t xml:space="preserve">471</w:t>
      </w:r>
      <w:r>
        <w:t xml:space="preserve">: 574–83.</w:t>
      </w:r>
    </w:p>
    <w:bookmarkEnd w:id="96"/>
    <w:bookmarkStart w:id="97" w:name="ref-Inacio2015a"/>
    <w:p>
      <w:pPr>
        <w:pStyle w:val="Bibliography"/>
      </w:pPr>
      <w:r>
        <w:t xml:space="preserve">22</w:t>
      </w:r>
      <w:r>
        <w:t xml:space="preserve"> </w:t>
      </w:r>
      <w:r>
        <w:t xml:space="preserve">	</w:t>
      </w:r>
      <w:r>
        <w:t xml:space="preserve">Inacio MCS, Pratt NL, Roughead EE, Graves SE.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w:t>
      </w:r>
      <w:r>
        <w:t xml:space="preserve">2015;</w:t>
      </w:r>
      <w:r>
        <w:t xml:space="preserve"> </w:t>
      </w:r>
      <w:r>
        <w:rPr>
          <w:bCs/>
          <w:b/>
        </w:rPr>
        <w:t xml:space="preserve">30</w:t>
      </w:r>
      <w:r>
        <w:t xml:space="preserve">: 1692–8.</w:t>
      </w:r>
    </w:p>
    <w:bookmarkEnd w:id="97"/>
    <w:bookmarkStart w:id="98" w:name="ref-Ludvigsson2009"/>
    <w:p>
      <w:pPr>
        <w:pStyle w:val="Bibliography"/>
      </w:pPr>
      <w:r>
        <w:t xml:space="preserve">23</w:t>
      </w:r>
      <w:r>
        <w:t xml:space="preserve"> </w:t>
      </w:r>
      <w:r>
        <w:t xml:space="preserve">	</w:t>
      </w:r>
      <w:r>
        <w:t xml:space="preserve">Ludvigsson JF, Otterblad-Olausson P, Pettersson BU, Ekbom A.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w:t>
      </w:r>
      <w:r>
        <w:t xml:space="preserve">2009;</w:t>
      </w:r>
      <w:r>
        <w:t xml:space="preserve"> </w:t>
      </w:r>
      <w:r>
        <w:rPr>
          <w:bCs/>
          <w:b/>
        </w:rPr>
        <w:t xml:space="preserve">24</w:t>
      </w:r>
      <w:r>
        <w:t xml:space="preserve">: 659–67.</w:t>
      </w:r>
    </w:p>
    <w:bookmarkEnd w:id="98"/>
    <w:bookmarkStart w:id="99" w:name="ref-Cnudde2016"/>
    <w:p>
      <w:pPr>
        <w:pStyle w:val="Bibliography"/>
      </w:pPr>
      <w:r>
        <w:t xml:space="preserve">24</w:t>
      </w:r>
      <w:r>
        <w:t xml:space="preserve"> </w:t>
      </w:r>
      <w:r>
        <w:t xml:space="preserve">	</w:t>
      </w:r>
      <w:r>
        <w:t xml:space="preserve">Cnudde P, Rolfson O, Nemes S,</w:t>
      </w:r>
      <w:r>
        <w:t xml:space="preserve"> </w:t>
      </w:r>
      <w:r>
        <w:rPr>
          <w:iCs/>
          <w:i/>
        </w:rPr>
        <w:t xml:space="preserve">et al.</w:t>
      </w:r>
      <w:r>
        <w:t xml:space="preserve">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w:t>
      </w:r>
      <w:r>
        <w:t xml:space="preserve">2016;</w:t>
      </w:r>
      <w:r>
        <w:t xml:space="preserve"> </w:t>
      </w:r>
      <w:r>
        <w:rPr>
          <w:bCs/>
          <w:b/>
        </w:rPr>
        <w:t xml:space="preserve">17</w:t>
      </w:r>
      <w:r>
        <w:t xml:space="preserve">: 414.</w:t>
      </w:r>
    </w:p>
    <w:bookmarkEnd w:id="99"/>
    <w:bookmarkStart w:id="101" w:name="ref-Karrholm2018"/>
    <w:p>
      <w:pPr>
        <w:pStyle w:val="Bibliography"/>
      </w:pPr>
      <w:r>
        <w:t xml:space="preserve">25</w:t>
      </w:r>
      <w:r>
        <w:t xml:space="preserve"> </w:t>
      </w:r>
      <w:r>
        <w:t xml:space="preserve">	</w:t>
      </w:r>
      <w:r>
        <w:t xml:space="preserve">Kärrholm J, Mohaddes M, Odin D, Vinblad J, Rogmark C, Rolfson O. Svenska höftprotesregistret årsrapport 2017. 2018</w:t>
      </w:r>
      <w:r>
        <w:t xml:space="preserve"> </w:t>
      </w:r>
      <w:hyperlink r:id="rId100">
        <w:r>
          <w:rPr>
            <w:rStyle w:val="Hyperlink"/>
          </w:rPr>
          <w:t xml:space="preserve">https://doi.org/10.18158/ryAO-C4pW</w:t>
        </w:r>
      </w:hyperlink>
      <w:r>
        <w:t xml:space="preserve">.</w:t>
      </w:r>
    </w:p>
    <w:bookmarkEnd w:id="101"/>
    <w:bookmarkStart w:id="102" w:name="ref-Ludvigsson2011"/>
    <w:p>
      <w:pPr>
        <w:pStyle w:val="Bibliography"/>
      </w:pPr>
      <w:r>
        <w:t xml:space="preserve">26</w:t>
      </w:r>
      <w:r>
        <w:t xml:space="preserve"> </w:t>
      </w:r>
      <w:r>
        <w:t xml:space="preserve">	</w:t>
      </w:r>
      <w:r>
        <w:t xml:space="preserve">Ludvigsson JF, Andersson E, Ekbom A,</w:t>
      </w:r>
      <w:r>
        <w:t xml:space="preserve"> </w:t>
      </w:r>
      <w:r>
        <w:rPr>
          <w:iCs/>
          <w:i/>
        </w:rPr>
        <w:t xml:space="preserve">et al.</w:t>
      </w:r>
      <w:r>
        <w:t xml:space="preserve"> External review and validation of the</w:t>
      </w:r>
      <w:r>
        <w:t xml:space="preserve"> </w:t>
      </w:r>
      <w:r>
        <w:t xml:space="preserve">Swedish</w:t>
      </w:r>
      <w:r>
        <w:t xml:space="preserve"> </w:t>
      </w:r>
      <w:r>
        <w:t xml:space="preserve">national inpatient register.</w:t>
      </w:r>
      <w:r>
        <w:t xml:space="preserve"> </w:t>
      </w:r>
      <w:r>
        <w:rPr>
          <w:iCs/>
          <w:i/>
        </w:rPr>
        <w:t xml:space="preserve">BMC Public Health</w:t>
      </w:r>
      <w:r>
        <w:t xml:space="preserve"> </w:t>
      </w:r>
      <w:r>
        <w:t xml:space="preserve">2011;</w:t>
      </w:r>
      <w:r>
        <w:t xml:space="preserve"> </w:t>
      </w:r>
      <w:r>
        <w:rPr>
          <w:bCs/>
          <w:b/>
        </w:rPr>
        <w:t xml:space="preserve">11</w:t>
      </w:r>
      <w:r>
        <w:t xml:space="preserve">: 450.</w:t>
      </w:r>
    </w:p>
    <w:bookmarkEnd w:id="102"/>
    <w:bookmarkStart w:id="103" w:name="ref-Bulow2020"/>
    <w:p>
      <w:pPr>
        <w:pStyle w:val="Bibliography"/>
      </w:pPr>
      <w:r>
        <w:t xml:space="preserve">27</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w:t>
      </w:r>
      <w:r>
        <w:t xml:space="preserve">2020;</w:t>
      </w:r>
      <w:r>
        <w:t xml:space="preserve"> </w:t>
      </w:r>
      <w:r>
        <w:rPr>
          <w:bCs/>
          <w:b/>
        </w:rPr>
        <w:t xml:space="preserve">2020</w:t>
      </w:r>
      <w:r>
        <w:t xml:space="preserve">: 11262–70.</w:t>
      </w:r>
    </w:p>
    <w:bookmarkEnd w:id="103"/>
    <w:bookmarkStart w:id="104" w:name="ref-Quan2005"/>
    <w:p>
      <w:pPr>
        <w:pStyle w:val="Bibliography"/>
      </w:pPr>
      <w:r>
        <w:t xml:space="preserve">28</w:t>
      </w:r>
      <w:r>
        <w:t xml:space="preserve"> </w:t>
      </w:r>
      <w:r>
        <w:t xml:space="preserve">	</w:t>
      </w:r>
      <w:r>
        <w:t xml:space="preserve">Quan H, Sundararajan V, Halfon P,</w:t>
      </w:r>
      <w:r>
        <w:t xml:space="preserve"> </w:t>
      </w:r>
      <w:r>
        <w:rPr>
          <w:iCs/>
          <w:i/>
        </w:rPr>
        <w:t xml:space="preserve">et al.</w:t>
      </w:r>
      <w:r>
        <w:t xml:space="preserve">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w:t>
      </w:r>
      <w:r>
        <w:t xml:space="preserve">2005;</w:t>
      </w:r>
      <w:r>
        <w:t xml:space="preserve"> </w:t>
      </w:r>
      <w:r>
        <w:rPr>
          <w:bCs/>
          <w:b/>
        </w:rPr>
        <w:t xml:space="preserve">43</w:t>
      </w:r>
      <w:r>
        <w:t xml:space="preserve">: 1130–9.</w:t>
      </w:r>
    </w:p>
    <w:bookmarkEnd w:id="104"/>
    <w:bookmarkStart w:id="105" w:name="ref-Guo2015"/>
    <w:p>
      <w:pPr>
        <w:pStyle w:val="Bibliography"/>
      </w:pPr>
      <w:r>
        <w:t xml:space="preserve">29</w:t>
      </w:r>
      <w:r>
        <w:t xml:space="preserve"> </w:t>
      </w:r>
      <w:r>
        <w:t xml:space="preserve">	</w:t>
      </w:r>
      <w:r>
        <w:t xml:space="preserve">Guo P, Zeng F, Hu X,</w:t>
      </w:r>
      <w:r>
        <w:t xml:space="preserve"> </w:t>
      </w:r>
      <w:r>
        <w:rPr>
          <w:iCs/>
          <w:i/>
        </w:rPr>
        <w:t xml:space="preserve">et al.</w:t>
      </w:r>
      <w:r>
        <w:t xml:space="preserve">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w:t>
      </w:r>
      <w:r>
        <w:t xml:space="preserve"> </w:t>
      </w:r>
      <w:r>
        <w:rPr>
          <w:iCs/>
          <w:i/>
        </w:rPr>
        <w:t xml:space="preserve">PLOS ONE</w:t>
      </w:r>
      <w:r>
        <w:t xml:space="preserve"> </w:t>
      </w:r>
      <w:r>
        <w:t xml:space="preserve">2015;</w:t>
      </w:r>
      <w:r>
        <w:t xml:space="preserve"> </w:t>
      </w:r>
      <w:r>
        <w:rPr>
          <w:bCs/>
          <w:b/>
        </w:rPr>
        <w:t xml:space="preserve">10</w:t>
      </w:r>
      <w:r>
        <w:t xml:space="preserve">: e0134151.</w:t>
      </w:r>
    </w:p>
    <w:bookmarkEnd w:id="105"/>
    <w:bookmarkStart w:id="107" w:name="ref-Baranowski2020"/>
    <w:p>
      <w:pPr>
        <w:pStyle w:val="Bibliography"/>
      </w:pPr>
      <w:r>
        <w:t xml:space="preserve">30</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w:t>
      </w:r>
      <w:r>
        <w:t xml:space="preserve">2020. DOI:</w:t>
      </w:r>
      <w:hyperlink r:id="rId106">
        <w:r>
          <w:rPr>
            <w:rStyle w:val="Hyperlink"/>
          </w:rPr>
          <w:t xml:space="preserve">10.5705/ss.202017.0139</w:t>
        </w:r>
      </w:hyperlink>
      <w:r>
        <w:t xml:space="preserve">.</w:t>
      </w:r>
    </w:p>
    <w:bookmarkEnd w:id="107"/>
    <w:bookmarkStart w:id="108" w:name="ref-Garland2021"/>
    <w:p>
      <w:pPr>
        <w:pStyle w:val="Bibliography"/>
      </w:pPr>
      <w:r>
        <w:t xml:space="preserve">31</w:t>
      </w:r>
      <w:r>
        <w:t xml:space="preserve"> </w:t>
      </w:r>
      <w:r>
        <w:t xml:space="preserve">	</w:t>
      </w:r>
      <w:r>
        <w:t xml:space="preserve">Garland A, Bülow E, Lenguerrand E,</w:t>
      </w:r>
      <w:r>
        <w:t xml:space="preserve"> </w:t>
      </w:r>
      <w:r>
        <w:rPr>
          <w:iCs/>
          <w:i/>
        </w:rPr>
        <w:t xml:space="preserve">et al.</w:t>
      </w:r>
      <w:r>
        <w:t xml:space="preserve"> Prediction of 90-day mortality after total hip arthroplasty.</w:t>
      </w:r>
      <w:r>
        <w:t xml:space="preserve"> </w:t>
      </w:r>
      <w:r>
        <w:rPr>
          <w:iCs/>
          <w:i/>
        </w:rPr>
        <w:t xml:space="preserve">The Bone &amp; Joint Journal</w:t>
      </w:r>
      <w:r>
        <w:t xml:space="preserve"> </w:t>
      </w:r>
      <w:r>
        <w:t xml:space="preserve">2021;</w:t>
      </w:r>
      <w:r>
        <w:t xml:space="preserve"> </w:t>
      </w:r>
      <w:r>
        <w:rPr>
          <w:bCs/>
          <w:b/>
        </w:rPr>
        <w:t xml:space="preserve">103-B</w:t>
      </w:r>
      <w:r>
        <w:t xml:space="preserve">: 469–78.</w:t>
      </w:r>
    </w:p>
    <w:bookmarkEnd w:id="108"/>
    <w:bookmarkStart w:id="109" w:name="ref-Austin2004"/>
    <w:p>
      <w:pPr>
        <w:pStyle w:val="Bibliography"/>
      </w:pPr>
      <w:r>
        <w:t xml:space="preserve">32</w:t>
      </w:r>
      <w:r>
        <w:t xml:space="preserve"> </w:t>
      </w:r>
      <w:r>
        <w:t xml:space="preserve">	</w:t>
      </w:r>
      <w:r>
        <w:t xml:space="preserve">Austin PC, Tu JV. Bootstrap methods for developing predictive models.</w:t>
      </w:r>
      <w:r>
        <w:t xml:space="preserve"> </w:t>
      </w:r>
      <w:r>
        <w:rPr>
          <w:iCs/>
          <w:i/>
        </w:rPr>
        <w:t xml:space="preserve">The American Statistician</w:t>
      </w:r>
      <w:r>
        <w:t xml:space="preserve"> </w:t>
      </w:r>
      <w:r>
        <w:t xml:space="preserve">2004;</w:t>
      </w:r>
      <w:r>
        <w:t xml:space="preserve"> </w:t>
      </w:r>
      <w:r>
        <w:rPr>
          <w:bCs/>
          <w:b/>
        </w:rPr>
        <w:t xml:space="preserve">58</w:t>
      </w:r>
      <w:r>
        <w:t xml:space="preserve">: 131–7.</w:t>
      </w:r>
    </w:p>
    <w:bookmarkEnd w:id="109"/>
    <w:bookmarkStart w:id="110" w:name="ref-DeLong1988"/>
    <w:p>
      <w:pPr>
        <w:pStyle w:val="Bibliography"/>
      </w:pPr>
      <w:r>
        <w:t xml:space="preserve">33</w:t>
      </w:r>
      <w:r>
        <w:t xml:space="preserve"> </w:t>
      </w:r>
      <w:r>
        <w:t xml:space="preserve">	</w:t>
      </w:r>
      <w:r>
        <w:t xml:space="preserve">DeLong ER, DeLong DM, Clarke-Pearson DL. Comparing the</w:t>
      </w:r>
      <w:r>
        <w:t xml:space="preserve"> </w:t>
      </w:r>
      <w:r>
        <w:t xml:space="preserve">Areas</w:t>
      </w:r>
      <w:r>
        <w:t xml:space="preserve"> </w:t>
      </w:r>
      <w:r>
        <w:t xml:space="preserve">under</w:t>
      </w:r>
      <w:r>
        <w:t xml:space="preserve"> </w:t>
      </w:r>
      <w:r>
        <w:t xml:space="preserve">Two</w:t>
      </w:r>
      <w:r>
        <w:t xml:space="preserve"> </w:t>
      </w:r>
      <w:r>
        <w:t xml:space="preserve">or</w:t>
      </w:r>
      <w:r>
        <w:t xml:space="preserve"> </w:t>
      </w:r>
      <w:r>
        <w:t xml:space="preserve">More Correlated Receiver Operating Characteristic Curves</w:t>
      </w:r>
      <w:r>
        <w:t xml:space="preserve">:</w:t>
      </w:r>
      <w:r>
        <w:t xml:space="preserve"> </w:t>
      </w:r>
      <w:r>
        <w:t xml:space="preserve">A Nonparametric Approach</w:t>
      </w:r>
      <w:r>
        <w:t xml:space="preserve">.</w:t>
      </w:r>
      <w:r>
        <w:t xml:space="preserve"> </w:t>
      </w:r>
      <w:r>
        <w:rPr>
          <w:iCs/>
          <w:i/>
        </w:rPr>
        <w:t xml:space="preserve">Biometrics</w:t>
      </w:r>
      <w:r>
        <w:t xml:space="preserve"> </w:t>
      </w:r>
      <w:r>
        <w:t xml:space="preserve">1988;</w:t>
      </w:r>
      <w:r>
        <w:t xml:space="preserve"> </w:t>
      </w:r>
      <w:r>
        <w:rPr>
          <w:bCs/>
          <w:b/>
        </w:rPr>
        <w:t xml:space="preserve">44</w:t>
      </w:r>
      <w:r>
        <w:t xml:space="preserve">: 837–45.</w:t>
      </w:r>
    </w:p>
    <w:bookmarkEnd w:id="110"/>
    <w:bookmarkStart w:id="111" w:name="ref-Nattino2016"/>
    <w:p>
      <w:pPr>
        <w:pStyle w:val="Bibliography"/>
      </w:pPr>
      <w:r>
        <w:t xml:space="preserve">34</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w:t>
      </w:r>
      <w:r>
        <w:t xml:space="preserve">2016;</w:t>
      </w:r>
      <w:r>
        <w:t xml:space="preserve"> </w:t>
      </w:r>
      <w:r>
        <w:rPr>
          <w:bCs/>
          <w:b/>
        </w:rPr>
        <w:t xml:space="preserve">35</w:t>
      </w:r>
      <w:r>
        <w:t xml:space="preserve">: 709–20.</w:t>
      </w:r>
    </w:p>
    <w:bookmarkEnd w:id="111"/>
    <w:bookmarkStart w:id="113" w:name="ref-Harrell2018"/>
    <w:p>
      <w:pPr>
        <w:pStyle w:val="Bibliography"/>
      </w:pPr>
      <w:r>
        <w:t xml:space="preserve">35</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 Statistical Thinking. 2018; published online Oct.</w:t>
      </w:r>
      <w:r>
        <w:t xml:space="preserve"> </w:t>
      </w:r>
      <w:hyperlink r:id="rId112">
        <w:r>
          <w:rPr>
            <w:rStyle w:val="Hyperlink"/>
          </w:rPr>
          <w:t xml:space="preserve">https://www.fharrell.com/post/addvalue/</w:t>
        </w:r>
      </w:hyperlink>
      <w:r>
        <w:t xml:space="preserve"> </w:t>
      </w:r>
      <w:r>
        <w:t xml:space="preserve">(accessed May 11, 2021).</w:t>
      </w:r>
    </w:p>
    <w:bookmarkEnd w:id="113"/>
    <w:bookmarkStart w:id="114" w:name="ref-Bulow2020b"/>
    <w:p>
      <w:pPr>
        <w:pStyle w:val="Bibliography"/>
      </w:pPr>
      <w:r>
        <w:t xml:space="preserve">36</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w:t>
      </w:r>
      <w:r>
        <w:t xml:space="preserve">2020;</w:t>
      </w:r>
      <w:r>
        <w:t xml:space="preserve"> </w:t>
      </w:r>
      <w:r>
        <w:rPr>
          <w:bCs/>
          <w:b/>
        </w:rPr>
        <w:t xml:space="preserve">5</w:t>
      </w:r>
      <w:r>
        <w:t xml:space="preserve">: 2916.</w:t>
      </w:r>
    </w:p>
    <w:bookmarkEnd w:id="114"/>
    <w:bookmarkStart w:id="115" w:name="ref-Pedersen2010a"/>
    <w:p>
      <w:pPr>
        <w:pStyle w:val="Bibliography"/>
      </w:pPr>
      <w:r>
        <w:t xml:space="preserve">37</w:t>
      </w:r>
      <w:r>
        <w:t xml:space="preserve"> </w:t>
      </w:r>
      <w:r>
        <w:t xml:space="preserve">	</w:t>
      </w:r>
      <w:r>
        <w:t xml:space="preserve">Pedersen AB, Svendsson JE, Johnsen SP, Riis A, Overgaard S.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w:t>
      </w:r>
      <w:r>
        <w:t xml:space="preserve">2010;</w:t>
      </w:r>
      <w:r>
        <w:t xml:space="preserve"> </w:t>
      </w:r>
      <w:r>
        <w:rPr>
          <w:bCs/>
          <w:b/>
        </w:rPr>
        <w:t xml:space="preserve">81</w:t>
      </w:r>
      <w:r>
        <w:t xml:space="preserve">: 542–7.</w:t>
      </w:r>
    </w:p>
    <w:bookmarkEnd w:id="115"/>
    <w:bookmarkStart w:id="116" w:name="ref-Dale2012"/>
    <w:p>
      <w:pPr>
        <w:pStyle w:val="Bibliography"/>
      </w:pPr>
      <w:r>
        <w:t xml:space="preserve">38</w:t>
      </w:r>
      <w:r>
        <w:t xml:space="preserve"> </w:t>
      </w:r>
      <w:r>
        <w:t xml:space="preserve">	</w:t>
      </w:r>
      <w:r>
        <w:t xml:space="preserve">Dale H, Fenstad AM, Hallan G,</w:t>
      </w:r>
      <w:r>
        <w:t xml:space="preserve"> </w:t>
      </w:r>
      <w:r>
        <w:rPr>
          <w:iCs/>
          <w:i/>
        </w:rPr>
        <w:t xml:space="preserve">et al.</w:t>
      </w:r>
      <w:r>
        <w:t xml:space="preserve">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w:t>
      </w:r>
      <w:r>
        <w:t xml:space="preserve">2012;</w:t>
      </w:r>
      <w:r>
        <w:t xml:space="preserve"> </w:t>
      </w:r>
      <w:r>
        <w:rPr>
          <w:bCs/>
          <w:b/>
        </w:rPr>
        <w:t xml:space="preserve">83</w:t>
      </w:r>
      <w:r>
        <w:t xml:space="preserve">: 449–58.</w:t>
      </w:r>
    </w:p>
    <w:bookmarkEnd w:id="116"/>
    <w:bookmarkStart w:id="117" w:name="ref-Sayed-Noor2019"/>
    <w:p>
      <w:pPr>
        <w:pStyle w:val="Bibliography"/>
      </w:pPr>
      <w:r>
        <w:t xml:space="preserve">39</w:t>
      </w:r>
      <w:r>
        <w:t xml:space="preserve"> </w:t>
      </w:r>
      <w:r>
        <w:t xml:space="preserve">	</w:t>
      </w:r>
      <w:r>
        <w:t xml:space="preserve">Sayed-Noor AS, Mukka S, Mohaddes M, Kärrholm J, Rolfson O.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w:t>
      </w:r>
      <w:r>
        <w:t xml:space="preserve">2019;</w:t>
      </w:r>
      <w:r>
        <w:t xml:space="preserve"> </w:t>
      </w:r>
      <w:r>
        <w:rPr>
          <w:bCs/>
          <w:b/>
        </w:rPr>
        <w:t xml:space="preserve">90</w:t>
      </w:r>
      <w:r>
        <w:t xml:space="preserve">: 220–5.</w:t>
      </w:r>
    </w:p>
    <w:bookmarkEnd w:id="117"/>
    <w:bookmarkStart w:id="118" w:name="ref-Everhart2013"/>
    <w:p>
      <w:pPr>
        <w:pStyle w:val="Bibliography"/>
      </w:pPr>
      <w:r>
        <w:t xml:space="preserve">40</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w:t>
      </w:r>
      <w:r>
        <w:t xml:space="preserve">2013;</w:t>
      </w:r>
      <w:r>
        <w:t xml:space="preserve"> </w:t>
      </w:r>
      <w:r>
        <w:rPr>
          <w:bCs/>
          <w:b/>
        </w:rPr>
        <w:t xml:space="preserve">471</w:t>
      </w:r>
      <w:r>
        <w:t xml:space="preserve">: 3112–9.</w:t>
      </w:r>
    </w:p>
    <w:bookmarkEnd w:id="118"/>
    <w:bookmarkStart w:id="120" w:name="ref-Tan2018"/>
    <w:p>
      <w:pPr>
        <w:pStyle w:val="Bibliography"/>
      </w:pPr>
      <w:r>
        <w:t xml:space="preserve">41</w:t>
      </w:r>
      <w:r>
        <w:t xml:space="preserve"> </w:t>
      </w:r>
      <w:r>
        <w:t xml:space="preserve">	</w:t>
      </w:r>
      <w:r>
        <w:t xml:space="preserve">Tan TL, Maltenfort MG, Chen AF,</w:t>
      </w:r>
      <w:r>
        <w:t xml:space="preserve"> </w:t>
      </w:r>
      <w:r>
        <w:rPr>
          <w:iCs/>
          <w:i/>
        </w:rPr>
        <w:t xml:space="preserve">et al.</w:t>
      </w:r>
      <w:r>
        <w:t xml:space="preserve"> Development and evaluation of a preoperative risk calculator for periprosthetic joint infection following total joint arthroplasty.</w:t>
      </w:r>
      <w:r>
        <w:t xml:space="preserve"> </w:t>
      </w:r>
      <w:r>
        <w:rPr>
          <w:iCs/>
          <w:i/>
        </w:rPr>
        <w:t xml:space="preserve">The Journal of Bone and Joint Surgery</w:t>
      </w:r>
      <w:r>
        <w:t xml:space="preserve"> </w:t>
      </w:r>
      <w:r>
        <w:t xml:space="preserve">2018. DOI:</w:t>
      </w:r>
      <w:hyperlink r:id="rId119">
        <w:r>
          <w:rPr>
            <w:rStyle w:val="Hyperlink"/>
          </w:rPr>
          <w:t xml:space="preserve">10.2106/JBJS.16.01435</w:t>
        </w:r>
      </w:hyperlink>
      <w:r>
        <w:t xml:space="preserve">.</w:t>
      </w:r>
    </w:p>
    <w:bookmarkEnd w:id="120"/>
    <w:bookmarkStart w:id="121" w:name="ref-Deleuran2015"/>
    <w:p>
      <w:pPr>
        <w:pStyle w:val="Bibliography"/>
      </w:pPr>
      <w:r>
        <w:t xml:space="preserve">42</w:t>
      </w:r>
      <w:r>
        <w:t xml:space="preserve"> </w:t>
      </w:r>
      <w:r>
        <w:t xml:space="preserve">	</w:t>
      </w:r>
      <w:r>
        <w:t xml:space="preserve">Deleuran T, Vilstrup H, Overgaard S, Jepsen P.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w:t>
      </w:r>
      <w:r>
        <w:t xml:space="preserve">2015;</w:t>
      </w:r>
      <w:r>
        <w:t xml:space="preserve"> </w:t>
      </w:r>
      <w:r>
        <w:rPr>
          <w:bCs/>
          <w:b/>
        </w:rPr>
        <w:t xml:space="preserve">86</w:t>
      </w:r>
      <w:r>
        <w:t xml:space="preserve">: 108–13.</w:t>
      </w:r>
    </w:p>
    <w:bookmarkEnd w:id="121"/>
    <w:bookmarkStart w:id="122" w:name="ref-Pulido2008"/>
    <w:p>
      <w:pPr>
        <w:pStyle w:val="Bibliography"/>
      </w:pPr>
      <w:r>
        <w:t xml:space="preserve">43</w:t>
      </w:r>
      <w:r>
        <w:t xml:space="preserve"> </w:t>
      </w:r>
      <w:r>
        <w:t xml:space="preserve">	</w:t>
      </w:r>
      <w:r>
        <w:t xml:space="preserve">Pulido L, Ghanem E, Joshi A, Purtill JJ, Parvizi J.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w:t>
      </w:r>
      <w:r>
        <w:t xml:space="preserve">2008;</w:t>
      </w:r>
      <w:r>
        <w:t xml:space="preserve"> </w:t>
      </w:r>
      <w:r>
        <w:rPr>
          <w:bCs/>
          <w:b/>
        </w:rPr>
        <w:t xml:space="preserve">466</w:t>
      </w:r>
      <w:r>
        <w:t xml:space="preserve">: 1710–5.</w:t>
      </w:r>
    </w:p>
    <w:bookmarkEnd w:id="122"/>
    <w:bookmarkStart w:id="123" w:name="ref-Namba2012"/>
    <w:p>
      <w:pPr>
        <w:pStyle w:val="Bibliography"/>
      </w:pPr>
      <w:r>
        <w:t xml:space="preserve">44</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w:t>
      </w:r>
      <w:r>
        <w:t xml:space="preserve">2012;</w:t>
      </w:r>
      <w:r>
        <w:t xml:space="preserve"> </w:t>
      </w:r>
      <w:r>
        <w:rPr>
          <w:bCs/>
          <w:b/>
        </w:rPr>
        <w:t xml:space="preserve">94-B</w:t>
      </w:r>
      <w:r>
        <w:t xml:space="preserve">: 1330–8.</w:t>
      </w:r>
    </w:p>
    <w:bookmarkEnd w:id="123"/>
    <w:bookmarkStart w:id="124" w:name="ref-Higuera2011"/>
    <w:p>
      <w:pPr>
        <w:pStyle w:val="Bibliography"/>
      </w:pPr>
      <w:r>
        <w:t xml:space="preserve">45</w:t>
      </w:r>
      <w:r>
        <w:t xml:space="preserve"> </w:t>
      </w:r>
      <w:r>
        <w:t xml:space="preserve">	</w:t>
      </w:r>
      <w:r>
        <w:t xml:space="preserve">Higuera CA, Elsharkawy K, Klika AK, Brocone M, Barsoum WK. 2010</w:t>
      </w:r>
      <w:r>
        <w:t xml:space="preserve"> </w:t>
      </w:r>
      <w:r>
        <w:t xml:space="preserve">Mid</w:t>
      </w:r>
      <w:r>
        <w:t xml:space="preserve">-</w:t>
      </w:r>
      <w:r>
        <w:t xml:space="preserve">America Orthopaedic Association Physician</w:t>
      </w:r>
      <w:r>
        <w:t xml:space="preserve"> </w:t>
      </w:r>
      <w:r>
        <w:t xml:space="preserve">in</w:t>
      </w:r>
      <w:r>
        <w:t xml:space="preserve"> </w:t>
      </w:r>
      <w:r>
        <w:t xml:space="preserve">Training Award</w:t>
      </w:r>
      <w:r>
        <w:t xml:space="preserve">:</w:t>
      </w:r>
      <w:r>
        <w:t xml:space="preserve"> </w:t>
      </w:r>
      <w:r>
        <w:t xml:space="preserve">Predictors</w:t>
      </w:r>
      <w:r>
        <w:t xml:space="preserve"> </w:t>
      </w:r>
      <w:r>
        <w:t xml:space="preserve">of</w:t>
      </w:r>
      <w:r>
        <w:t xml:space="preserve"> </w:t>
      </w:r>
      <w:r>
        <w:t xml:space="preserve">Early Adverse Outcomes</w:t>
      </w:r>
      <w:r>
        <w:t xml:space="preserve"> </w:t>
      </w:r>
      <w:r>
        <w:t xml:space="preserve">after</w:t>
      </w:r>
      <w:r>
        <w:t xml:space="preserve"> </w:t>
      </w:r>
      <w:r>
        <w:t xml:space="preserve">Knee</w:t>
      </w:r>
      <w:r>
        <w:t xml:space="preserve"> </w:t>
      </w:r>
      <w:r>
        <w:t xml:space="preserve">and</w:t>
      </w:r>
      <w:r>
        <w:t xml:space="preserve"> </w:t>
      </w:r>
      <w:r>
        <w:t xml:space="preserve">Hip Arthroplasty</w:t>
      </w:r>
      <w:r>
        <w:t xml:space="preserve"> </w:t>
      </w:r>
      <w:r>
        <w:t xml:space="preserve">in</w:t>
      </w:r>
      <w:r>
        <w:t xml:space="preserve"> </w:t>
      </w:r>
      <w:r>
        <w:t xml:space="preserve">Geriatric Patients</w:t>
      </w:r>
      <w:r>
        <w:t xml:space="preserve">.</w:t>
      </w:r>
      <w:r>
        <w:t xml:space="preserve"> </w:t>
      </w:r>
      <w:r>
        <w:rPr>
          <w:iCs/>
          <w:i/>
        </w:rPr>
        <w:t xml:space="preserve">Clin Orthop Relat Res</w:t>
      </w:r>
      <w:r>
        <w:t xml:space="preserve"> </w:t>
      </w:r>
      <w:r>
        <w:t xml:space="preserve">2011;</w:t>
      </w:r>
      <w:r>
        <w:t xml:space="preserve"> </w:t>
      </w:r>
      <w:r>
        <w:rPr>
          <w:bCs/>
          <w:b/>
        </w:rPr>
        <w:t xml:space="preserve">469</w:t>
      </w:r>
      <w:r>
        <w:t xml:space="preserve">: 1391–400.</w:t>
      </w:r>
    </w:p>
    <w:bookmarkEnd w:id="124"/>
    <w:bookmarkStart w:id="125" w:name="ref-Poultsides2013"/>
    <w:p>
      <w:pPr>
        <w:pStyle w:val="Bibliography"/>
      </w:pPr>
      <w:r>
        <w:t xml:space="preserve">46</w:t>
      </w:r>
      <w:r>
        <w:t xml:space="preserve"> </w:t>
      </w:r>
      <w:r>
        <w:t xml:space="preserve">	</w:t>
      </w:r>
      <w:r>
        <w:t xml:space="preserve">Poultsides LA, Ma Y, Della Valle AG, Chiu Y-L, Sculco TP, Memtsoudis SG.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w:t>
      </w:r>
      <w:r>
        <w:t xml:space="preserve">2013;</w:t>
      </w:r>
      <w:r>
        <w:t xml:space="preserve"> </w:t>
      </w:r>
      <w:r>
        <w:rPr>
          <w:bCs/>
          <w:b/>
        </w:rPr>
        <w:t xml:space="preserve">28</w:t>
      </w:r>
      <w:r>
        <w:t xml:space="preserve">: 385–9.</w:t>
      </w:r>
    </w:p>
    <w:bookmarkEnd w:id="125"/>
    <w:bookmarkStart w:id="126" w:name="ref-Bulow2017"/>
    <w:p>
      <w:pPr>
        <w:pStyle w:val="Bibliography"/>
      </w:pPr>
      <w:r>
        <w:t xml:space="preserve">47</w:t>
      </w:r>
      <w:r>
        <w:t xml:space="preserve"> </w:t>
      </w:r>
      <w:r>
        <w:t xml:space="preserve">	</w:t>
      </w:r>
      <w:r>
        <w:t xml:space="preserve">Bülow E, Rolfson O, Cnudde P, Rogmark C, Garellick G, Nemes S. Comorbidity does not predict long-term mortality after total hip arthroplasty.</w:t>
      </w:r>
      <w:r>
        <w:t xml:space="preserve"> </w:t>
      </w:r>
      <w:r>
        <w:rPr>
          <w:iCs/>
          <w:i/>
        </w:rPr>
        <w:t xml:space="preserve">Acta Orthopaedica</w:t>
      </w:r>
      <w:r>
        <w:t xml:space="preserve"> </w:t>
      </w:r>
      <w:r>
        <w:t xml:space="preserve">2017;</w:t>
      </w:r>
      <w:r>
        <w:t xml:space="preserve"> </w:t>
      </w:r>
      <w:r>
        <w:rPr>
          <w:bCs/>
          <w:b/>
        </w:rPr>
        <w:t xml:space="preserve">88</w:t>
      </w:r>
      <w:r>
        <w:t xml:space="preserve">: 1–6.</w:t>
      </w:r>
    </w:p>
    <w:bookmarkEnd w:id="126"/>
    <w:bookmarkStart w:id="127" w:name="ref-Bulow2019"/>
    <w:p>
      <w:pPr>
        <w:pStyle w:val="Bibliography"/>
      </w:pPr>
      <w:r>
        <w:t xml:space="preserve">48</w:t>
      </w:r>
      <w:r>
        <w:t xml:space="preserve"> </w:t>
      </w:r>
      <w:r>
        <w:t xml:space="preserve">	</w:t>
      </w:r>
      <w:r>
        <w:t xml:space="preserve">Bülow E, Cnudde P, Rogmark C, Rolfson O, Nemes S. Low predictive power of comorbidity indices identified for mortality after acute arthroplasty surgery undertaken for femoral neck fracture.</w:t>
      </w:r>
      <w:r>
        <w:t xml:space="preserve"> </w:t>
      </w:r>
      <w:r>
        <w:rPr>
          <w:iCs/>
          <w:i/>
        </w:rPr>
        <w:t xml:space="preserve">The Bone &amp; Joint Journal</w:t>
      </w:r>
      <w:r>
        <w:t xml:space="preserve"> </w:t>
      </w:r>
      <w:r>
        <w:t xml:space="preserve">2019;</w:t>
      </w:r>
      <w:r>
        <w:t xml:space="preserve"> </w:t>
      </w:r>
      <w:r>
        <w:rPr>
          <w:bCs/>
          <w:b/>
        </w:rPr>
        <w:t xml:space="preserve">101-B</w:t>
      </w:r>
      <w:r>
        <w:t xml:space="preserve">: 104–12.</w:t>
      </w:r>
    </w:p>
    <w:bookmarkEnd w:id="127"/>
    <w:bookmarkStart w:id="128" w:name="ref-Inacio2015"/>
    <w:p>
      <w:pPr>
        <w:pStyle w:val="Bibliography"/>
      </w:pPr>
      <w:r>
        <w:t xml:space="preserve">49</w:t>
      </w:r>
      <w:r>
        <w:t xml:space="preserve"> </w:t>
      </w:r>
      <w:r>
        <w:t xml:space="preserve">	</w:t>
      </w:r>
      <w:r>
        <w:t xml:space="preserve">Inacio MCS, Pratt NL, Roughead EE, Graves SE.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w:t>
      </w:r>
      <w:r>
        <w:t xml:space="preserve">2015;</w:t>
      </w:r>
      <w:r>
        <w:t xml:space="preserve"> </w:t>
      </w:r>
      <w:r>
        <w:rPr>
          <w:bCs/>
          <w:b/>
        </w:rPr>
        <w:t xml:space="preserve">16</w:t>
      </w:r>
      <w:r>
        <w:t xml:space="preserve">: 385.</w:t>
      </w:r>
    </w:p>
    <w:bookmarkEnd w:id="128"/>
    <w:bookmarkStart w:id="129" w:name="ref-Mraovic2011"/>
    <w:p>
      <w:pPr>
        <w:pStyle w:val="Bibliography"/>
      </w:pPr>
      <w:r>
        <w:t xml:space="preserve">50</w:t>
      </w:r>
      <w:r>
        <w:t xml:space="preserve"> </w:t>
      </w:r>
      <w:r>
        <w:t xml:space="preserve">	</w:t>
      </w:r>
      <w:r>
        <w:t xml:space="preserve">Mraovic B, Suh D, Jacovides C, Parvizi J.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w:t>
      </w:r>
      <w:r>
        <w:t xml:space="preserve">2011;</w:t>
      </w:r>
      <w:r>
        <w:t xml:space="preserve"> </w:t>
      </w:r>
      <w:r>
        <w:rPr>
          <w:bCs/>
          <w:b/>
        </w:rPr>
        <w:t xml:space="preserve">5</w:t>
      </w:r>
      <w:r>
        <w:t xml:space="preserve">: 412–8.</w:t>
      </w:r>
    </w:p>
    <w:bookmarkEnd w:id="129"/>
    <w:bookmarkStart w:id="130" w:name="ref-Iorio2012"/>
    <w:p>
      <w:pPr>
        <w:pStyle w:val="Bibliography"/>
      </w:pPr>
      <w:r>
        <w:t xml:space="preserve">51</w:t>
      </w:r>
      <w:r>
        <w:t xml:space="preserve"> </w:t>
      </w:r>
      <w:r>
        <w:t xml:space="preserve">	</w:t>
      </w:r>
      <w:r>
        <w:t xml:space="preserve">Iorio R, Williams KM, Marcantonio AJ, Specht LM, Tilzey JF, Healy WL.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w:t>
      </w:r>
      <w:r>
        <w:t xml:space="preserve">2012;</w:t>
      </w:r>
      <w:r>
        <w:t xml:space="preserve"> </w:t>
      </w:r>
      <w:r>
        <w:rPr>
          <w:bCs/>
          <w:b/>
        </w:rPr>
        <w:t xml:space="preserve">27</w:t>
      </w:r>
      <w:r>
        <w:t xml:space="preserve">: 726–729.e1.</w:t>
      </w:r>
    </w:p>
    <w:bookmarkEnd w:id="130"/>
    <w:bookmarkStart w:id="131" w:name="ref-Gilson2010"/>
    <w:p>
      <w:pPr>
        <w:pStyle w:val="Bibliography"/>
      </w:pPr>
      <w:r>
        <w:t xml:space="preserve">52</w:t>
      </w:r>
      <w:r>
        <w:t xml:space="preserve"> </w:t>
      </w:r>
      <w:r>
        <w:t xml:space="preserve">	</w:t>
      </w:r>
      <w:r>
        <w:t xml:space="preserve">Gilson M, Gossec L, Mariette X,</w:t>
      </w:r>
      <w:r>
        <w:t xml:space="preserve"> </w:t>
      </w:r>
      <w:r>
        <w:rPr>
          <w:iCs/>
          <w:i/>
        </w:rPr>
        <w:t xml:space="preserve">et al.</w:t>
      </w:r>
      <w:r>
        <w:t xml:space="preserve">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w:t>
      </w:r>
      <w:r>
        <w:t xml:space="preserve">2010;</w:t>
      </w:r>
      <w:r>
        <w:t xml:space="preserve"> </w:t>
      </w:r>
      <w:r>
        <w:rPr>
          <w:bCs/>
          <w:b/>
        </w:rPr>
        <w:t xml:space="preserve">12</w:t>
      </w:r>
      <w:r>
        <w:t xml:space="preserve">: R145.</w:t>
      </w:r>
    </w:p>
    <w:bookmarkEnd w:id="131"/>
    <w:bookmarkStart w:id="132" w:name="ref-Momohara2011"/>
    <w:p>
      <w:pPr>
        <w:pStyle w:val="Bibliography"/>
      </w:pPr>
      <w:r>
        <w:t xml:space="preserve">53</w:t>
      </w:r>
      <w:r>
        <w:t xml:space="preserve"> </w:t>
      </w:r>
      <w:r>
        <w:t xml:space="preserve">	</w:t>
      </w:r>
      <w:r>
        <w:t xml:space="preserve">Momohara S, Kawakami K, Iwamoto T,</w:t>
      </w:r>
      <w:r>
        <w:t xml:space="preserve"> </w:t>
      </w:r>
      <w:r>
        <w:rPr>
          <w:iCs/>
          <w:i/>
        </w:rPr>
        <w:t xml:space="preserve">et al.</w:t>
      </w:r>
      <w:r>
        <w:t xml:space="preserve">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w:t>
      </w:r>
      <w:r>
        <w:t xml:space="preserve">2011;</w:t>
      </w:r>
      <w:r>
        <w:t xml:space="preserve"> </w:t>
      </w:r>
      <w:r>
        <w:rPr>
          <w:bCs/>
          <w:b/>
        </w:rPr>
        <w:t xml:space="preserve">21</w:t>
      </w:r>
      <w:r>
        <w:t xml:space="preserve">: 469–75.</w:t>
      </w:r>
    </w:p>
    <w:bookmarkEnd w:id="132"/>
    <w:bookmarkStart w:id="133" w:name="ref-Cancienne2015"/>
    <w:p>
      <w:pPr>
        <w:pStyle w:val="Bibliography"/>
      </w:pPr>
      <w:r>
        <w:t xml:space="preserve">54</w:t>
      </w:r>
      <w:r>
        <w:t xml:space="preserve"> </w:t>
      </w:r>
      <w:r>
        <w:t xml:space="preserve">	</w:t>
      </w:r>
      <w:r>
        <w:t xml:space="preserve">Cancienne JM, Werner BC, Luetkemeyer LM, Browne JA.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w:t>
      </w:r>
      <w:r>
        <w:t xml:space="preserve">2015;</w:t>
      </w:r>
      <w:r>
        <w:t xml:space="preserve"> </w:t>
      </w:r>
      <w:r>
        <w:rPr>
          <w:bCs/>
          <w:b/>
        </w:rPr>
        <w:t xml:space="preserve">30</w:t>
      </w:r>
      <w:r>
        <w:t xml:space="preserve">: 1879–82.</w:t>
      </w:r>
    </w:p>
    <w:bookmarkEnd w:id="133"/>
    <w:bookmarkStart w:id="134" w:name="ref-Willis-Owen2010"/>
    <w:p>
      <w:pPr>
        <w:pStyle w:val="Bibliography"/>
      </w:pPr>
      <w:r>
        <w:t xml:space="preserve">55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w:t>
      </w:r>
      <w:r>
        <w:t xml:space="preserve">2010;</w:t>
      </w:r>
      <w:r>
        <w:t xml:space="preserve"> </w:t>
      </w:r>
      <w:r>
        <w:rPr>
          <w:bCs/>
          <w:b/>
        </w:rPr>
        <w:t xml:space="preserve">92-B</w:t>
      </w:r>
      <w:r>
        <w:t xml:space="preserve">: 1128–33.</w:t>
      </w:r>
    </w:p>
    <w:bookmarkEnd w:id="134"/>
    <w:bookmarkEnd w:id="135"/>
    <w:bookmarkEnd w:id="136"/>
    <w:sectPr w:rsidR="000833EA" w:rsidSect="00BC1F5D">
      <w:headerReference w:type="default" r:id="rId9"/>
      <w:pgSz w:w="12240" w:h="15840"/>
      <w:pgMar w:top="1417" w:right="1417" w:bottom="1417" w:left="1417"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rsidR="00A5728A" w:rsidRDefault="002C5781">
        <w:pPr>
          <w:pStyle w:val="Header"/>
          <w:jc w:val="right"/>
        </w:pPr>
        <w:r>
          <w:rPr>
            <w:lang w:val="sv-SE"/>
          </w:rPr>
          <w:t xml:space="preserve">Sida </w:t>
        </w:r>
        <w:r>
          <w:rPr>
            <w:b/>
            <w:bCs/>
          </w:rPr>
          <w:fldChar w:fldCharType="begin"/>
        </w:r>
        <w:r>
          <w:rPr>
            <w:b/>
            <w:bCs/>
          </w:rPr>
          <w:instrText>PAGE</w:instrText>
        </w:r>
        <w:r>
          <w:rPr>
            <w:b/>
            <w:bCs/>
          </w:rPr>
          <w:fldChar w:fldCharType="separate"/>
        </w:r>
        <w:r w:rsidR="00BC1F5D">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sidR="00BC1F5D">
          <w:rPr>
            <w:b/>
            <w:bCs/>
            <w:noProof/>
          </w:rPr>
          <w:t>26</w:t>
        </w:r>
        <w:r>
          <w:rPr>
            <w:b/>
            <w:bCs/>
          </w:rPr>
          <w:fldChar w:fldCharType="end"/>
        </w:r>
      </w:p>
    </w:sdtContent>
  </w:sdt>
  <w:p w:rsidR="00A5728A" w:rsidRDefault="00BC1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AD66CB"/>
    <w:pPr>
      <w:spacing w:before="36" w:after="36" w:line="240" w:lineRule="auto"/>
    </w:pPr>
  </w:style>
  <w:style w:type="paragraph" w:styleId="Title">
    <w:name w:val="Title"/>
    <w:basedOn w:val="Normal"/>
    <w:next w:val="Body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5728A"/>
  </w:style>
  <w:style w:type="paragraph" w:styleId="Header">
    <w:name w:val="header"/>
    <w:basedOn w:val="Normal"/>
    <w:link w:val="HeaderChar"/>
    <w:uiPriority w:val="99"/>
    <w:unhideWhenUsed/>
    <w:rsid w:val="00A5728A"/>
    <w:pPr>
      <w:tabs>
        <w:tab w:val="center" w:pos="4703"/>
        <w:tab w:val="right" w:pos="9406"/>
      </w:tabs>
      <w:spacing w:after="0"/>
    </w:pPr>
  </w:style>
  <w:style w:type="character" w:customStyle="1" w:styleId="HeaderChar">
    <w:name w:val="Header Char"/>
    <w:basedOn w:val="DefaultParagraphFont"/>
    <w:link w:val="Header"/>
    <w:uiPriority w:val="99"/>
    <w:rsid w:val="00A5728A"/>
  </w:style>
  <w:style w:type="paragraph" w:styleId="Footer">
    <w:name w:val="footer"/>
    <w:basedOn w:val="Normal"/>
    <w:link w:val="FooterChar"/>
    <w:unhideWhenUsed/>
    <w:rsid w:val="00A5728A"/>
    <w:pPr>
      <w:tabs>
        <w:tab w:val="center" w:pos="4703"/>
        <w:tab w:val="right" w:pos="9406"/>
      </w:tabs>
      <w:spacing w:after="0"/>
    </w:pPr>
  </w:style>
  <w:style w:type="character" w:customStyle="1" w:styleId="FooterChar">
    <w:name w:val="Footer Char"/>
    <w:basedOn w:val="DefaultParagraphFont"/>
    <w:link w:val="Footer"/>
    <w:rsid w:val="00A57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56" Target="media/rId56.tiff" /><Relationship Type="http://schemas.openxmlformats.org/officeDocument/2006/relationships/image" Id="rId47" Target="media/rId47.png" /><Relationship Type="http://schemas.openxmlformats.org/officeDocument/2006/relationships/hyperlink" Id="rId92" Target="https://doi.org/10.1136/bmjopen-2017-021122" TargetMode="External" /><Relationship Type="http://schemas.openxmlformats.org/officeDocument/2006/relationships/hyperlink" Id="rId100" Target="https://doi.org/10.18158/ryAO-C4pW" TargetMode="External" /><Relationship Type="http://schemas.openxmlformats.org/officeDocument/2006/relationships/hyperlink" Id="rId119" Target="https://doi.org/10.2106/JBJS.16.01435" TargetMode="External" /><Relationship Type="http://schemas.openxmlformats.org/officeDocument/2006/relationships/hyperlink" Id="rId106" Target="https://doi.org/10.5705/ss.202017.0139" TargetMode="External" /><Relationship Type="http://schemas.openxmlformats.org/officeDocument/2006/relationships/hyperlink" Id="rId112" Target="https://www.fharrell.com/post/addvalue/" TargetMode="External" /><Relationship Type="http://schemas.openxmlformats.org/officeDocument/2006/relationships/hyperlink" Id="rId20" Target="mailto:erik.bulow@gu.se"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136/bmjopen-2017-021122" TargetMode="External" /><Relationship Type="http://schemas.openxmlformats.org/officeDocument/2006/relationships/hyperlink" Id="rId100" Target="https://doi.org/10.18158/ryAO-C4pW" TargetMode="External" /><Relationship Type="http://schemas.openxmlformats.org/officeDocument/2006/relationships/hyperlink" Id="rId119" Target="https://doi.org/10.2106/JBJS.16.01435" TargetMode="External" /><Relationship Type="http://schemas.openxmlformats.org/officeDocument/2006/relationships/hyperlink" Id="rId106" Target="https://doi.org/10.5705/ss.202017.0139" TargetMode="External" /><Relationship Type="http://schemas.openxmlformats.org/officeDocument/2006/relationships/hyperlink" Id="rId112" Target="https://www.fharrell.com/post/addvalue/" TargetMode="External" /><Relationship Type="http://schemas.openxmlformats.org/officeDocument/2006/relationships/hyperlink" Id="rId20" Target="mailto:erik.bulow@g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article.dotx</Template>
  <TotalTime>1</TotalTime>
  <Pages>26</Pages>
  <Words>4754</Words>
  <Characters>27103</Characters>
  <Application>Microsoft Office Word</Application>
  <DocSecurity>0</DocSecurity>
  <Lines>225</Lines>
  <Paragraphs>63</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31794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a simplified and externally validated model based on observational registry data from Sweden and Denmark</dc:title>
  <dc:creator>Erik Bülow,1,2 Ute Hahn3, Ina Trolle Andersen,3??? Aurélie Mailhac,3 Ola Rolfson,1,2 Alma Besic Pedersen,3 Nils P. Hailer4 TODO DECIDE ORDER!!!</dc:creator>
  <cp:keywords/>
  <dcterms:created xsi:type="dcterms:W3CDTF">2021-05-26T12:13:22Z</dcterms:created>
  <dcterms:modified xsi:type="dcterms:W3CDTF">2021-05-26T12:13:22Z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the-lancet.csl</vt:lpwstr>
  </property>
  <property fmtid="{D5CDD505-2E9C-101B-9397-08002B2CF9AE}" pid="4" name="date">
    <vt:lpwstr>2021-05-26</vt:lpwstr>
  </property>
  <property fmtid="{D5CDD505-2E9C-101B-9397-08002B2CF9AE}" pid="5" name="output">
    <vt:lpwstr/>
  </property>
</Properties>
</file>