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67.png" ContentType="image/png"/>
  <Override PartName="/word/media/rId71.png" ContentType="image/png"/>
  <Override PartName="/word/media/rId62.png" ContentType="image/png"/>
  <Override PartName="/word/media/rId65.png" ContentType="image/png"/>
  <Override PartName="/word/media/rId69.png" ContentType="image/png"/>
  <Override PartName="/word/media/rId75.png" ContentType="image/png"/>
  <Override PartName="/word/media/rId6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Development</w:t>
      </w:r>
      <w:r>
        <w:t xml:space="preserve"> </w:t>
      </w:r>
      <w:r>
        <w:t xml:space="preserve">and</w:t>
      </w:r>
      <w:r>
        <w:t xml:space="preserve"> </w:t>
      </w:r>
      <w:r>
        <w:t xml:space="preserve">External</w:t>
      </w:r>
      <w:r>
        <w:t xml:space="preserve"> </w:t>
      </w:r>
      <w:r>
        <w:t xml:space="preserve">Validation</w:t>
      </w:r>
      <w:r>
        <w:t xml:space="preserve"> </w:t>
      </w:r>
      <w:r>
        <w:t xml:space="preserve">of</w:t>
      </w:r>
      <w:r>
        <w:t xml:space="preserve"> </w:t>
      </w:r>
      <w:r>
        <w:t xml:space="preserve">a</w:t>
      </w:r>
      <w:r>
        <w:t xml:space="preserve"> </w:t>
      </w:r>
      <w:r>
        <w:t xml:space="preserve">Multivariable</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2021-06-29</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w:t>
      </w:r>
    </w:p>
    <w:p>
      <w:pPr>
        <w:numPr>
          <w:ilvl w:val="0"/>
          <w:numId w:val="1001"/>
        </w:numPr>
        <w:pStyle w:val="Compact"/>
      </w:pPr>
      <w:r>
        <w:t xml:space="preserve">Department of Clinical Medicine, Aarhus university</w:t>
      </w:r>
    </w:p>
    <w:p>
      <w:pPr>
        <w:numPr>
          <w:ilvl w:val="0"/>
          <w:numId w:val="1001"/>
        </w:numPr>
        <w:pStyle w:val="Compact"/>
      </w:pPr>
      <w:r>
        <w:t xml:space="preserve">Department Surgical Sciences/Orthopaedics, Uppsala University Hospital, Uppsala, Sweden</w:t>
      </w:r>
    </w:p>
    <w:p>
      <w:pPr>
        <w:numPr>
          <w:ilvl w:val="0"/>
          <w:numId w:val="1002"/>
        </w:numPr>
        <w:pStyle w:val="Compact"/>
      </w:pPr>
      <w:r>
        <w:t xml:space="preserve">EB: Statistician, MSc, PhD,</w:t>
      </w:r>
      <w:r>
        <w:t xml:space="preserve"> </w:t>
      </w:r>
      <w:hyperlink r:id="rId20">
        <w:r>
          <w:rPr>
            <w:rStyle w:val="Hyperlnk"/>
          </w:rPr>
          <w:t xml:space="preserve">erik.bulow@gu.se</w:t>
        </w:r>
      </w:hyperlink>
    </w:p>
    <w:p>
      <w:pPr>
        <w:numPr>
          <w:ilvl w:val="0"/>
          <w:numId w:val="1002"/>
        </w:numPr>
        <w:pStyle w:val="Compact"/>
      </w:pPr>
      <w:r>
        <w:t xml:space="preserve">IT: Statistician, MSc, PhD,</w:t>
      </w:r>
      <w:r>
        <w:t xml:space="preserve"> </w:t>
      </w:r>
      <w:hyperlink r:id="rId21">
        <w:r>
          <w:rPr>
            <w:rStyle w:val="Hyperlnk"/>
          </w:rPr>
          <w:t xml:space="preserve">ita@clin.au.dk</w:t>
        </w:r>
      </w:hyperlink>
    </w:p>
    <w:p>
      <w:pPr>
        <w:numPr>
          <w:ilvl w:val="0"/>
          <w:numId w:val="1002"/>
        </w:numPr>
        <w:pStyle w:val="Compact"/>
      </w:pPr>
      <w:r>
        <w:t xml:space="preserve">UH: Biostatistician, PhD, associate professor,</w:t>
      </w:r>
      <w:r>
        <w:t xml:space="preserve"> </w:t>
      </w:r>
      <w:hyperlink r:id="rId22">
        <w:r>
          <w:rPr>
            <w:rStyle w:val="Hyperlnk"/>
          </w:rPr>
          <w:t xml:space="preserve">ute@math.au.dk</w:t>
        </w:r>
      </w:hyperlink>
    </w:p>
    <w:p>
      <w:pPr>
        <w:numPr>
          <w:ilvl w:val="0"/>
          <w:numId w:val="1002"/>
        </w:numPr>
        <w:pStyle w:val="Compact"/>
      </w:pPr>
      <w:r>
        <w:t xml:space="preserve">OR: Orthopaedic consultant, PhD, professor, register director,</w:t>
      </w:r>
      <w:r>
        <w:t xml:space="preserve"> </w:t>
      </w:r>
      <w:hyperlink r:id="rId23">
        <w:r>
          <w:rPr>
            <w:rStyle w:val="Hyperlnk"/>
          </w:rPr>
          <w:t xml:space="preserve">ola.rolfson@gu.se</w:t>
        </w:r>
      </w:hyperlink>
    </w:p>
    <w:p>
      <w:pPr>
        <w:numPr>
          <w:ilvl w:val="0"/>
          <w:numId w:val="1002"/>
        </w:numPr>
        <w:pStyle w:val="Compact"/>
      </w:pPr>
      <w:r>
        <w:t xml:space="preserve">ABP: Orthopaedic consultant, PhD, DMSc, professor,</w:t>
      </w:r>
      <w:r>
        <w:t xml:space="preserve"> </w:t>
      </w:r>
      <w:hyperlink r:id="rId24">
        <w:r>
          <w:rPr>
            <w:rStyle w:val="Hyperlnk"/>
          </w:rPr>
          <w:t xml:space="preserve">abp@clin.au.dk</w:t>
        </w:r>
      </w:hyperlink>
    </w:p>
    <w:p>
      <w:pPr>
        <w:numPr>
          <w:ilvl w:val="0"/>
          <w:numId w:val="1002"/>
        </w:numPr>
        <w:pStyle w:val="Compact"/>
      </w:pPr>
      <w:r>
        <w:t xml:space="preserve">NPH: Orthopaedic consultant, PhD, professor,</w:t>
      </w:r>
      <w:r>
        <w:t xml:space="preserve"> </w:t>
      </w:r>
      <w:hyperlink r:id="rId25">
        <w:r>
          <w:rPr>
            <w:rStyle w:val="Hyperlnk"/>
          </w:rPr>
          <w:t xml:space="preserve">nils.Hailer@surgsci.uu.se</w:t>
        </w:r>
      </w:hyperlink>
    </w:p>
    <w:p>
      <w:pPr>
        <w:pStyle w:val="FirstParagraph"/>
      </w:pPr>
      <w:r>
        <w:rPr>
          <w:bCs/>
          <w:b/>
        </w:rPr>
        <w:t xml:space="preserve">Correspondence:</w:t>
      </w:r>
      <w:r>
        <w:t xml:space="preserve"> </w:t>
      </w:r>
      <w:hyperlink r:id="rId20">
        <w:r>
          <w:rPr>
            <w:rStyle w:val="Hyperlnk"/>
          </w:rPr>
          <w:t xml:space="preserve">erik.bulow@gu.se</w:t>
        </w:r>
      </w:hyperlink>
      <w:r>
        <w:t xml:space="preserve">; +46 70 08 234 28; The Swedish Arthroplasty Register, Registercentrum Västra Götaland, SE-413 45,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p>
      <w:pPr>
        <w:pStyle w:val="Brdtext"/>
      </w:pPr>
      <w:r>
        <w:rPr>
          <w:bCs/>
          <w:b/>
        </w:rPr>
        <w:t xml:space="preserve">Word count:</w:t>
      </w:r>
      <w:r>
        <w:t xml:space="preserve"> </w:t>
      </w:r>
      <w:r>
        <w:t xml:space="preserve">3,583</w:t>
      </w:r>
    </w:p>
    <w:bookmarkStart w:id="26" w:name="page-break"/>
    <w:p>
      <w:pPr>
        <w:pStyle w:val="Rubrik5"/>
      </w:pPr>
      <w:r>
        <w:t xml:space="preserve">PAGE BREAK</w:t>
      </w:r>
    </w:p>
    <w:bookmarkEnd w:id="26"/>
    <w:bookmarkStart w:id="29" w:name="abstract"/>
    <w:p>
      <w:pPr>
        <w:pStyle w:val="Rubrik1"/>
      </w:pPr>
      <w:r>
        <w:t xml:space="preserve">Abstract</w:t>
      </w:r>
    </w:p>
    <w:p>
      <w:pPr>
        <w:pStyle w:val="FirstParagraph"/>
      </w:pPr>
      <w:r>
        <w:rPr>
          <w:bCs/>
          <w:b/>
        </w:rPr>
        <w:t xml:space="preserve">OJECTIVE:</w:t>
      </w:r>
      <w:r>
        <w:t xml:space="preserve"> </w:t>
      </w:r>
      <w:r>
        <w:t xml:space="preserve">We developed a parsimonious prediction model for prosthesis joint infection (PJI) within 90 days after total hip arthroplasty (THA).</w:t>
      </w:r>
    </w:p>
    <w:p>
      <w:pPr>
        <w:pStyle w:val="Brdtext"/>
      </w:pPr>
      <w:r>
        <w:rPr>
          <w:bCs/>
          <w:b/>
        </w:rPr>
        <w:t xml:space="preserve">DESIGN:</w:t>
      </w:r>
      <w:r>
        <w:t xml:space="preserve"> </w:t>
      </w:r>
      <w:r>
        <w:t xml:space="preserve">Logistic LASSO regression with bootstrap ranking applied to prospectively collected patient data from multiple linked national registers.</w:t>
      </w:r>
    </w:p>
    <w:p>
      <w:pPr>
        <w:pStyle w:val="Brdtext"/>
      </w:pPr>
      <w:r>
        <w:rPr>
          <w:bCs/>
          <w:b/>
        </w:rPr>
        <w:t xml:space="preserve">SETTING:</w:t>
      </w:r>
      <w:r>
        <w:t xml:space="preserve"> </w:t>
      </w:r>
      <w:r>
        <w:t xml:space="preserve">Model derivation and internal (external) validation for all hospitals performing THA in Sweden (Denmark).</w:t>
      </w:r>
    </w:p>
    <w:p>
      <w:pPr>
        <w:pStyle w:val="Brdtext"/>
      </w:pPr>
      <w:r>
        <w:rPr>
          <w:bCs/>
          <w:b/>
        </w:rPr>
        <w:t xml:space="preserve">PARTICIPANTS:</w:t>
      </w:r>
      <w:r>
        <w:t xml:space="preserve"> </w:t>
      </w:r>
      <w:r>
        <w:t xml:space="preserve">88,830 patients from the Swedish Hip Arthroplasty Register with elective THA 2008-2015, and 18,854 patients from the Danish Hip Arthroplasty Register with THA 2016–September 2018.</w:t>
      </w:r>
    </w:p>
    <w:p>
      <w:pPr>
        <w:pStyle w:val="Brdtext"/>
      </w:pPr>
      <w:r>
        <w:rPr>
          <w:bCs/>
          <w:b/>
        </w:rPr>
        <w:t xml:space="preserve">MAIN OUTCOME MEASURE:</w:t>
      </w:r>
      <w:r>
        <w:t xml:space="preserve"> </w:t>
      </w:r>
      <w:r>
        <w:t xml:space="preserve">PJI as identified either as reason for re-operation, or as recorded by ICD-10 or NOMESCO codes at later hospital visits.</w:t>
      </w:r>
    </w:p>
    <w:p>
      <w:pPr>
        <w:pStyle w:val="Brdtext"/>
      </w:pPr>
      <w:r>
        <w:rPr>
          <w:bCs/>
          <w:b/>
        </w:rPr>
        <w:t xml:space="preserve">RESULTS:</w:t>
      </w:r>
      <w:r>
        <w:t xml:space="preserve"> </w:t>
      </w:r>
      <w:r>
        <w:t xml:space="preserve">Incidence of PJI was 2.45 % in Sweden and 2.17 % in Denmark. A model with the the underlying diagnosis for THA, body mass index (BMI), American Society for Anesthesiologists (ASA) class, sex, age, and the presence of arrhythmia, central nervous system (CNS) disease, fluid electrolyte disorders, liver disease or lung and airways disease, had an AUC =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Our model, based on easily accessible data available before THA, had superior discriminatory ability compared to ASA class alone or more complex comorbidity indices. It had good calibration and was externally validated in Denmark. We provide a web-based calculator (</w:t>
      </w:r>
      <w:hyperlink r:id="rId27">
        <w:r>
          <w:rPr>
            <w:rStyle w:val="Hyperlnk"/>
          </w:rPr>
          <w:t xml:space="preserve">https://erikbulow.shinyapps.io/thamortpred/</w:t>
        </w:r>
      </w:hyperlink>
      <w:r>
        <w:t xml:space="preserve">) to enable shared decision making by patients and surgeons.</w:t>
      </w:r>
    </w:p>
    <w:bookmarkStart w:id="28" w:name="page-break-1"/>
    <w:p>
      <w:pPr>
        <w:pStyle w:val="Rubrik5"/>
      </w:pPr>
      <w:r>
        <w:t xml:space="preserve">PAGE BREAK</w:t>
      </w:r>
    </w:p>
    <w:bookmarkEnd w:id="28"/>
    <w:bookmarkEnd w:id="29"/>
    <w:bookmarkStart w:id="33" w:name="summary-box"/>
    <w:p>
      <w:pPr>
        <w:pStyle w:val="Rubrik1"/>
      </w:pPr>
      <w:r>
        <w:t xml:space="preserve">Summary box</w:t>
      </w:r>
    </w:p>
    <w:bookmarkStart w:id="30" w:name="what-is-already-known-on-this-topic"/>
    <w:p>
      <w:pPr>
        <w:pStyle w:val="Rubrik2"/>
      </w:pPr>
      <w:r>
        <w:t xml:space="preserve">What is already known on this topic</w:t>
      </w:r>
    </w:p>
    <w:p>
      <w:pPr>
        <w:numPr>
          <w:ilvl w:val="0"/>
          <w:numId w:val="1003"/>
        </w:numPr>
        <w:pStyle w:val="Compact"/>
      </w:pPr>
      <w:r>
        <w:t xml:space="preserve">Periprosthetic joint infection (PJI) is the most devastating of early complications after total hip arthroplasty (THA).</w:t>
      </w:r>
    </w:p>
    <w:p>
      <w:pPr>
        <w:numPr>
          <w:ilvl w:val="0"/>
          <w:numId w:val="1003"/>
        </w:numPr>
        <w:pStyle w:val="Compact"/>
      </w:pPr>
      <w:r>
        <w:t xml:space="preserve">Attempts have been made to develop individualized risk prediction models for clinical usage in the US and Australia.</w:t>
      </w:r>
    </w:p>
    <w:p>
      <w:pPr>
        <w:numPr>
          <w:ilvl w:val="0"/>
          <w:numId w:val="1003"/>
        </w:numPr>
        <w:pStyle w:val="Compact"/>
      </w:pPr>
      <w:r>
        <w:t xml:space="preserve">None of those models have gained general acceptance due to limited samples, low discriminating ability, sub-optimal calibration or absence of external model validation.</w:t>
      </w:r>
    </w:p>
    <w:bookmarkEnd w:id="30"/>
    <w:bookmarkStart w:id="32" w:name="what-this-study-adds"/>
    <w:p>
      <w:pPr>
        <w:pStyle w:val="Rubrik2"/>
      </w:pPr>
      <w:r>
        <w:t xml:space="preserve">What this study adds</w:t>
      </w:r>
    </w:p>
    <w:p>
      <w:pPr>
        <w:numPr>
          <w:ilvl w:val="0"/>
          <w:numId w:val="1004"/>
        </w:numPr>
        <w:pStyle w:val="Compact"/>
      </w:pPr>
      <w:r>
        <w:t xml:space="preserve">Our model, based on easily accessible data available before THA, had superior discriminatory ability compared to more complex comorbidity indices.</w:t>
      </w:r>
    </w:p>
    <w:p>
      <w:pPr>
        <w:numPr>
          <w:ilvl w:val="0"/>
          <w:numId w:val="1004"/>
        </w:numPr>
        <w:pStyle w:val="Compact"/>
      </w:pPr>
      <w:r>
        <w:t xml:space="preserve">Our model had good calibration, was externally validated in Denmark, and can be used in clinical practice by a simple web calculator (</w:t>
      </w:r>
      <w:hyperlink r:id="rId27">
        <w:r>
          <w:rPr>
            <w:rStyle w:val="Hyperlnk"/>
          </w:rPr>
          <w:t xml:space="preserve">https://erikbulow.shinyapps.io/thamortpred/</w:t>
        </w:r>
      </w:hyperlink>
      <w:r>
        <w:t xml:space="preserve">).</w:t>
      </w:r>
    </w:p>
    <w:bookmarkStart w:id="31" w:name="page-break-2"/>
    <w:p>
      <w:pPr>
        <w:pStyle w:val="Rubrik5"/>
      </w:pPr>
      <w:r>
        <w:t xml:space="preserve">PAGE BREAK</w:t>
      </w:r>
    </w:p>
    <w:bookmarkEnd w:id="31"/>
    <w:bookmarkEnd w:id="32"/>
    <w:bookmarkEnd w:id="33"/>
    <w:bookmarkStart w:id="34" w:name="introduction"/>
    <w:p>
      <w:pPr>
        <w:pStyle w:val="Rubrik1"/>
      </w:pPr>
      <w:r>
        <w:t xml:space="preserve">Introduction</w:t>
      </w:r>
    </w:p>
    <w:p>
      <w:pPr>
        <w:pStyle w:val="FirstParagraph"/>
      </w:pPr>
      <w:r>
        <w:t xml:space="preserve">Periprosthetic joint infection (PJI) is the most devastating of early complications after total hip arthroplasty (THA), mainly due to its association with increased mortality, re-operation risk, long-term antibiotic treatment, and often persistently impaired quality of life.</w:t>
      </w:r>
      <w:r>
        <w:t xml:space="preserve">[1–3]</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t xml:space="preserve">[4–12]</w:t>
      </w:r>
      <w:r>
        <w:t xml:space="preserve"> </w:t>
      </w:r>
      <w:r>
        <w:t xml:space="preserve">Individualized PJI risk stratification would be a highly relevant tool in the pre-operative assessment of patients scheduled for THA. Both the American Society for Anesthesiologists’ (ASA) classification or considerably more complex comorbidity indices can be used for risk profiling, but their use is rather challenging. Although high ASA class is a risk factor for worse clinical outcomes, it was never developed for the purpose of predicting PJI</w:t>
      </w:r>
      <w:r>
        <w:t xml:space="preserve"> </w:t>
      </w:r>
      <w:r>
        <w:t xml:space="preserve">[13,14]</w:t>
      </w:r>
      <w:r>
        <w:t xml:space="preserve">. The Charlson</w:t>
      </w:r>
      <w:r>
        <w:t xml:space="preserve">[15]</w:t>
      </w:r>
      <w:r>
        <w:t xml:space="preserve"> </w:t>
      </w:r>
      <w:r>
        <w:t xml:space="preserve">and Elixhauser</w:t>
      </w:r>
      <w: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t xml:space="preserve">[17,18]</w:t>
      </w:r>
      <w:r>
        <w:t xml:space="preserve"> </w:t>
      </w: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t xml:space="preserve">[19,20]</w:t>
      </w:r>
      <w:r>
        <w:t xml:space="preserve"> </w:t>
      </w:r>
      <w:r>
        <w:t xml:space="preserve">Additional models have since been derived on US or Australian cohorts, but none has gained general acceptance.</w:t>
      </w:r>
      <w:r>
        <w:t xml:space="preserve">[20–22]</w:t>
      </w:r>
      <w:r>
        <w:t xml:space="preserve"> </w:t>
      </w:r>
      <w:r>
        <w:t xml:space="preserve">This is mainly due to often limited, sometimes single-center based samples, low discriminating ability or sub-optimal calibration of the prediction models, or the absence of external model validation. We therefore aimed to develop a prognostic prediction model of PJI within 90 days after THA that is based on easily accessible data that are available in the setting of clinical decision-making. Furthermore, we aimed to validate the model both internally in Sweden, as well as externally on a Danish national cohort.</w:t>
      </w:r>
    </w:p>
    <w:bookmarkEnd w:id="34"/>
    <w:bookmarkStart w:id="44" w:name="patients-and-methods"/>
    <w:p>
      <w:pPr>
        <w:pStyle w:val="Rubrik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 We followed the TRIPOD checklist for the reporting of the study.</w:t>
      </w:r>
    </w:p>
    <w:bookmarkStart w:id="35" w:name="derivation-cohort-sweden"/>
    <w:p>
      <w:pPr>
        <w:pStyle w:val="Rubrik2"/>
      </w:pPr>
      <w:r>
        <w:t xml:space="preserve">Derivation cohort (Sweden)</w:t>
      </w:r>
    </w:p>
    <w:p>
      <w:pPr>
        <w:pStyle w:val="FirstParagraph"/>
      </w:pPr>
      <w:r>
        <w:t xml:space="preserve">The derivation cohort was obtained from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prior to surgery, ASA class at the time of surgery, type of hospital, and year of surgery, were obtained from the SHAR. Data on comorbidities recognized during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was obtained from the longitudinal integration database for health insurance and labour market studies (LISA) from Statistics Sweden. The SHAR has completeness of 96-98 % and 100 % coverage (82 hospitals in 2020),</w:t>
      </w:r>
      <w:r>
        <w:t xml:space="preserve">[25]</w:t>
      </w:r>
      <w:r>
        <w:t xml:space="preserve"> </w:t>
      </w:r>
      <w:r>
        <w:t xml:space="preserve">the LISA has coverage of 98 % with 85 % accuracy, and completeness for the NPR is above 99 % and the positive predictive value is 85-95 %.</w:t>
      </w:r>
      <w:r>
        <w:t xml:space="preserve">[26]</w:t>
      </w:r>
      <w:r>
        <w:t xml:space="preserve"> </w:t>
      </w:r>
      <w:r>
        <w:t xml:space="preserve">Death dates were linked from the national population register. Only the last operated hip was considered for patients with bilateral THA.</w:t>
      </w:r>
      <w:r>
        <w:t xml:space="preserve">[27]</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performing index surgery were also excluded, as were children under the age of 18.</w:t>
      </w:r>
    </w:p>
    <w:bookmarkEnd w:id="35"/>
    <w:bookmarkStart w:id="36" w:name="external-validation-cohort-denmark"/>
    <w:p>
      <w:pPr>
        <w:pStyle w:val="Rubrik2"/>
      </w:pPr>
      <w:r>
        <w:t xml:space="preserve">External validation cohort (Denmark)</w:t>
      </w:r>
    </w:p>
    <w:p>
      <w:pPr>
        <w:pStyle w:val="FirstParagraph"/>
      </w:pPr>
      <w:r>
        <w:t xml:space="preserve">Danish THA patients were operated from 2016 until the last of September 2018. This period was chosen due to availability of ASA and BMI data and possibility for all patients to have 90 days of follow up.</w:t>
      </w:r>
    </w:p>
    <w:p>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primary and revision THAs.</w:t>
      </w:r>
      <w:r>
        <w:t xml:space="preserve">[28]</w:t>
      </w:r>
      <w:r>
        <w:t xml:space="preserve"> </w:t>
      </w:r>
      <w:r>
        <w:t xml:space="preserve">All hospitals performing THA in Denmark (40 in 2019) are included in the register.</w:t>
      </w:r>
      <w:r>
        <w:t xml:space="preserve"> </w:t>
      </w:r>
      <w:r>
        <w:t xml:space="preserve">The Danish National Patient Register holds data on ICD-10 codes as well as all procedures codes for hospitalizations and outpatient visits at Danish public and private hospitals.</w:t>
      </w:r>
      <w:r>
        <w:t xml:space="preserve">[29]</w:t>
      </w:r>
      <w:r>
        <w:t xml:space="preserve"> </w:t>
      </w:r>
      <w:r>
        <w:t xml:space="preserve">Data on education and civil status were obtained from Statistics Denmark.</w:t>
      </w:r>
      <w:r>
        <w:t xml:space="preserve">[30]</w:t>
      </w:r>
    </w:p>
    <w:p>
      <w:pPr>
        <w:pStyle w:val="Brdtext"/>
      </w:pPr>
      <w:r>
        <w:t xml:space="preserve">Similar exclusion criteria were applied for diagnosis, ASA class, BMI and bilateral prosthesis. Education and type of hospital were not used in the final model and therefore not required for the Danish patients. Most people in the Swedish cohort were of age 35 to 99. We therefore chose to validate the model for this age group only.</w:t>
      </w:r>
    </w:p>
    <w:bookmarkEnd w:id="36"/>
    <w:bookmarkStart w:id="37" w:name="definitions-of-covariates-and-outcomes"/>
    <w:p>
      <w:pPr>
        <w:pStyle w:val="Rubrik2"/>
      </w:pPr>
      <w:r>
        <w:t xml:space="preserve">Definitions of covariates and outcomes</w:t>
      </w:r>
    </w:p>
    <w:p>
      <w:pPr>
        <w:pStyle w:val="FirstParagraph"/>
      </w:pPr>
      <w:r>
        <w:t xml:space="preserve">The Charlson and Elixhauser comorbidity indices are based on the presence of ICD-10 codes grouped into 17 and 31 categories each.</w:t>
      </w:r>
      <w:r>
        <w:t xml:space="preserve">[31]</w:t>
      </w:r>
      <w:r>
        <w:t xml:space="preserve"> </w:t>
      </w:r>
      <w:r>
        <w:t xml:space="preserve">Such codes were identified from reported in- and outpatient hospital visits recorded in the national patient registers during one year prior to surgery. Diagnostic categories from those indices were combined to define 21 categories of comorbidity that were chosen in order to be easily identifiable in a clinical setting (Tab.</w:t>
      </w:r>
      <w:r>
        <w:t xml:space="preserve"> </w:t>
      </w:r>
      <w:r>
        <w:t xml:space="preserve">1</w:t>
      </w:r>
      <w:r>
        <w:t xml:space="preserve">).</w:t>
      </w:r>
    </w:p>
    <w:p>
      <w:pPr>
        <w:pStyle w:val="TableCaption"/>
      </w:pPr>
      <w:r>
        <w:t xml:space="preserve">Table 1: Categorization of comorbidities from the Charlson and Elixhauser comorbidities. (CNS = central nervous system.)</w:t>
      </w:r>
    </w:p>
    <w:tbl>
      <w:tblPr>
        <w:tblStyle w:val="Table"/>
        <w:tblW w:type="pct" w:w="5000.0"/>
        <w:tblLook w:firstRow="1" w:lastRow="0" w:firstColumn="0" w:lastColumn="0" w:noHBand="0" w:noVBand="0" w:val="0020"/>
        <w:tblCaption w:val="Table 1: Categorization of comorbidities from the Charlson and Elixhauser comorbidities. (CNS = central nervous system.)"/>
      </w:tblPr>
      <w:tblGrid>
        <w:gridCol w:w="1540"/>
        <w:gridCol w:w="2915"/>
        <w:gridCol w:w="3465"/>
      </w:tblGrid>
      <w:tr>
        <w:tc>
          <w:p>
            <w:pPr>
              <w:pStyle w:val="Compact"/>
              <w:jc w:val="left"/>
            </w:pPr>
            <w:r>
              <w:t xml:space="preserve">Comorbidities by groups</w:t>
            </w:r>
          </w:p>
        </w:tc>
        <w:tc>
          <w:p>
            <w:pPr>
              <w:pStyle w:val="Compact"/>
              <w:jc w:val="left"/>
            </w:pPr>
            <w:r>
              <w:t xml:space="preserve">Charlson</w:t>
            </w:r>
          </w:p>
        </w:tc>
        <w:tc>
          <w:p>
            <w:pPr>
              <w:pStyle w:val="Compact"/>
              <w:jc w:val="left"/>
            </w:pPr>
            <w:r>
              <w:t xml:space="preserve">Elixhauser</w:t>
            </w:r>
          </w:p>
        </w:tc>
      </w:tr>
      <w:tr>
        <w:tc>
          <w:p>
            <w:pPr>
              <w:pStyle w:val="Compact"/>
              <w:jc w:val="left"/>
            </w:pPr>
            <w:r>
              <w:t xml:space="preserve">AIDS/HIV</w:t>
            </w:r>
          </w:p>
        </w:tc>
        <w:tc>
          <w:p>
            <w:pPr>
              <w:pStyle w:val="Compact"/>
              <w:jc w:val="left"/>
            </w:pPr>
            <w:r>
              <w:t xml:space="preserve">AIDS/HIV</w:t>
            </w:r>
          </w:p>
        </w:tc>
        <w:tc>
          <w:p>
            <w:pPr>
              <w:pStyle w:val="Compact"/>
              <w:jc w:val="left"/>
            </w:pPr>
            <w:r>
              <w:t xml:space="preserve">AIDS/HIV</w:t>
            </w:r>
          </w:p>
        </w:tc>
      </w:tr>
      <w:tr>
        <w:tc>
          <w:p>
            <w:pPr>
              <w:pStyle w:val="Compact"/>
              <w:jc w:val="left"/>
            </w:pPr>
            <w:r>
              <w:t xml:space="preserve">Anemia</w:t>
            </w:r>
          </w:p>
        </w:tc>
        <w:tc>
          <w:p/>
        </w:tc>
        <w:tc>
          <w:p>
            <w:pPr>
              <w:pStyle w:val="Compact"/>
              <w:jc w:val="left"/>
            </w:pPr>
            <w:r>
              <w:t xml:space="preserve">Blood loss anemia, Deficiency anemia</w:t>
            </w:r>
          </w:p>
        </w:tc>
      </w:tr>
      <w:tr>
        <w:tc>
          <w:p>
            <w:pPr>
              <w:pStyle w:val="Compact"/>
              <w:jc w:val="left"/>
            </w:pPr>
            <w:r>
              <w:t xml:space="preserve">Arrhythmia</w:t>
            </w:r>
          </w:p>
        </w:tc>
        <w:tc>
          <w:p/>
        </w:tc>
        <w:tc>
          <w:p>
            <w:pPr>
              <w:pStyle w:val="Compact"/>
              <w:jc w:val="left"/>
            </w:pPr>
            <w:r>
              <w:t xml:space="preserve">Cardiac arrhythmias</w:t>
            </w:r>
          </w:p>
        </w:tc>
      </w:tr>
      <w:tr>
        <w:tc>
          <w:p>
            <w:pPr>
              <w:pStyle w:val="Compact"/>
              <w:jc w:val="left"/>
            </w:pPr>
            <w:r>
              <w:t xml:space="preserve">Arterial hypertension</w:t>
            </w:r>
          </w:p>
        </w:tc>
        <w:tc>
          <w:p/>
        </w:tc>
        <w:tc>
          <w:p>
            <w:pPr>
              <w:pStyle w:val="Compact"/>
              <w:jc w:val="left"/>
            </w:pPr>
            <w:r>
              <w:t xml:space="preserve">Hypertension uncomplicated, Hypertension complicated</w:t>
            </w:r>
          </w:p>
        </w:tc>
      </w:tr>
      <w:tr>
        <w:tc>
          <w:p>
            <w:pPr>
              <w:pStyle w:val="Compact"/>
              <w:jc w:val="left"/>
            </w:pPr>
            <w:r>
              <w:t xml:space="preserve">Cancer</w:t>
            </w:r>
          </w:p>
        </w:tc>
        <w:tc>
          <w:p>
            <w:pPr>
              <w:pStyle w:val="Compact"/>
              <w:jc w:val="left"/>
            </w:pPr>
            <w:r>
              <w:t xml:space="preserve">Malignancy, Metastatic solid tumor</w:t>
            </w:r>
          </w:p>
        </w:tc>
        <w:tc>
          <w:p>
            <w:pPr>
              <w:pStyle w:val="Compact"/>
              <w:jc w:val="left"/>
            </w:pPr>
            <w:r>
              <w:t xml:space="preserve">Lymphoma, Metastatic cancer, Solid tumor</w:t>
            </w:r>
          </w:p>
        </w:tc>
      </w:tr>
      <w:tr>
        <w:tc>
          <w:p>
            <w:pPr>
              <w:pStyle w:val="Compact"/>
              <w:jc w:val="left"/>
            </w:pPr>
            <w:r>
              <w:t xml:space="preserve">CNS disease</w:t>
            </w:r>
          </w:p>
        </w:tc>
        <w:tc>
          <w:p>
            <w:pPr>
              <w:pStyle w:val="Compact"/>
              <w:jc w:val="left"/>
            </w:pPr>
            <w:r>
              <w:t xml:space="preserve">Dementia, Hemiplegia or paraplegia</w:t>
            </w:r>
          </w:p>
        </w:tc>
        <w:tc>
          <w:p>
            <w:pPr>
              <w:pStyle w:val="Compact"/>
              <w:jc w:val="left"/>
            </w:pPr>
            <w:r>
              <w:t xml:space="preserve">Depression, Paralysis, Other neurological disorders, Psychoses</w:t>
            </w:r>
          </w:p>
        </w:tc>
      </w:tr>
      <w:tr>
        <w:tc>
          <w:p>
            <w:pPr>
              <w:pStyle w:val="Compact"/>
              <w:jc w:val="left"/>
            </w:pPr>
            <w:r>
              <w:t xml:space="preserve">Coagulopathy</w:t>
            </w:r>
          </w:p>
        </w:tc>
        <w:tc>
          <w:p/>
        </w:tc>
        <w:tc>
          <w:p>
            <w:pPr>
              <w:pStyle w:val="Compact"/>
              <w:jc w:val="left"/>
            </w:pPr>
            <w:r>
              <w:t xml:space="preserve">Coagulopathy</w:t>
            </w:r>
          </w:p>
        </w:tc>
      </w:tr>
      <w:tr>
        <w:tc>
          <w:p>
            <w:pPr>
              <w:pStyle w:val="Compact"/>
              <w:jc w:val="left"/>
            </w:pPr>
            <w:r>
              <w:t xml:space="preserve">Diabetes</w:t>
            </w:r>
          </w:p>
        </w:tc>
        <w:tc>
          <w:p>
            <w:pPr>
              <w:pStyle w:val="Compact"/>
              <w:jc w:val="left"/>
            </w:pPr>
            <w:r>
              <w:t xml:space="preserve">Diabetes without complication, Diabetes complication</w:t>
            </w:r>
          </w:p>
        </w:tc>
        <w:tc>
          <w:p>
            <w:pPr>
              <w:pStyle w:val="Compact"/>
              <w:jc w:val="left"/>
            </w:pPr>
            <w:r>
              <w:t xml:space="preserve">Diabetes uncomplicated, Diabetes complicated</w:t>
            </w:r>
          </w:p>
        </w:tc>
      </w:tr>
      <w:tr>
        <w:tc>
          <w:p>
            <w:pPr>
              <w:pStyle w:val="Compact"/>
              <w:jc w:val="left"/>
            </w:pPr>
            <w:r>
              <w:t xml:space="preserve">Drug alcohol abuse</w:t>
            </w:r>
          </w:p>
        </w:tc>
        <w:tc>
          <w:p/>
        </w:tc>
        <w:tc>
          <w:p>
            <w:pPr>
              <w:pStyle w:val="Compact"/>
              <w:jc w:val="left"/>
            </w:pPr>
            <w:r>
              <w:t xml:space="preserve">Alcohol abuse, Drug abuse</w:t>
            </w:r>
          </w:p>
        </w:tc>
      </w:tr>
      <w:tr>
        <w:tc>
          <w:p>
            <w:pPr>
              <w:pStyle w:val="Compact"/>
              <w:jc w:val="left"/>
            </w:pPr>
            <w:r>
              <w:t xml:space="preserve">Fluid electrolyte disorders</w:t>
            </w:r>
          </w:p>
        </w:tc>
        <w:tc>
          <w:p/>
        </w:tc>
        <w:tc>
          <w:p>
            <w:pPr>
              <w:pStyle w:val="Compact"/>
              <w:jc w:val="left"/>
            </w:pPr>
            <w:r>
              <w:t xml:space="preserve">Fluid electrolyte disorders</w:t>
            </w:r>
          </w:p>
        </w:tc>
      </w:tr>
      <w:tr>
        <w:tc>
          <w:p>
            <w:pPr>
              <w:pStyle w:val="Compact"/>
              <w:jc w:val="left"/>
            </w:pPr>
            <w:r>
              <w:t xml:space="preserve">Heart condition</w:t>
            </w:r>
          </w:p>
        </w:tc>
        <w:tc>
          <w:p>
            <w:pPr>
              <w:pStyle w:val="Compact"/>
              <w:jc w:val="left"/>
            </w:pPr>
            <w:r>
              <w:t xml:space="preserve">Congestive heart failure</w:t>
            </w:r>
          </w:p>
        </w:tc>
        <w:tc>
          <w:p>
            <w:pPr>
              <w:pStyle w:val="Compact"/>
              <w:jc w:val="left"/>
            </w:pPr>
            <w:r>
              <w:t xml:space="preserve">Congestive heart failure, Valvular disease</w:t>
            </w:r>
          </w:p>
        </w:tc>
      </w:tr>
      <w:tr>
        <w:tc>
          <w:p>
            <w:pPr>
              <w:pStyle w:val="Compact"/>
              <w:jc w:val="left"/>
            </w:pPr>
            <w:r>
              <w:t xml:space="preserve">Myocardial infarction</w:t>
            </w:r>
          </w:p>
        </w:tc>
        <w:tc>
          <w:p>
            <w:pPr>
              <w:pStyle w:val="Compact"/>
              <w:jc w:val="left"/>
            </w:pPr>
            <w:r>
              <w:t xml:space="preserve">Myocardial infarction</w:t>
            </w:r>
          </w:p>
        </w:tc>
        <w:tc>
          <w:p/>
        </w:tc>
      </w:tr>
      <w:tr>
        <w:tc>
          <w:p>
            <w:pPr>
              <w:pStyle w:val="Compact"/>
              <w:jc w:val="left"/>
            </w:pPr>
            <w:r>
              <w:t xml:space="preserve">Hypothyroidism</w:t>
            </w:r>
          </w:p>
        </w:tc>
        <w:tc>
          <w:p/>
        </w:tc>
        <w:tc>
          <w:p>
            <w:pPr>
              <w:pStyle w:val="Compact"/>
              <w:jc w:val="left"/>
            </w:pPr>
            <w:r>
              <w:t xml:space="preserve">Hypothyroidism</w:t>
            </w:r>
          </w:p>
        </w:tc>
      </w:tr>
      <w:tr>
        <w:tc>
          <w:p>
            <w:pPr>
              <w:pStyle w:val="Compact"/>
              <w:jc w:val="left"/>
            </w:pPr>
            <w:r>
              <w:t xml:space="preserve">Kidney disease</w:t>
            </w:r>
          </w:p>
        </w:tc>
        <w:tc>
          <w:p>
            <w:pPr>
              <w:pStyle w:val="Compact"/>
              <w:jc w:val="left"/>
            </w:pPr>
            <w:r>
              <w:t xml:space="preserve">Renal disease</w:t>
            </w:r>
          </w:p>
        </w:tc>
        <w:tc>
          <w:p>
            <w:pPr>
              <w:pStyle w:val="Compact"/>
              <w:jc w:val="left"/>
            </w:pPr>
            <w:r>
              <w:t xml:space="preserve">Renal failure</w:t>
            </w:r>
          </w:p>
        </w:tc>
      </w:tr>
      <w:tr>
        <w:tc>
          <w:p>
            <w:pPr>
              <w:pStyle w:val="Compact"/>
              <w:jc w:val="left"/>
            </w:pPr>
            <w:r>
              <w:t xml:space="preserve">Liver disease</w:t>
            </w:r>
          </w:p>
        </w:tc>
        <w:tc>
          <w:p>
            <w:pPr>
              <w:pStyle w:val="Compact"/>
              <w:jc w:val="left"/>
            </w:pPr>
            <w:r>
              <w:t xml:space="preserve">Mild liver disease, Moderate or severe liver disease</w:t>
            </w:r>
          </w:p>
        </w:tc>
        <w:tc>
          <w:p>
            <w:pPr>
              <w:pStyle w:val="Compact"/>
              <w:jc w:val="left"/>
            </w:pPr>
            <w:r>
              <w:t xml:space="preserve">Liver disease</w:t>
            </w:r>
          </w:p>
        </w:tc>
      </w:tr>
      <w:tr>
        <w:tc>
          <w:p>
            <w:pPr>
              <w:pStyle w:val="Compact"/>
              <w:jc w:val="left"/>
            </w:pPr>
            <w:r>
              <w:t xml:space="preserve">Lung and airways disease</w:t>
            </w:r>
          </w:p>
        </w:tc>
        <w:tc>
          <w:p>
            <w:pPr>
              <w:pStyle w:val="Compact"/>
              <w:jc w:val="left"/>
            </w:pPr>
            <w:r>
              <w:t xml:space="preserve">Chronic pulmonary disease</w:t>
            </w:r>
          </w:p>
        </w:tc>
        <w:tc>
          <w:p>
            <w:pPr>
              <w:pStyle w:val="Compact"/>
              <w:jc w:val="left"/>
            </w:pPr>
            <w:r>
              <w:t xml:space="preserve">Chronic pulmonary disease, Pulmonary circulation disorder</w:t>
            </w:r>
          </w:p>
        </w:tc>
      </w:tr>
      <w:tr>
        <w:tc>
          <w:p>
            <w:pPr>
              <w:pStyle w:val="Compact"/>
              <w:jc w:val="left"/>
            </w:pPr>
            <w:r>
              <w:t xml:space="preserve">Obesity</w:t>
            </w:r>
          </w:p>
        </w:tc>
        <w:tc>
          <w:p/>
        </w:tc>
        <w:tc>
          <w:p>
            <w:pPr>
              <w:pStyle w:val="Compact"/>
              <w:jc w:val="left"/>
            </w:pPr>
            <w:r>
              <w:t xml:space="preserve">Obesity</w:t>
            </w:r>
          </w:p>
        </w:tc>
      </w:tr>
      <w:tr>
        <w:tc>
          <w:p>
            <w:pPr>
              <w:pStyle w:val="Compact"/>
              <w:jc w:val="left"/>
            </w:pPr>
            <w:r>
              <w:t xml:space="preserve">Peptic ulcer</w:t>
            </w:r>
          </w:p>
        </w:tc>
        <w:tc>
          <w:p>
            <w:pPr>
              <w:pStyle w:val="Compact"/>
              <w:jc w:val="left"/>
            </w:pPr>
            <w:r>
              <w:t xml:space="preserve">Peptic ulcer disease</w:t>
            </w:r>
          </w:p>
        </w:tc>
        <w:tc>
          <w:p>
            <w:pPr>
              <w:pStyle w:val="Compact"/>
              <w:jc w:val="left"/>
            </w:pPr>
            <w:r>
              <w:t xml:space="preserve">Peptic ulcer disease</w:t>
            </w:r>
          </w:p>
        </w:tc>
      </w:tr>
      <w:tr>
        <w:tc>
          <w:p>
            <w:pPr>
              <w:pStyle w:val="Compact"/>
              <w:jc w:val="left"/>
            </w:pPr>
            <w:r>
              <w:t xml:space="preserve">Rheumatic disease</w:t>
            </w:r>
          </w:p>
        </w:tc>
        <w:tc>
          <w:p>
            <w:pPr>
              <w:pStyle w:val="Compact"/>
              <w:jc w:val="left"/>
            </w:pPr>
            <w:r>
              <w:t xml:space="preserve">Rheumatic disease</w:t>
            </w:r>
          </w:p>
        </w:tc>
        <w:tc>
          <w:p>
            <w:pPr>
              <w:pStyle w:val="Compact"/>
              <w:jc w:val="left"/>
            </w:pPr>
            <w:r>
              <w:t xml:space="preserve">Rheumatoid arthritis</w:t>
            </w:r>
          </w:p>
        </w:tc>
      </w:tr>
      <w:tr>
        <w:tc>
          <w:p>
            <w:pPr>
              <w:pStyle w:val="Compact"/>
              <w:jc w:val="left"/>
            </w:pPr>
            <w:r>
              <w:t xml:space="preserve">Vascular disease</w:t>
            </w:r>
          </w:p>
        </w:tc>
        <w:tc>
          <w:p>
            <w:pPr>
              <w:pStyle w:val="Compact"/>
              <w:jc w:val="left"/>
            </w:pPr>
            <w:r>
              <w:t xml:space="preserve">Peripheral vascular disease, Cerebrovascular disease</w:t>
            </w:r>
          </w:p>
        </w:tc>
        <w:tc>
          <w:p>
            <w:pPr>
              <w:pStyle w:val="Compact"/>
              <w:jc w:val="left"/>
            </w:pPr>
            <w:r>
              <w:t xml:space="preserve">Peripheral vascular disorder</w:t>
            </w:r>
          </w:p>
        </w:tc>
      </w:tr>
      <w:tr>
        <w:tc>
          <w:p>
            <w:pPr>
              <w:pStyle w:val="Compact"/>
              <w:jc w:val="left"/>
            </w:pPr>
            <w:r>
              <w:t xml:space="preserve">Weight loss</w:t>
            </w:r>
          </w:p>
        </w:tc>
        <w:tc>
          <w:p/>
        </w:tc>
        <w:tc>
          <w:p>
            <w:pPr>
              <w:pStyle w:val="Compact"/>
              <w:jc w:val="left"/>
            </w:pPr>
            <w:r>
              <w:t xml:space="preserve">Weight loss</w:t>
            </w:r>
          </w:p>
        </w:tc>
      </w:tr>
    </w:tbl>
    <w:p>
      <w:pPr>
        <w:pStyle w:val="Brdtext"/>
      </w:pPr>
      <w:r>
        <w:t xml:space="preserve">Some of the combined comorbidities were observed for less than 10 patients with or without PJI, and these diagnoses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visits within 90 days of THA (Tab.</w:t>
      </w:r>
      <w:r>
        <w:t xml:space="preserve"> </w:t>
      </w:r>
      <w:r>
        <w:t xml:space="preserve">2</w:t>
      </w:r>
      <w:r>
        <w:t xml:space="preserve">), or if the patient was reported to SHAR or DHR as re-operated due to infection within the same time frame.</w:t>
      </w:r>
    </w:p>
    <w:p>
      <w:pPr>
        <w:pStyle w:val="TableCaption"/>
      </w:pPr>
      <w:r>
        <w:t xml:space="preserve">Table 2: Codes identifying PJI if recorded in the Swedish and Danish National Patient Registers within 90 days after THA.</w:t>
      </w:r>
    </w:p>
    <w:tbl>
      <w:tblPr>
        <w:tblStyle w:val="Table"/>
        <w:tblW w:type="pct" w:w="5000.0"/>
        <w:tblLook w:firstRow="1" w:lastRow="0" w:firstColumn="0" w:lastColumn="0" w:noHBand="0" w:noVBand="0" w:val="0020"/>
        <w:tblCaption w:val="Table 2: Codes identifying PJI if recorded in the Swedish and Danish National Patient Registers within 90 days after THA."/>
      </w:tblPr>
      <w:tblGrid>
        <w:gridCol w:w="860"/>
        <w:gridCol w:w="7059"/>
      </w:tblGrid>
      <w:tr>
        <w:tc>
          <w:p>
            <w:pPr>
              <w:pStyle w:val="Compact"/>
              <w:jc w:val="left"/>
            </w:pPr>
            <w:r>
              <w:t xml:space="preserve">classification</w:t>
            </w:r>
          </w:p>
        </w:tc>
        <w:tc>
          <w:p>
            <w:pPr>
              <w:pStyle w:val="Compact"/>
              <w:jc w:val="left"/>
            </w:pPr>
            <w:r>
              <w:t xml:space="preserve">codes</w:t>
            </w:r>
          </w:p>
        </w:tc>
      </w:tr>
      <w:tr>
        <w:tc>
          <w:p>
            <w:pPr>
              <w:pStyle w:val="Compact"/>
              <w:jc w:val="left"/>
            </w:pPr>
            <w:r>
              <w:t xml:space="preserve">ICD-10</w:t>
            </w:r>
          </w:p>
        </w:tc>
        <w:tc>
          <w:p>
            <w:pPr>
              <w:pStyle w:val="Compact"/>
              <w:jc w:val="left"/>
            </w:pPr>
            <w:r>
              <w:t xml:space="preserve">M000, M000F, M001, M002, M002F, M008, M008F, M009, M009F, M860F, M861F, M866, M866F, T814, T845, T845F, T845X, T847, T847F</w:t>
            </w:r>
          </w:p>
        </w:tc>
      </w:tr>
      <w:tr>
        <w:tc>
          <w:p>
            <w:pPr>
              <w:pStyle w:val="Compact"/>
              <w:jc w:val="left"/>
            </w:pPr>
            <w:r>
              <w:t xml:space="preserve">NOMESCO</w:t>
            </w:r>
          </w:p>
        </w:tc>
        <w:tc>
          <w:p>
            <w:pPr>
              <w:pStyle w:val="Compact"/>
              <w:jc w:val="left"/>
            </w:pPr>
            <w:r>
              <w:t xml:space="preserve">NFS09, NFS19, NFS29, NFS39, NFS49, NFS59, NFS99</w:t>
            </w:r>
          </w:p>
        </w:tc>
      </w:tr>
    </w:tbl>
    <w:bookmarkEnd w:id="37"/>
    <w:bookmarkStart w:id="38" w:name="model-development"/>
    <w:p>
      <w:pPr>
        <w:pStyle w:val="Rubrik2"/>
      </w:pPr>
      <w:r>
        <w:t xml:space="preserve">Model development</w:t>
      </w:r>
    </w:p>
    <w:p>
      <w:pPr>
        <w:pStyle w:val="FirstParagraph"/>
      </w:pPr>
      <w:r>
        <w:t xml:space="preserve">Model development was performed by bootstrap ranking and a logistic least absolute shrinkage and selection operator (LASSO).</w:t>
      </w:r>
      <w:r>
        <w:t xml:space="preserve">[32–34]</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 BMI</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 and BMI</w:t>
      </w:r>
      <w:r>
        <w:t xml:space="preserve"> </w:t>
      </w:r>
      <m:oMath>
        <m:r>
          <m:rPr>
            <m:sty m:val="p"/>
          </m:rPr>
          <m:t>≥</m:t>
        </m:r>
        <m:r>
          <m:t>35</m:t>
        </m:r>
      </m:oMath>
      <w:r>
        <w:t xml:space="preserve">: class II-III obesity).</w:t>
      </w:r>
    </w:p>
    <w:p>
      <w:pPr>
        <w:pStyle w:val="Brd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t xml:space="preserve">[35]</w:t>
      </w:r>
    </w:p>
    <w:p>
      <w:pPr>
        <w:pStyle w:val="Brd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age.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Odds ratios for the final models were estimated with 95 % confidence intervals based on the whole derivation cohort.</w:t>
      </w:r>
    </w:p>
    <w:bookmarkEnd w:id="38"/>
    <w:bookmarkStart w:id="39" w:name="reference-models"/>
    <w:p>
      <w:pPr>
        <w:pStyle w:val="Rubrik2"/>
      </w:pPr>
      <w:r>
        <w:t xml:space="preserve">Reference models</w:t>
      </w:r>
    </w:p>
    <w:p>
      <w:pPr>
        <w:pStyle w:val="FirstParagraph"/>
      </w:pPr>
      <w:r>
        <w:t xml:space="preserve">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and Danish</w:t>
      </w:r>
      <w:r>
        <w:t xml:space="preserve">[36]</w:t>
      </w:r>
      <w:r>
        <w:t xml:space="preserve"> </w:t>
      </w:r>
      <w:r>
        <w:t xml:space="preserve">national prescription registers and classified according to Pratt et al.</w:t>
      </w:r>
      <w:r>
        <w:t xml:space="preserve">[18]</w:t>
      </w:r>
    </w:p>
    <w:bookmarkEnd w:id="39"/>
    <w:bookmarkStart w:id="40" w:name="model-validation"/>
    <w:p>
      <w:pPr>
        <w:pStyle w:val="Rubrik2"/>
      </w:pPr>
      <w:r>
        <w:t xml:space="preserve">Model validation</w:t>
      </w:r>
    </w:p>
    <w:p>
      <w:pPr>
        <w:pStyle w:val="FirstParagraph"/>
      </w:pPr>
      <w:r>
        <w:t xml:space="preserve">The main, reduced and the 10 reference models were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t xml:space="preserve">[37]</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t xml:space="preserve">[38]</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baseline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baseline.</w:t>
      </w:r>
      <w:r>
        <w:t xml:space="preserve">[39]</w:t>
      </w:r>
    </w:p>
    <w:p>
      <w:pPr>
        <w:pStyle w:val="Brdtext"/>
      </w:pPr>
      <w:r>
        <w:t xml:space="preserve">The derived model was then externally validated on the Danish cohort, both with the coefficient estimates from the Swedish cohort and with new estimates based on the Danish cohort. The 10 reference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7</w:t>
      </w:r>
      <w:r>
        <w:t xml:space="preserve">).</w:t>
      </w:r>
    </w:p>
    <w:bookmarkEnd w:id="40"/>
    <w:bookmarkStart w:id="41" w:name="statistical-tools"/>
    <w:p>
      <w:pPr>
        <w:pStyle w:val="Rubrik2"/>
      </w:pPr>
      <w:r>
        <w:t xml:space="preserve">Statistical tools</w:t>
      </w:r>
    </w:p>
    <w:p>
      <w:pPr>
        <w:pStyle w:val="FirstParagraph"/>
      </w:pPr>
      <w:r>
        <w:t xml:space="preserve">We used R version 4.1.0 (2021-05-18) (R Foundation for Statistical Computing, Vienna, Austria) with significant packages coder,</w:t>
      </w:r>
      <w:r>
        <w:t xml:space="preserve">[40]</w:t>
      </w:r>
      <w:r>
        <w:t xml:space="preserve"> </w:t>
      </w:r>
      <w:r>
        <w:t xml:space="preserve">decoder, furrr, pROC, rms, tidymodels and tidyverse. We build a shiny-based web calculator to aid clinical usage (</w:t>
      </w:r>
      <w:hyperlink r:id="rId27">
        <w:r>
          <w:rPr>
            <w:rStyle w:val="Hyperlnk"/>
          </w:rPr>
          <w:t xml:space="preserve">https://erikbulow.shinyapps.io/thamortpred/</w:t>
        </w:r>
      </w:hyperlink>
      <w:r>
        <w:t xml:space="preserve">).</w:t>
      </w:r>
    </w:p>
    <w:bookmarkEnd w:id="41"/>
    <w:bookmarkStart w:id="42" w:name="patient-and-public-involvement"/>
    <w:p>
      <w:pPr>
        <w:pStyle w:val="Rubrik2"/>
      </w:pPr>
      <w:r>
        <w:t xml:space="preserve">Patient and Public Involvement</w:t>
      </w:r>
    </w:p>
    <w:p>
      <w:pPr>
        <w:pStyle w:val="FirstParagraph"/>
      </w:pPr>
      <w:r>
        <w:t xml:space="preserve">Patient representatives are elected as ordinary members of the steering committees for SHAR and DHR, where the development of shared decision making has been discussed. Our web calculator will be available for (potential) patients and the public.</w:t>
      </w:r>
    </w:p>
    <w:bookmarkEnd w:id="42"/>
    <w:bookmarkStart w:id="43"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2016-051-000001).</w:t>
      </w:r>
    </w:p>
    <w:bookmarkEnd w:id="43"/>
    <w:bookmarkEnd w:id="44"/>
    <w:bookmarkStart w:id="48" w:name="results"/>
    <w:p>
      <w:pPr>
        <w:pStyle w:val="Rubrik1"/>
      </w:pPr>
      <w:r>
        <w:t xml:space="preserve">Results</w:t>
      </w:r>
    </w:p>
    <w:bookmarkStart w:id="45" w:name="study-participants"/>
    <w:p>
      <w:pPr>
        <w:pStyle w:val="Rubrik2"/>
      </w:pPr>
      <w:r>
        <w:t xml:space="preserve">Study participants</w:t>
      </w:r>
    </w:p>
    <w:p>
      <w:pPr>
        <w:pStyle w:val="FirstParagraph"/>
      </w:pPr>
      <w:r>
        <w:t xml:space="preserve">We included 88,830 patients (44 %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rdtext"/>
      </w:pPr>
      <w:r>
        <w:t xml:space="preserve">In addition, 18,854 patients (42.1 % males) with a mean age of 70 (SD = 11) years were included in the external validation cohort (Fig.</w:t>
      </w:r>
      <w:r>
        <w:t xml:space="preserve"> </w:t>
      </w:r>
      <w:r>
        <w:t xml:space="preserve">2</w:t>
      </w:r>
      <w:r>
        <w:t xml:space="preserve">). 2.2 % (n = 410) of these developed a PJI within 90 days (Tab.</w:t>
      </w:r>
      <w:r>
        <w:t xml:space="preserve"> </w:t>
      </w:r>
      <w:r>
        <w:t xml:space="preserve">3</w:t>
      </w:r>
      <w:r>
        <w:t xml:space="preserve">). The proportion of patients with ASA class III was 18 % (n = 3,334); 14 % (n = 2,722) had at least one comorbidity according to the Charlson comorbidity index, 22 % (n = 4,101) according to Elixhauser index, and 56 % (n = 10,625) had medications classified according to Rx Risk V.</w:t>
      </w:r>
    </w:p>
    <w:p>
      <w:pPr>
        <w:pStyle w:val="TableCaption"/>
      </w:pPr>
      <w:r>
        <w:t xml:space="preserve">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0"/>
        <w:tblLook w:firstRow="1" w:lastRow="0" w:firstColumn="0" w:lastColumn="0" w:noHBand="0" w:noVBand="0" w:val="0020"/>
        <w:tblCaption w:val="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468"/>
        <w:gridCol w:w="2360"/>
        <w:gridCol w:w="681"/>
        <w:gridCol w:w="734"/>
        <w:gridCol w:w="734"/>
        <w:gridCol w:w="576"/>
        <w:gridCol w:w="681"/>
        <w:gridCol w:w="681"/>
      </w:tblGrid>
      <w:tr>
        <w:tc>
          <w:p>
            <w:pPr>
              <w:pStyle w:val="Compact"/>
              <w:jc w:val="left"/>
            </w:pPr>
            <w:r>
              <w:t xml:space="preserve">what</w:t>
            </w:r>
          </w:p>
        </w:tc>
        <w:tc>
          <w:p>
            <w:pPr>
              <w:pStyle w:val="Compact"/>
              <w:jc w:val="left"/>
            </w:pPr>
            <w:r>
              <w:t xml:space="preserve">level</w:t>
            </w:r>
          </w:p>
        </w:tc>
        <w:tc>
          <w:p>
            <w:pPr>
              <w:pStyle w:val="Compact"/>
              <w:jc w:val="left"/>
            </w:pPr>
            <w:r>
              <w:t xml:space="preserve">SE PJI</w:t>
            </w:r>
          </w:p>
        </w:tc>
        <w:tc>
          <w:p>
            <w:pPr>
              <w:pStyle w:val="Compact"/>
              <w:jc w:val="left"/>
            </w:pPr>
            <w:r>
              <w:t xml:space="preserve">SE No PJI</w:t>
            </w:r>
          </w:p>
        </w:tc>
        <w:tc>
          <w:p>
            <w:pPr>
              <w:pStyle w:val="Compact"/>
              <w:jc w:val="left"/>
            </w:pPr>
            <w:r>
              <w:t xml:space="preserve">SE Total</w:t>
            </w:r>
          </w:p>
        </w:tc>
        <w:tc>
          <w:p>
            <w:pPr>
              <w:pStyle w:val="Compact"/>
              <w:jc w:val="left"/>
            </w:pPr>
            <w:r>
              <w:t xml:space="preserve">DK PJI</w:t>
            </w:r>
          </w:p>
        </w:tc>
        <w:tc>
          <w:p>
            <w:pPr>
              <w:pStyle w:val="Compact"/>
              <w:jc w:val="left"/>
            </w:pPr>
            <w:r>
              <w:t xml:space="preserve">DK No PJI</w:t>
            </w:r>
          </w:p>
        </w:tc>
        <w:tc>
          <w:p>
            <w:pPr>
              <w:pStyle w:val="Compact"/>
              <w:jc w:val="left"/>
            </w:pPr>
            <w:r>
              <w:t xml:space="preserve">DK Total</w:t>
            </w:r>
          </w:p>
        </w:tc>
      </w:tr>
      <w:tr>
        <w:tc>
          <w:p>
            <w:pPr>
              <w:pStyle w:val="Compact"/>
              <w:jc w:val="left"/>
            </w:pPr>
            <w:r>
              <w:t xml:space="preserve">Total</w:t>
            </w:r>
          </w:p>
        </w:tc>
        <w:tc>
          <w:p/>
        </w:tc>
        <w:tc>
          <w:p>
            <w:pPr>
              <w:pStyle w:val="Compact"/>
              <w:jc w:val="left"/>
            </w:pPr>
            <w:r>
              <w:t xml:space="preserve">2173</w:t>
            </w:r>
          </w:p>
        </w:tc>
        <w:tc>
          <w:p>
            <w:pPr>
              <w:pStyle w:val="Compact"/>
              <w:jc w:val="left"/>
            </w:pPr>
            <w:r>
              <w:t xml:space="preserve">86657</w:t>
            </w:r>
          </w:p>
        </w:tc>
        <w:tc>
          <w:p>
            <w:pPr>
              <w:pStyle w:val="Compact"/>
              <w:jc w:val="left"/>
            </w:pPr>
            <w:r>
              <w:t xml:space="preserve">88830</w:t>
            </w:r>
          </w:p>
        </w:tc>
        <w:tc>
          <w:p>
            <w:pPr>
              <w:pStyle w:val="Compact"/>
              <w:jc w:val="left"/>
            </w:pPr>
            <w:r>
              <w:t xml:space="preserve">410</w:t>
            </w:r>
          </w:p>
        </w:tc>
        <w:tc>
          <w:p>
            <w:pPr>
              <w:pStyle w:val="Compact"/>
              <w:jc w:val="left"/>
            </w:pPr>
            <w:r>
              <w:t xml:space="preserve">18444</w:t>
            </w:r>
          </w:p>
        </w:tc>
        <w:tc>
          <w:p>
            <w:pPr>
              <w:pStyle w:val="Compact"/>
              <w:jc w:val="left"/>
            </w:pPr>
            <w:r>
              <w:t xml:space="preserve">18854</w:t>
            </w:r>
          </w:p>
        </w:tc>
      </w:tr>
      <w:tr>
        <w:tc>
          <w:p>
            <w:pPr>
              <w:pStyle w:val="Compact"/>
              <w:jc w:val="left"/>
            </w:pPr>
            <w:r>
              <w:t xml:space="preserve">Age</w:t>
            </w:r>
          </w:p>
        </w:tc>
        <w:tc>
          <w:p>
            <w:pPr>
              <w:pStyle w:val="Compact"/>
              <w:jc w:val="left"/>
            </w:pPr>
            <w:r>
              <w:t xml:space="preserve">&lt;50</w:t>
            </w:r>
          </w:p>
        </w:tc>
        <w:tc>
          <w:p>
            <w:pPr>
              <w:pStyle w:val="Compact"/>
              <w:jc w:val="left"/>
            </w:pPr>
            <w:r>
              <w:t xml:space="preserve">104 ( 4.8)</w:t>
            </w:r>
          </w:p>
        </w:tc>
        <w:tc>
          <w:p>
            <w:pPr>
              <w:pStyle w:val="Compact"/>
              <w:jc w:val="left"/>
            </w:pPr>
            <w:r>
              <w:t xml:space="preserve">4541 ( 5.2)</w:t>
            </w:r>
          </w:p>
        </w:tc>
        <w:tc>
          <w:p>
            <w:pPr>
              <w:pStyle w:val="Compact"/>
              <w:jc w:val="left"/>
            </w:pPr>
            <w:r>
              <w:t xml:space="preserve">4645 ( 5.2)</w:t>
            </w:r>
          </w:p>
        </w:tc>
        <w:tc>
          <w:p>
            <w:pPr>
              <w:pStyle w:val="Compact"/>
              <w:jc w:val="left"/>
            </w:pPr>
            <w:r>
              <w:t xml:space="preserve">9 (2.2)</w:t>
            </w:r>
          </w:p>
        </w:tc>
        <w:tc>
          <w:p>
            <w:pPr>
              <w:pStyle w:val="Compact"/>
              <w:jc w:val="left"/>
            </w:pPr>
            <w:r>
              <w:t xml:space="preserve">871 (4.7)</w:t>
            </w:r>
          </w:p>
        </w:tc>
        <w:tc>
          <w:p>
            <w:pPr>
              <w:pStyle w:val="Compact"/>
              <w:jc w:val="left"/>
            </w:pPr>
            <w:r>
              <w:t xml:space="preserve">880 (4.7)</w:t>
            </w:r>
          </w:p>
        </w:tc>
      </w:tr>
      <w:tr>
        <w:tc>
          <w:p/>
        </w:tc>
        <w:tc>
          <w:p>
            <w:pPr>
              <w:pStyle w:val="Compact"/>
              <w:jc w:val="left"/>
            </w:pPr>
            <w:r>
              <w:t xml:space="preserve">50-&lt;60</w:t>
            </w:r>
          </w:p>
        </w:tc>
        <w:tc>
          <w:p>
            <w:pPr>
              <w:pStyle w:val="Compact"/>
              <w:jc w:val="left"/>
            </w:pPr>
            <w:r>
              <w:t xml:space="preserve">231 ( 10.6)</w:t>
            </w:r>
          </w:p>
        </w:tc>
        <w:tc>
          <w:p>
            <w:pPr>
              <w:pStyle w:val="Compact"/>
              <w:jc w:val="left"/>
            </w:pPr>
            <w:r>
              <w:t xml:space="preserve">11581 ( 13.4)</w:t>
            </w:r>
          </w:p>
        </w:tc>
        <w:tc>
          <w:p>
            <w:pPr>
              <w:pStyle w:val="Compact"/>
              <w:jc w:val="left"/>
            </w:pPr>
            <w:r>
              <w:t xml:space="preserve">11812 ( 13.3)</w:t>
            </w:r>
          </w:p>
        </w:tc>
        <w:tc>
          <w:p>
            <w:pPr>
              <w:pStyle w:val="Compact"/>
              <w:jc w:val="left"/>
            </w:pPr>
            <w:r>
              <w:t xml:space="preserve">45 (11.0)</w:t>
            </w:r>
          </w:p>
        </w:tc>
        <w:tc>
          <w:p>
            <w:pPr>
              <w:pStyle w:val="Compact"/>
              <w:jc w:val="left"/>
            </w:pPr>
            <w:r>
              <w:t xml:space="preserve">2415 (13.1)</w:t>
            </w:r>
          </w:p>
        </w:tc>
        <w:tc>
          <w:p>
            <w:pPr>
              <w:pStyle w:val="Compact"/>
              <w:jc w:val="left"/>
            </w:pPr>
            <w:r>
              <w:t xml:space="preserve">2460 (13.0)</w:t>
            </w:r>
          </w:p>
        </w:tc>
      </w:tr>
      <w:tr>
        <w:tc>
          <w:p/>
        </w:tc>
        <w:tc>
          <w:p>
            <w:pPr>
              <w:pStyle w:val="Compact"/>
              <w:jc w:val="left"/>
            </w:pPr>
            <w:r>
              <w:t xml:space="preserve">60-&lt;70</w:t>
            </w:r>
          </w:p>
        </w:tc>
        <w:tc>
          <w:p>
            <w:pPr>
              <w:pStyle w:val="Compact"/>
              <w:jc w:val="left"/>
            </w:pPr>
            <w:r>
              <w:t xml:space="preserve">609 ( 28.0)</w:t>
            </w:r>
          </w:p>
        </w:tc>
        <w:tc>
          <w:p>
            <w:pPr>
              <w:pStyle w:val="Compact"/>
              <w:jc w:val="left"/>
            </w:pPr>
            <w:r>
              <w:t xml:space="preserve">28372 ( 32.7)</w:t>
            </w:r>
          </w:p>
        </w:tc>
        <w:tc>
          <w:p>
            <w:pPr>
              <w:pStyle w:val="Compact"/>
              <w:jc w:val="left"/>
            </w:pPr>
            <w:r>
              <w:t xml:space="preserve">28981 ( 32.6)</w:t>
            </w:r>
          </w:p>
        </w:tc>
        <w:tc>
          <w:p>
            <w:pPr>
              <w:pStyle w:val="Compact"/>
              <w:jc w:val="left"/>
            </w:pPr>
            <w:r>
              <w:t xml:space="preserve">112 (27.3)</w:t>
            </w:r>
          </w:p>
        </w:tc>
        <w:tc>
          <w:p>
            <w:pPr>
              <w:pStyle w:val="Compact"/>
              <w:jc w:val="left"/>
            </w:pPr>
            <w:r>
              <w:t xml:space="preserve">5114 (27.7)</w:t>
            </w:r>
          </w:p>
        </w:tc>
        <w:tc>
          <w:p>
            <w:pPr>
              <w:pStyle w:val="Compact"/>
              <w:jc w:val="left"/>
            </w:pPr>
            <w:r>
              <w:t xml:space="preserve">5226 (27.7)</w:t>
            </w:r>
          </w:p>
        </w:tc>
      </w:tr>
      <w:tr>
        <w:tc>
          <w:p/>
        </w:tc>
        <w:tc>
          <w:p>
            <w:pPr>
              <w:pStyle w:val="Compact"/>
              <w:jc w:val="left"/>
            </w:pPr>
            <w:r>
              <w:t xml:space="preserve">70-&lt;80</w:t>
            </w:r>
          </w:p>
        </w:tc>
        <w:tc>
          <w:p>
            <w:pPr>
              <w:pStyle w:val="Compact"/>
              <w:jc w:val="left"/>
            </w:pPr>
            <w:r>
              <w:t xml:space="preserve">776 ( 35.7)</w:t>
            </w:r>
          </w:p>
        </w:tc>
        <w:tc>
          <w:p>
            <w:pPr>
              <w:pStyle w:val="Compact"/>
              <w:jc w:val="left"/>
            </w:pPr>
            <w:r>
              <w:t xml:space="preserve">29610 ( 34.2)</w:t>
            </w:r>
          </w:p>
        </w:tc>
        <w:tc>
          <w:p>
            <w:pPr>
              <w:pStyle w:val="Compact"/>
              <w:jc w:val="left"/>
            </w:pPr>
            <w:r>
              <w:t xml:space="preserve">30386 ( 34.2)</w:t>
            </w:r>
          </w:p>
        </w:tc>
        <w:tc>
          <w:p>
            <w:pPr>
              <w:pStyle w:val="Compact"/>
              <w:jc w:val="left"/>
            </w:pPr>
            <w:r>
              <w:t xml:space="preserve">164 (40.0)</w:t>
            </w:r>
          </w:p>
        </w:tc>
        <w:tc>
          <w:p>
            <w:pPr>
              <w:pStyle w:val="Compact"/>
              <w:jc w:val="left"/>
            </w:pPr>
            <w:r>
              <w:t xml:space="preserve">7037 (38.2)</w:t>
            </w:r>
          </w:p>
        </w:tc>
        <w:tc>
          <w:p>
            <w:pPr>
              <w:pStyle w:val="Compact"/>
              <w:jc w:val="left"/>
            </w:pPr>
            <w:r>
              <w:t xml:space="preserve">7201 (38.2)</w:t>
            </w:r>
          </w:p>
        </w:tc>
      </w:tr>
      <w:tr>
        <w:tc>
          <w:p/>
        </w:tc>
        <w:tc>
          <w:p>
            <w:pPr>
              <w:pStyle w:val="Compact"/>
              <w:jc w:val="left"/>
            </w:pPr>
            <w:r>
              <w:t xml:space="preserve">80+</w:t>
            </w:r>
          </w:p>
        </w:tc>
        <w:tc>
          <w:p>
            <w:pPr>
              <w:pStyle w:val="Compact"/>
              <w:jc w:val="left"/>
            </w:pPr>
            <w:r>
              <w:t xml:space="preserve">453 ( 20.8)</w:t>
            </w:r>
          </w:p>
        </w:tc>
        <w:tc>
          <w:p>
            <w:pPr>
              <w:pStyle w:val="Compact"/>
              <w:jc w:val="left"/>
            </w:pPr>
            <w:r>
              <w:t xml:space="preserve">12553 ( 14.5)</w:t>
            </w:r>
          </w:p>
        </w:tc>
        <w:tc>
          <w:p>
            <w:pPr>
              <w:pStyle w:val="Compact"/>
              <w:jc w:val="left"/>
            </w:pPr>
            <w:r>
              <w:t xml:space="preserve">13006 ( 14.6)</w:t>
            </w:r>
          </w:p>
        </w:tc>
        <w:tc>
          <w:p>
            <w:pPr>
              <w:pStyle w:val="Compact"/>
              <w:jc w:val="left"/>
            </w:pPr>
            <w:r>
              <w:t xml:space="preserve">80 (19.5)</w:t>
            </w:r>
          </w:p>
        </w:tc>
        <w:tc>
          <w:p>
            <w:pPr>
              <w:pStyle w:val="Compact"/>
              <w:jc w:val="left"/>
            </w:pPr>
            <w:r>
              <w:t xml:space="preserve">3007 (16.3)</w:t>
            </w:r>
          </w:p>
        </w:tc>
        <w:tc>
          <w:p>
            <w:pPr>
              <w:pStyle w:val="Compact"/>
              <w:jc w:val="left"/>
            </w:pPr>
            <w:r>
              <w:t xml:space="preserve">3087 (16.4)</w:t>
            </w:r>
          </w:p>
        </w:tc>
      </w:tr>
      <w:tr>
        <w:tc>
          <w:p>
            <w:pPr>
              <w:pStyle w:val="Compact"/>
              <w:jc w:val="left"/>
            </w:pPr>
            <w:r>
              <w:t xml:space="preserve">Sex</w:t>
            </w:r>
          </w:p>
        </w:tc>
        <w:tc>
          <w:p>
            <w:pPr>
              <w:pStyle w:val="Compact"/>
              <w:jc w:val="left"/>
            </w:pPr>
            <w:r>
              <w:t xml:space="preserve">female</w:t>
            </w:r>
          </w:p>
        </w:tc>
        <w:tc>
          <w:p>
            <w:pPr>
              <w:pStyle w:val="Compact"/>
              <w:jc w:val="left"/>
            </w:pPr>
            <w:r>
              <w:t xml:space="preserve">1062 ( 48.9)</w:t>
            </w:r>
          </w:p>
        </w:tc>
        <w:tc>
          <w:p>
            <w:pPr>
              <w:pStyle w:val="Compact"/>
              <w:jc w:val="left"/>
            </w:pPr>
            <w:r>
              <w:t xml:space="preserve">49089 ( 56.6)</w:t>
            </w:r>
          </w:p>
        </w:tc>
        <w:tc>
          <w:p>
            <w:pPr>
              <w:pStyle w:val="Compact"/>
              <w:jc w:val="left"/>
            </w:pPr>
            <w:r>
              <w:t xml:space="preserve">50151 ( 56.5)</w:t>
            </w:r>
          </w:p>
        </w:tc>
        <w:tc>
          <w:p>
            <w:pPr>
              <w:pStyle w:val="Compact"/>
              <w:jc w:val="left"/>
            </w:pPr>
            <w:r>
              <w:t xml:space="preserve">209 (51.0)</w:t>
            </w:r>
          </w:p>
        </w:tc>
        <w:tc>
          <w:p>
            <w:pPr>
              <w:pStyle w:val="Compact"/>
              <w:jc w:val="left"/>
            </w:pPr>
            <w:r>
              <w:t xml:space="preserve">10706 (58.0)</w:t>
            </w:r>
          </w:p>
        </w:tc>
        <w:tc>
          <w:p>
            <w:pPr>
              <w:pStyle w:val="Compact"/>
              <w:jc w:val="left"/>
            </w:pPr>
            <w:r>
              <w:t xml:space="preserve">10915 (57.9)</w:t>
            </w:r>
          </w:p>
        </w:tc>
      </w:tr>
      <w:tr>
        <w:tc>
          <w:p/>
        </w:tc>
        <w:tc>
          <w:p>
            <w:pPr>
              <w:pStyle w:val="Compact"/>
              <w:jc w:val="left"/>
            </w:pPr>
            <w:r>
              <w:t xml:space="preserve">male</w:t>
            </w:r>
          </w:p>
        </w:tc>
        <w:tc>
          <w:p>
            <w:pPr>
              <w:pStyle w:val="Compact"/>
              <w:jc w:val="left"/>
            </w:pPr>
            <w:r>
              <w:t xml:space="preserve">1111 ( 51.1)</w:t>
            </w:r>
          </w:p>
        </w:tc>
        <w:tc>
          <w:p>
            <w:pPr>
              <w:pStyle w:val="Compact"/>
              <w:jc w:val="left"/>
            </w:pPr>
            <w:r>
              <w:t xml:space="preserve">37568 ( 43.4)</w:t>
            </w:r>
          </w:p>
        </w:tc>
        <w:tc>
          <w:p>
            <w:pPr>
              <w:pStyle w:val="Compact"/>
              <w:jc w:val="left"/>
            </w:pPr>
            <w:r>
              <w:t xml:space="preserve">38679 ( 43.5)</w:t>
            </w:r>
          </w:p>
        </w:tc>
        <w:tc>
          <w:p>
            <w:pPr>
              <w:pStyle w:val="Compact"/>
              <w:jc w:val="left"/>
            </w:pPr>
            <w:r>
              <w:t xml:space="preserve">201 (49.0)</w:t>
            </w:r>
          </w:p>
        </w:tc>
        <w:tc>
          <w:p>
            <w:pPr>
              <w:pStyle w:val="Compact"/>
              <w:jc w:val="left"/>
            </w:pPr>
            <w:r>
              <w:t xml:space="preserve">7738 (42.0)</w:t>
            </w:r>
          </w:p>
        </w:tc>
        <w:tc>
          <w:p>
            <w:pPr>
              <w:pStyle w:val="Compact"/>
              <w:jc w:val="left"/>
            </w:pPr>
            <w:r>
              <w:t xml:space="preserve">7939 (42.1)</w:t>
            </w:r>
          </w:p>
        </w:tc>
      </w:tr>
      <w:tr>
        <w:tc>
          <w:p>
            <w:pPr>
              <w:pStyle w:val="Compact"/>
              <w:jc w:val="left"/>
            </w:pPr>
            <w:r>
              <w:t xml:space="preserve">BMI</w:t>
            </w:r>
          </w:p>
        </w:tc>
        <w:tc>
          <w:p>
            <w:pPr>
              <w:pStyle w:val="Compact"/>
              <w:jc w:val="left"/>
            </w:pPr>
            <w:r>
              <w:t xml:space="preserve">under/normal weight</w:t>
            </w:r>
          </w:p>
        </w:tc>
        <w:tc>
          <w:p>
            <w:pPr>
              <w:pStyle w:val="Compact"/>
              <w:jc w:val="left"/>
            </w:pPr>
            <w:r>
              <w:t xml:space="preserve">487 ( 22.4)</w:t>
            </w:r>
          </w:p>
        </w:tc>
        <w:tc>
          <w:p>
            <w:pPr>
              <w:pStyle w:val="Compact"/>
              <w:jc w:val="left"/>
            </w:pPr>
            <w:r>
              <w:t xml:space="preserve">28944 ( 33.4)</w:t>
            </w:r>
          </w:p>
        </w:tc>
        <w:tc>
          <w:p>
            <w:pPr>
              <w:pStyle w:val="Compact"/>
              <w:jc w:val="left"/>
            </w:pPr>
            <w:r>
              <w:t xml:space="preserve">29431 ( 33.1)</w:t>
            </w:r>
          </w:p>
        </w:tc>
        <w:tc>
          <w:p>
            <w:pPr>
              <w:pStyle w:val="Compact"/>
              <w:jc w:val="left"/>
            </w:pPr>
            <w:r>
              <w:t xml:space="preserve">101 (24.6)</w:t>
            </w:r>
          </w:p>
        </w:tc>
        <w:tc>
          <w:p>
            <w:pPr>
              <w:pStyle w:val="Compact"/>
              <w:jc w:val="left"/>
            </w:pPr>
            <w:r>
              <w:t xml:space="preserve">6746 (36.6)</w:t>
            </w:r>
          </w:p>
        </w:tc>
        <w:tc>
          <w:p>
            <w:pPr>
              <w:pStyle w:val="Compact"/>
              <w:jc w:val="left"/>
            </w:pPr>
            <w:r>
              <w:t xml:space="preserve">6847 (36.3)</w:t>
            </w:r>
          </w:p>
        </w:tc>
      </w:tr>
      <w:tr>
        <w:tc>
          <w:p/>
        </w:tc>
        <w:tc>
          <w:p>
            <w:pPr>
              <w:pStyle w:val="Compact"/>
              <w:jc w:val="left"/>
            </w:pPr>
            <w:r>
              <w:t xml:space="preserve">overweight</w:t>
            </w:r>
          </w:p>
        </w:tc>
        <w:tc>
          <w:p>
            <w:pPr>
              <w:pStyle w:val="Compact"/>
              <w:jc w:val="left"/>
            </w:pPr>
            <w:r>
              <w:t xml:space="preserve">863 ( 39.7)</w:t>
            </w:r>
          </w:p>
        </w:tc>
        <w:tc>
          <w:p>
            <w:pPr>
              <w:pStyle w:val="Compact"/>
              <w:jc w:val="left"/>
            </w:pPr>
            <w:r>
              <w:t xml:space="preserve">37280 ( 43.0)</w:t>
            </w:r>
          </w:p>
        </w:tc>
        <w:tc>
          <w:p>
            <w:pPr>
              <w:pStyle w:val="Compact"/>
              <w:jc w:val="left"/>
            </w:pPr>
            <w:r>
              <w:t xml:space="preserve">38143 ( 42.9)</w:t>
            </w:r>
          </w:p>
        </w:tc>
        <w:tc>
          <w:p>
            <w:pPr>
              <w:pStyle w:val="Compact"/>
              <w:jc w:val="left"/>
            </w:pPr>
            <w:r>
              <w:t xml:space="preserve">152 (37.1)</w:t>
            </w:r>
          </w:p>
        </w:tc>
        <w:tc>
          <w:p>
            <w:pPr>
              <w:pStyle w:val="Compact"/>
              <w:jc w:val="left"/>
            </w:pPr>
            <w:r>
              <w:t xml:space="preserve">7264 (39.4)</w:t>
            </w:r>
          </w:p>
        </w:tc>
        <w:tc>
          <w:p>
            <w:pPr>
              <w:pStyle w:val="Compact"/>
              <w:jc w:val="left"/>
            </w:pPr>
            <w:r>
              <w:t xml:space="preserve">7416 (39.3)</w:t>
            </w:r>
          </w:p>
        </w:tc>
      </w:tr>
      <w:tr>
        <w:tc>
          <w:p/>
        </w:tc>
        <w:tc>
          <w:p>
            <w:pPr>
              <w:pStyle w:val="Compact"/>
              <w:jc w:val="left"/>
            </w:pPr>
            <w:r>
              <w:t xml:space="preserve">class i obesity</w:t>
            </w:r>
          </w:p>
        </w:tc>
        <w:tc>
          <w:p>
            <w:pPr>
              <w:pStyle w:val="Compact"/>
              <w:jc w:val="left"/>
            </w:pPr>
            <w:r>
              <w:t xml:space="preserve">531 ( 24.4)</w:t>
            </w:r>
          </w:p>
        </w:tc>
        <w:tc>
          <w:p>
            <w:pPr>
              <w:pStyle w:val="Compact"/>
              <w:jc w:val="left"/>
            </w:pPr>
            <w:r>
              <w:t xml:space="preserve">15693 ( 18.1)</w:t>
            </w:r>
          </w:p>
        </w:tc>
        <w:tc>
          <w:p>
            <w:pPr>
              <w:pStyle w:val="Compact"/>
              <w:jc w:val="left"/>
            </w:pPr>
            <w:r>
              <w:t xml:space="preserve">16224 ( 18.3)</w:t>
            </w:r>
          </w:p>
        </w:tc>
        <w:tc>
          <w:p>
            <w:pPr>
              <w:pStyle w:val="Compact"/>
              <w:jc w:val="left"/>
            </w:pPr>
            <w:r>
              <w:t xml:space="preserve">86 (21.0)</w:t>
            </w:r>
          </w:p>
        </w:tc>
        <w:tc>
          <w:p>
            <w:pPr>
              <w:pStyle w:val="Compact"/>
              <w:jc w:val="left"/>
            </w:pPr>
            <w:r>
              <w:t xml:space="preserve">3261 (17.7)</w:t>
            </w:r>
          </w:p>
        </w:tc>
        <w:tc>
          <w:p>
            <w:pPr>
              <w:pStyle w:val="Compact"/>
              <w:jc w:val="left"/>
            </w:pPr>
            <w:r>
              <w:t xml:space="preserve">3347 (17.8)</w:t>
            </w:r>
          </w:p>
        </w:tc>
      </w:tr>
      <w:tr>
        <w:tc>
          <w:p/>
        </w:tc>
        <w:tc>
          <w:p>
            <w:pPr>
              <w:pStyle w:val="Compact"/>
              <w:jc w:val="left"/>
            </w:pPr>
            <w:r>
              <w:t xml:space="preserve">class ii-iii obesity</w:t>
            </w:r>
          </w:p>
        </w:tc>
        <w:tc>
          <w:p>
            <w:pPr>
              <w:pStyle w:val="Compact"/>
              <w:jc w:val="left"/>
            </w:pPr>
            <w:r>
              <w:t xml:space="preserve">292 ( 13.4)</w:t>
            </w:r>
          </w:p>
        </w:tc>
        <w:tc>
          <w:p>
            <w:pPr>
              <w:pStyle w:val="Compact"/>
              <w:jc w:val="left"/>
            </w:pPr>
            <w:r>
              <w:t xml:space="preserve">4740 ( 5.5)</w:t>
            </w:r>
          </w:p>
        </w:tc>
        <w:tc>
          <w:p>
            <w:pPr>
              <w:pStyle w:val="Compact"/>
              <w:jc w:val="left"/>
            </w:pPr>
            <w:r>
              <w:t xml:space="preserve">5032 ( 5.7)</w:t>
            </w:r>
          </w:p>
        </w:tc>
        <w:tc>
          <w:p>
            <w:pPr>
              <w:pStyle w:val="Compact"/>
              <w:jc w:val="left"/>
            </w:pPr>
            <w:r>
              <w:t xml:space="preserve">71 (17.3)</w:t>
            </w:r>
          </w:p>
        </w:tc>
        <w:tc>
          <w:p>
            <w:pPr>
              <w:pStyle w:val="Compact"/>
              <w:jc w:val="left"/>
            </w:pPr>
            <w:r>
              <w:t xml:space="preserve">1173 (6.4)</w:t>
            </w:r>
          </w:p>
        </w:tc>
        <w:tc>
          <w:p>
            <w:pPr>
              <w:pStyle w:val="Compact"/>
              <w:jc w:val="left"/>
            </w:pPr>
            <w:r>
              <w:t xml:space="preserve">1244 (6.6)</w:t>
            </w:r>
          </w:p>
        </w:tc>
      </w:tr>
      <w:tr>
        <w:tc>
          <w:p>
            <w:pPr>
              <w:pStyle w:val="Compact"/>
              <w:jc w:val="left"/>
            </w:pPr>
            <w:r>
              <w:t xml:space="preserve">ASA class</w:t>
            </w:r>
          </w:p>
        </w:tc>
        <w:tc>
          <w:p>
            <w:pPr>
              <w:pStyle w:val="Compact"/>
              <w:jc w:val="left"/>
            </w:pPr>
            <w:r>
              <w:t xml:space="preserve">I</w:t>
            </w:r>
          </w:p>
        </w:tc>
        <w:tc>
          <w:p>
            <w:pPr>
              <w:pStyle w:val="Compact"/>
              <w:jc w:val="left"/>
            </w:pPr>
            <w:r>
              <w:t xml:space="preserve">302 ( 13.9)</w:t>
            </w:r>
          </w:p>
        </w:tc>
        <w:tc>
          <w:p>
            <w:pPr>
              <w:pStyle w:val="Compact"/>
              <w:jc w:val="left"/>
            </w:pPr>
            <w:r>
              <w:t xml:space="preserve">20785 ( 24.0)</w:t>
            </w:r>
          </w:p>
        </w:tc>
        <w:tc>
          <w:p>
            <w:pPr>
              <w:pStyle w:val="Compact"/>
              <w:jc w:val="left"/>
            </w:pPr>
            <w:r>
              <w:t xml:space="preserve">21087 ( 23.7)</w:t>
            </w:r>
          </w:p>
        </w:tc>
        <w:tc>
          <w:p>
            <w:pPr>
              <w:pStyle w:val="Compact"/>
              <w:jc w:val="left"/>
            </w:pPr>
            <w:r>
              <w:t xml:space="preserve">44 (10.7)</w:t>
            </w:r>
          </w:p>
        </w:tc>
        <w:tc>
          <w:p>
            <w:pPr>
              <w:pStyle w:val="Compact"/>
              <w:jc w:val="left"/>
            </w:pPr>
            <w:r>
              <w:t xml:space="preserve">3898 (21.1)</w:t>
            </w:r>
          </w:p>
        </w:tc>
        <w:tc>
          <w:p>
            <w:pPr>
              <w:pStyle w:val="Compact"/>
              <w:jc w:val="left"/>
            </w:pPr>
            <w:r>
              <w:t xml:space="preserve">3942 (20.9)</w:t>
            </w:r>
          </w:p>
        </w:tc>
      </w:tr>
      <w:tr>
        <w:tc>
          <w:p/>
        </w:tc>
        <w:tc>
          <w:p>
            <w:pPr>
              <w:pStyle w:val="Compact"/>
              <w:jc w:val="left"/>
            </w:pPr>
            <w:r>
              <w:t xml:space="preserve">II</w:t>
            </w:r>
          </w:p>
        </w:tc>
        <w:tc>
          <w:p>
            <w:pPr>
              <w:pStyle w:val="Compact"/>
              <w:jc w:val="left"/>
            </w:pPr>
            <w:r>
              <w:t xml:space="preserve">1228 ( 56.5)</w:t>
            </w:r>
          </w:p>
        </w:tc>
        <w:tc>
          <w:p>
            <w:pPr>
              <w:pStyle w:val="Compact"/>
              <w:jc w:val="left"/>
            </w:pPr>
            <w:r>
              <w:t xml:space="preserve">51570 ( 59.5)</w:t>
            </w:r>
          </w:p>
        </w:tc>
        <w:tc>
          <w:p>
            <w:pPr>
              <w:pStyle w:val="Compact"/>
              <w:jc w:val="left"/>
            </w:pPr>
            <w:r>
              <w:t xml:space="preserve">52798 ( 59.4)</w:t>
            </w:r>
          </w:p>
        </w:tc>
        <w:tc>
          <w:p>
            <w:pPr>
              <w:pStyle w:val="Compact"/>
              <w:jc w:val="left"/>
            </w:pPr>
            <w:r>
              <w:t xml:space="preserve">253 (61.7)</w:t>
            </w:r>
          </w:p>
        </w:tc>
        <w:tc>
          <w:p>
            <w:pPr>
              <w:pStyle w:val="Compact"/>
              <w:jc w:val="left"/>
            </w:pPr>
            <w:r>
              <w:t xml:space="preserve">11325 (61.4)</w:t>
            </w:r>
          </w:p>
        </w:tc>
        <w:tc>
          <w:p>
            <w:pPr>
              <w:pStyle w:val="Compact"/>
              <w:jc w:val="left"/>
            </w:pPr>
            <w:r>
              <w:t xml:space="preserve">11578 (61.4)</w:t>
            </w:r>
          </w:p>
        </w:tc>
      </w:tr>
      <w:tr>
        <w:tc>
          <w:p/>
        </w:tc>
        <w:tc>
          <w:p>
            <w:pPr>
              <w:pStyle w:val="Compact"/>
              <w:jc w:val="left"/>
            </w:pPr>
            <w:r>
              <w:t xml:space="preserve">III</w:t>
            </w:r>
          </w:p>
        </w:tc>
        <w:tc>
          <w:p>
            <w:pPr>
              <w:pStyle w:val="Compact"/>
              <w:jc w:val="left"/>
            </w:pPr>
            <w:r>
              <w:t xml:space="preserve">643 ( 29.6)</w:t>
            </w:r>
          </w:p>
        </w:tc>
        <w:tc>
          <w:p>
            <w:pPr>
              <w:pStyle w:val="Compact"/>
              <w:jc w:val="left"/>
            </w:pPr>
            <w:r>
              <w:t xml:space="preserve">14302 ( 16.5)</w:t>
            </w:r>
          </w:p>
        </w:tc>
        <w:tc>
          <w:p>
            <w:pPr>
              <w:pStyle w:val="Compact"/>
              <w:jc w:val="left"/>
            </w:pPr>
            <w:r>
              <w:t xml:space="preserve">14945 ( 16.8)</w:t>
            </w:r>
          </w:p>
        </w:tc>
        <w:tc>
          <w:p>
            <w:pPr>
              <w:pStyle w:val="Compact"/>
              <w:jc w:val="left"/>
            </w:pPr>
            <w:r>
              <w:t xml:space="preserve">113 (27.6)</w:t>
            </w:r>
          </w:p>
        </w:tc>
        <w:tc>
          <w:p>
            <w:pPr>
              <w:pStyle w:val="Compact"/>
              <w:jc w:val="left"/>
            </w:pPr>
            <w:r>
              <w:t xml:space="preserve">3221 (17.5)</w:t>
            </w:r>
          </w:p>
        </w:tc>
        <w:tc>
          <w:p>
            <w:pPr>
              <w:pStyle w:val="Compact"/>
              <w:jc w:val="left"/>
            </w:pPr>
            <w:r>
              <w:t xml:space="preserve">3334 (17.7)</w:t>
            </w:r>
          </w:p>
        </w:tc>
      </w:tr>
      <w:tr>
        <w:tc>
          <w:p>
            <w:pPr>
              <w:pStyle w:val="Compact"/>
              <w:jc w:val="left"/>
            </w:pPr>
            <w:r>
              <w:t xml:space="preserve">Diagnosis</w:t>
            </w:r>
          </w:p>
        </w:tc>
        <w:tc>
          <w:p>
            <w:pPr>
              <w:pStyle w:val="Compact"/>
              <w:jc w:val="left"/>
            </w:pPr>
            <w:r>
              <w:t xml:space="preserve">primary osteoarthritis</w:t>
            </w:r>
          </w:p>
        </w:tc>
        <w:tc>
          <w:p>
            <w:pPr>
              <w:pStyle w:val="Compact"/>
              <w:jc w:val="left"/>
            </w:pPr>
            <w:r>
              <w:t xml:space="preserve">1766 ( 81.3)</w:t>
            </w:r>
          </w:p>
        </w:tc>
        <w:tc>
          <w:p>
            <w:pPr>
              <w:pStyle w:val="Compact"/>
              <w:jc w:val="left"/>
            </w:pPr>
            <w:r>
              <w:t xml:space="preserve">76812 ( 88.6)</w:t>
            </w:r>
          </w:p>
        </w:tc>
        <w:tc>
          <w:p>
            <w:pPr>
              <w:pStyle w:val="Compact"/>
              <w:jc w:val="left"/>
            </w:pPr>
            <w:r>
              <w:t xml:space="preserve">78578 ( 88.5)</w:t>
            </w:r>
          </w:p>
        </w:tc>
        <w:tc>
          <w:p>
            <w:pPr>
              <w:pStyle w:val="Compact"/>
              <w:jc w:val="left"/>
            </w:pPr>
            <w:r>
              <w:t xml:space="preserve">329 (80.2)</w:t>
            </w:r>
          </w:p>
        </w:tc>
        <w:tc>
          <w:p>
            <w:pPr>
              <w:pStyle w:val="Compact"/>
              <w:jc w:val="left"/>
            </w:pPr>
            <w:r>
              <w:t xml:space="preserve">15597 (84.6)</w:t>
            </w:r>
          </w:p>
        </w:tc>
        <w:tc>
          <w:p>
            <w:pPr>
              <w:pStyle w:val="Compact"/>
              <w:jc w:val="left"/>
            </w:pPr>
            <w:r>
              <w:t xml:space="preserve">15926 (84.5)</w:t>
            </w:r>
          </w:p>
        </w:tc>
      </w:tr>
      <w:tr>
        <w:tc>
          <w:p/>
        </w:tc>
        <w:tc>
          <w:p>
            <w:pPr>
              <w:pStyle w:val="Compact"/>
              <w:jc w:val="left"/>
            </w:pPr>
            <w:r>
              <w:t xml:space="preserve">secondary osteoarthritis</w:t>
            </w:r>
          </w:p>
        </w:tc>
        <w:tc>
          <w:p>
            <w:pPr>
              <w:pStyle w:val="Compact"/>
              <w:jc w:val="left"/>
            </w:pPr>
            <w:r>
              <w:t xml:space="preserve">232 ( 10.7)</w:t>
            </w:r>
          </w:p>
        </w:tc>
        <w:tc>
          <w:p>
            <w:pPr>
              <w:pStyle w:val="Compact"/>
              <w:jc w:val="left"/>
            </w:pPr>
            <w:r>
              <w:t xml:space="preserve">5039 ( 5.8)</w:t>
            </w:r>
          </w:p>
        </w:tc>
        <w:tc>
          <w:p>
            <w:pPr>
              <w:pStyle w:val="Compact"/>
              <w:jc w:val="left"/>
            </w:pPr>
            <w:r>
              <w:t xml:space="preserve">5271 ( 5.9)</w:t>
            </w:r>
          </w:p>
        </w:tc>
        <w:tc>
          <w:p>
            <w:pPr>
              <w:pStyle w:val="Compact"/>
              <w:jc w:val="left"/>
            </w:pPr>
            <w:r>
              <w:t xml:space="preserve">57 (13.9)</w:t>
            </w:r>
          </w:p>
        </w:tc>
        <w:tc>
          <w:p>
            <w:pPr>
              <w:pStyle w:val="Compact"/>
              <w:jc w:val="left"/>
            </w:pPr>
            <w:r>
              <w:t xml:space="preserve">1781 (9.7)</w:t>
            </w:r>
          </w:p>
        </w:tc>
        <w:tc>
          <w:p>
            <w:pPr>
              <w:pStyle w:val="Compact"/>
              <w:jc w:val="left"/>
            </w:pPr>
            <w:r>
              <w:t xml:space="preserve">1838 (9.7)</w:t>
            </w:r>
          </w:p>
        </w:tc>
      </w:tr>
      <w:tr>
        <w:tc>
          <w:p/>
        </w:tc>
        <w:tc>
          <w:p>
            <w:pPr>
              <w:pStyle w:val="Compact"/>
              <w:jc w:val="left"/>
            </w:pPr>
            <w:r>
              <w:t xml:space="preserve">sequelae after childhood hip disease</w:t>
            </w:r>
          </w:p>
        </w:tc>
        <w:tc>
          <w:p>
            <w:pPr>
              <w:pStyle w:val="Compact"/>
              <w:jc w:val="left"/>
            </w:pPr>
            <w:r>
              <w:t xml:space="preserve">41 ( 1.9)</w:t>
            </w:r>
          </w:p>
        </w:tc>
        <w:tc>
          <w:p>
            <w:pPr>
              <w:pStyle w:val="Compact"/>
              <w:jc w:val="left"/>
            </w:pPr>
            <w:r>
              <w:t xml:space="preserve">1821 ( 2.1)</w:t>
            </w:r>
          </w:p>
        </w:tc>
        <w:tc>
          <w:p>
            <w:pPr>
              <w:pStyle w:val="Compact"/>
              <w:jc w:val="left"/>
            </w:pPr>
            <w:r>
              <w:t xml:space="preserve">1862 ( 2.1)</w:t>
            </w:r>
          </w:p>
        </w:tc>
        <w:tc>
          <w:p/>
        </w:tc>
        <w:tc>
          <w:p/>
        </w:tc>
        <w:tc>
          <w:p>
            <w:pPr>
              <w:pStyle w:val="Compact"/>
              <w:jc w:val="left"/>
            </w:pPr>
            <w:r>
              <w:t xml:space="preserve">626 (3.3)</w:t>
            </w:r>
          </w:p>
        </w:tc>
      </w:tr>
      <w:tr>
        <w:tc>
          <w:p/>
        </w:tc>
        <w:tc>
          <w:p>
            <w:pPr>
              <w:pStyle w:val="Compact"/>
              <w:jc w:val="left"/>
            </w:pPr>
            <w:r>
              <w:t xml:space="preserve">avascular necrosis of the femoral head (avn)</w:t>
            </w:r>
          </w:p>
        </w:tc>
        <w:tc>
          <w:p>
            <w:pPr>
              <w:pStyle w:val="Compact"/>
              <w:jc w:val="left"/>
            </w:pPr>
            <w:r>
              <w:t xml:space="preserve">77 ( 3.5)</w:t>
            </w:r>
          </w:p>
        </w:tc>
        <w:tc>
          <w:p>
            <w:pPr>
              <w:pStyle w:val="Compact"/>
              <w:jc w:val="left"/>
            </w:pPr>
            <w:r>
              <w:t xml:space="preserve">1818 ( 2.1)</w:t>
            </w:r>
          </w:p>
        </w:tc>
        <w:tc>
          <w:p>
            <w:pPr>
              <w:pStyle w:val="Compact"/>
              <w:jc w:val="left"/>
            </w:pPr>
            <w:r>
              <w:t xml:space="preserve">1895 ( 2.1)</w:t>
            </w:r>
          </w:p>
        </w:tc>
        <w:tc>
          <w:p>
            <w:pPr>
              <w:pStyle w:val="Compact"/>
              <w:jc w:val="left"/>
            </w:pPr>
            <w:r>
              <w:t xml:space="preserve">15 (3.7)</w:t>
            </w:r>
          </w:p>
        </w:tc>
        <w:tc>
          <w:p>
            <w:pPr>
              <w:pStyle w:val="Compact"/>
              <w:jc w:val="left"/>
            </w:pPr>
            <w:r>
              <w:t xml:space="preserve">303 (1.6)</w:t>
            </w:r>
          </w:p>
        </w:tc>
        <w:tc>
          <w:p>
            <w:pPr>
              <w:pStyle w:val="Compact"/>
              <w:jc w:val="left"/>
            </w:pPr>
            <w:r>
              <w:t xml:space="preserve">318 (1.7)</w:t>
            </w:r>
          </w:p>
        </w:tc>
      </w:tr>
      <w:tr>
        <w:tc>
          <w:p/>
        </w:tc>
        <w:tc>
          <w:p>
            <w:pPr>
              <w:pStyle w:val="Compact"/>
              <w:jc w:val="left"/>
            </w:pPr>
            <w:r>
              <w:t xml:space="preserve">inflammatory joint disease</w:t>
            </w:r>
          </w:p>
        </w:tc>
        <w:tc>
          <w:p>
            <w:pPr>
              <w:pStyle w:val="Compact"/>
              <w:jc w:val="left"/>
            </w:pPr>
            <w:r>
              <w:t xml:space="preserve">57 ( 2.6)</w:t>
            </w:r>
          </w:p>
        </w:tc>
        <w:tc>
          <w:p>
            <w:pPr>
              <w:pStyle w:val="Compact"/>
              <w:jc w:val="left"/>
            </w:pPr>
            <w:r>
              <w:t xml:space="preserve">1167 ( 1.3)</w:t>
            </w:r>
          </w:p>
        </w:tc>
        <w:tc>
          <w:p>
            <w:pPr>
              <w:pStyle w:val="Compact"/>
              <w:jc w:val="left"/>
            </w:pPr>
            <w:r>
              <w:t xml:space="preserve">1224 ( 1.4)</w:t>
            </w:r>
          </w:p>
        </w:tc>
        <w:tc>
          <w:p/>
        </w:tc>
        <w:tc>
          <w:p/>
        </w:tc>
        <w:tc>
          <w:p>
            <w:pPr>
              <w:pStyle w:val="Compact"/>
              <w:jc w:val="left"/>
            </w:pPr>
            <w:r>
              <w:t xml:space="preserve">146 (0.8)</w:t>
            </w:r>
          </w:p>
        </w:tc>
      </w:tr>
      <w:tr>
        <w:tc>
          <w:p>
            <w:pPr>
              <w:pStyle w:val="Compact"/>
              <w:jc w:val="left"/>
            </w:pPr>
            <w:r>
              <w:t xml:space="preserve">Cemented stem</w:t>
            </w:r>
          </w:p>
        </w:tc>
        <w:tc>
          <w:p/>
        </w:tc>
        <w:tc>
          <w:p>
            <w:pPr>
              <w:pStyle w:val="Compact"/>
              <w:jc w:val="left"/>
            </w:pPr>
            <w:r>
              <w:t xml:space="preserve">1600 ( 73.6)</w:t>
            </w:r>
          </w:p>
        </w:tc>
        <w:tc>
          <w:p>
            <w:pPr>
              <w:pStyle w:val="Compact"/>
              <w:jc w:val="left"/>
            </w:pPr>
            <w:r>
              <w:t xml:space="preserve">59777 ( 69.0)</w:t>
            </w:r>
          </w:p>
        </w:tc>
        <w:tc>
          <w:p>
            <w:pPr>
              <w:pStyle w:val="Compact"/>
              <w:jc w:val="left"/>
            </w:pPr>
            <w:r>
              <w:t xml:space="preserve">61377 ( 69.1)</w:t>
            </w:r>
          </w:p>
        </w:tc>
        <w:tc>
          <w:p>
            <w:pPr>
              <w:pStyle w:val="Compact"/>
              <w:jc w:val="left"/>
            </w:pPr>
            <w:r>
              <w:t xml:space="preserve">106 (25.9)</w:t>
            </w:r>
          </w:p>
        </w:tc>
        <w:tc>
          <w:p>
            <w:pPr>
              <w:pStyle w:val="Compact"/>
              <w:jc w:val="left"/>
            </w:pPr>
            <w:r>
              <w:t xml:space="preserve">4933 (26.7)</w:t>
            </w:r>
          </w:p>
        </w:tc>
        <w:tc>
          <w:p>
            <w:pPr>
              <w:pStyle w:val="Compact"/>
              <w:jc w:val="left"/>
            </w:pPr>
            <w:r>
              <w:t xml:space="preserve">5039 (26.7)</w:t>
            </w:r>
          </w:p>
        </w:tc>
      </w:tr>
      <w:tr>
        <w:tc>
          <w:p>
            <w:pPr>
              <w:pStyle w:val="Compact"/>
              <w:jc w:val="left"/>
            </w:pPr>
            <w:r>
              <w:t xml:space="preserve">Cemented cup</w:t>
            </w:r>
          </w:p>
        </w:tc>
        <w:tc>
          <w:p/>
        </w:tc>
        <w:tc>
          <w:p>
            <w:pPr>
              <w:pStyle w:val="Compact"/>
              <w:jc w:val="left"/>
            </w:pPr>
            <w:r>
              <w:t xml:space="preserve">1739 ( 80.0)</w:t>
            </w:r>
          </w:p>
        </w:tc>
        <w:tc>
          <w:p>
            <w:pPr>
              <w:pStyle w:val="Compact"/>
              <w:jc w:val="left"/>
            </w:pPr>
            <w:r>
              <w:t xml:space="preserve">68147 ( 78.6)</w:t>
            </w:r>
          </w:p>
        </w:tc>
        <w:tc>
          <w:p>
            <w:pPr>
              <w:pStyle w:val="Compact"/>
              <w:jc w:val="left"/>
            </w:pPr>
            <w:r>
              <w:t xml:space="preserve">69886 ( 78.7)</w:t>
            </w:r>
          </w:p>
        </w:tc>
        <w:tc>
          <w:p>
            <w:pPr>
              <w:pStyle w:val="Compact"/>
              <w:jc w:val="left"/>
            </w:pPr>
            <w:r>
              <w:t xml:space="preserve">45 (11.0)</w:t>
            </w:r>
          </w:p>
        </w:tc>
        <w:tc>
          <w:p>
            <w:pPr>
              <w:pStyle w:val="Compact"/>
              <w:jc w:val="left"/>
            </w:pPr>
            <w:r>
              <w:t xml:space="preserve">1456 (7.9)</w:t>
            </w:r>
          </w:p>
        </w:tc>
        <w:tc>
          <w:p>
            <w:pPr>
              <w:pStyle w:val="Compact"/>
              <w:jc w:val="left"/>
            </w:pPr>
            <w:r>
              <w:t xml:space="preserve">1501 (8.0)</w:t>
            </w:r>
          </w:p>
        </w:tc>
      </w:tr>
      <w:tr>
        <w:tc>
          <w:p>
            <w:pPr>
              <w:pStyle w:val="Compact"/>
              <w:jc w:val="left"/>
            </w:pPr>
            <w:r>
              <w:t xml:space="preserve">Hospital</w:t>
            </w:r>
          </w:p>
        </w:tc>
        <w:tc>
          <w:p>
            <w:pPr>
              <w:pStyle w:val="Compact"/>
              <w:jc w:val="left"/>
            </w:pPr>
            <w:r>
              <w:t xml:space="preserve">university</w:t>
            </w:r>
          </w:p>
        </w:tc>
        <w:tc>
          <w:p>
            <w:pPr>
              <w:pStyle w:val="Compact"/>
              <w:jc w:val="left"/>
            </w:pPr>
            <w:r>
              <w:t xml:space="preserve">776 ( 35.7)</w:t>
            </w:r>
          </w:p>
        </w:tc>
        <w:tc>
          <w:p>
            <w:pPr>
              <w:pStyle w:val="Compact"/>
              <w:jc w:val="left"/>
            </w:pPr>
            <w:r>
              <w:t xml:space="preserve">33162 ( 38.3)</w:t>
            </w:r>
          </w:p>
        </w:tc>
        <w:tc>
          <w:p>
            <w:pPr>
              <w:pStyle w:val="Compact"/>
              <w:jc w:val="left"/>
            </w:pPr>
            <w:r>
              <w:t xml:space="preserve">33938 ( 38.2)</w:t>
            </w:r>
          </w:p>
        </w:tc>
        <w:tc>
          <w:p/>
        </w:tc>
        <w:tc>
          <w:p/>
        </w:tc>
        <w:tc>
          <w:p/>
        </w:tc>
      </w:tr>
      <w:tr>
        <w:tc>
          <w:p/>
        </w:tc>
        <w:tc>
          <w:p>
            <w:pPr>
              <w:pStyle w:val="Compact"/>
              <w:jc w:val="left"/>
            </w:pPr>
            <w:r>
              <w:t xml:space="preserve">county</w:t>
            </w:r>
          </w:p>
        </w:tc>
        <w:tc>
          <w:p>
            <w:pPr>
              <w:pStyle w:val="Compact"/>
              <w:jc w:val="left"/>
            </w:pPr>
            <w:r>
              <w:t xml:space="preserve">851 ( 39.2)</w:t>
            </w:r>
          </w:p>
        </w:tc>
        <w:tc>
          <w:p>
            <w:pPr>
              <w:pStyle w:val="Compact"/>
              <w:jc w:val="left"/>
            </w:pPr>
            <w:r>
              <w:t xml:space="preserve">28369 ( 32.7)</w:t>
            </w:r>
          </w:p>
        </w:tc>
        <w:tc>
          <w:p>
            <w:pPr>
              <w:pStyle w:val="Compact"/>
              <w:jc w:val="left"/>
            </w:pPr>
            <w:r>
              <w:t xml:space="preserve">29220 ( 32.9)</w:t>
            </w:r>
          </w:p>
        </w:tc>
        <w:tc>
          <w:p/>
        </w:tc>
        <w:tc>
          <w:p/>
        </w:tc>
        <w:tc>
          <w:p/>
        </w:tc>
      </w:tr>
      <w:tr>
        <w:tc>
          <w:p/>
        </w:tc>
        <w:tc>
          <w:p>
            <w:pPr>
              <w:pStyle w:val="Compact"/>
              <w:jc w:val="left"/>
            </w:pPr>
            <w:r>
              <w:t xml:space="preserve">rural</w:t>
            </w:r>
          </w:p>
        </w:tc>
        <w:tc>
          <w:p>
            <w:pPr>
              <w:pStyle w:val="Compact"/>
              <w:jc w:val="left"/>
            </w:pPr>
            <w:r>
              <w:t xml:space="preserve">319 ( 14.7)</w:t>
            </w:r>
          </w:p>
        </w:tc>
        <w:tc>
          <w:p>
            <w:pPr>
              <w:pStyle w:val="Compact"/>
              <w:jc w:val="left"/>
            </w:pPr>
            <w:r>
              <w:t xml:space="preserve">17406 ( 20.1)</w:t>
            </w:r>
          </w:p>
        </w:tc>
        <w:tc>
          <w:p>
            <w:pPr>
              <w:pStyle w:val="Compact"/>
              <w:jc w:val="left"/>
            </w:pPr>
            <w:r>
              <w:t xml:space="preserve">17725 ( 20.0)</w:t>
            </w:r>
          </w:p>
        </w:tc>
        <w:tc>
          <w:p/>
        </w:tc>
        <w:tc>
          <w:p/>
        </w:tc>
        <w:tc>
          <w:p/>
        </w:tc>
      </w:tr>
      <w:tr>
        <w:tc>
          <w:p/>
        </w:tc>
        <w:tc>
          <w:p>
            <w:pPr>
              <w:pStyle w:val="Compact"/>
              <w:jc w:val="left"/>
            </w:pPr>
            <w:r>
              <w:t xml:space="preserve">private</w:t>
            </w:r>
          </w:p>
        </w:tc>
        <w:tc>
          <w:p>
            <w:pPr>
              <w:pStyle w:val="Compact"/>
              <w:jc w:val="left"/>
            </w:pPr>
            <w:r>
              <w:t xml:space="preserve">227 ( 10.4)</w:t>
            </w:r>
          </w:p>
        </w:tc>
        <w:tc>
          <w:p>
            <w:pPr>
              <w:pStyle w:val="Compact"/>
              <w:jc w:val="left"/>
            </w:pPr>
            <w:r>
              <w:t xml:space="preserve">7720 ( 8.9)</w:t>
            </w:r>
          </w:p>
        </w:tc>
        <w:tc>
          <w:p>
            <w:pPr>
              <w:pStyle w:val="Compact"/>
              <w:jc w:val="left"/>
            </w:pPr>
            <w:r>
              <w:t xml:space="preserve">7947 ( 8.9)</w:t>
            </w:r>
          </w:p>
        </w:tc>
        <w:tc>
          <w:p/>
        </w:tc>
        <w:tc>
          <w:p/>
        </w:tc>
        <w:tc>
          <w:p/>
        </w:tc>
      </w:tr>
      <w:tr>
        <w:tc>
          <w:p>
            <w:pPr>
              <w:pStyle w:val="Compact"/>
              <w:jc w:val="left"/>
            </w:pPr>
            <w:r>
              <w:t xml:space="preserve">Education</w:t>
            </w:r>
          </w:p>
        </w:tc>
        <w:tc>
          <w:p>
            <w:pPr>
              <w:pStyle w:val="Compact"/>
              <w:jc w:val="left"/>
            </w:pPr>
            <w:r>
              <w:t xml:space="preserve">low</w:t>
            </w:r>
          </w:p>
        </w:tc>
        <w:tc>
          <w:p>
            <w:pPr>
              <w:pStyle w:val="Compact"/>
              <w:jc w:val="left"/>
            </w:pPr>
            <w:r>
              <w:t xml:space="preserve">453 ( 20.8)</w:t>
            </w:r>
          </w:p>
        </w:tc>
        <w:tc>
          <w:p>
            <w:pPr>
              <w:pStyle w:val="Compact"/>
              <w:jc w:val="left"/>
            </w:pPr>
            <w:r>
              <w:t xml:space="preserve">22207 ( 25.6)</w:t>
            </w:r>
          </w:p>
        </w:tc>
        <w:tc>
          <w:p>
            <w:pPr>
              <w:pStyle w:val="Compact"/>
              <w:jc w:val="left"/>
            </w:pPr>
            <w:r>
              <w:t xml:space="preserve">22660 ( 25.5)</w:t>
            </w:r>
          </w:p>
        </w:tc>
        <w:tc>
          <w:p>
            <w:pPr>
              <w:pStyle w:val="Compact"/>
              <w:jc w:val="left"/>
            </w:pPr>
            <w:r>
              <w:t xml:space="preserve">164 (40.0)</w:t>
            </w:r>
          </w:p>
        </w:tc>
        <w:tc>
          <w:p>
            <w:pPr>
              <w:pStyle w:val="Compact"/>
              <w:jc w:val="left"/>
            </w:pPr>
            <w:r>
              <w:t xml:space="preserve">5994 (32.5)</w:t>
            </w:r>
          </w:p>
        </w:tc>
        <w:tc>
          <w:p>
            <w:pPr>
              <w:pStyle w:val="Compact"/>
              <w:jc w:val="left"/>
            </w:pPr>
            <w:r>
              <w:t xml:space="preserve">6158 (32.7)</w:t>
            </w:r>
          </w:p>
        </w:tc>
      </w:tr>
      <w:tr>
        <w:tc>
          <w:p/>
        </w:tc>
        <w:tc>
          <w:p>
            <w:pPr>
              <w:pStyle w:val="Compact"/>
              <w:jc w:val="left"/>
            </w:pPr>
            <w:r>
              <w:t xml:space="preserve">middle</w:t>
            </w:r>
          </w:p>
        </w:tc>
        <w:tc>
          <w:p>
            <w:pPr>
              <w:pStyle w:val="Compact"/>
              <w:jc w:val="left"/>
            </w:pPr>
            <w:r>
              <w:t xml:space="preserve">814 ( 37.5)</w:t>
            </w:r>
          </w:p>
        </w:tc>
        <w:tc>
          <w:p>
            <w:pPr>
              <w:pStyle w:val="Compact"/>
              <w:jc w:val="left"/>
            </w:pPr>
            <w:r>
              <w:t xml:space="preserve">28509 ( 32.9)</w:t>
            </w:r>
          </w:p>
        </w:tc>
        <w:tc>
          <w:p>
            <w:pPr>
              <w:pStyle w:val="Compact"/>
              <w:jc w:val="left"/>
            </w:pPr>
            <w:r>
              <w:t xml:space="preserve">29323 ( 33.0)</w:t>
            </w:r>
          </w:p>
        </w:tc>
        <w:tc>
          <w:p>
            <w:pPr>
              <w:pStyle w:val="Compact"/>
              <w:jc w:val="left"/>
            </w:pPr>
            <w:r>
              <w:t xml:space="preserve">163 (39.8)</w:t>
            </w:r>
          </w:p>
        </w:tc>
        <w:tc>
          <w:p>
            <w:pPr>
              <w:pStyle w:val="Compact"/>
              <w:jc w:val="left"/>
            </w:pPr>
            <w:r>
              <w:t xml:space="preserve">8409 (45.6)</w:t>
            </w:r>
          </w:p>
        </w:tc>
        <w:tc>
          <w:p>
            <w:pPr>
              <w:pStyle w:val="Compact"/>
              <w:jc w:val="left"/>
            </w:pPr>
            <w:r>
              <w:t xml:space="preserve">8572 (45.5)</w:t>
            </w:r>
          </w:p>
        </w:tc>
      </w:tr>
      <w:tr>
        <w:tc>
          <w:p/>
        </w:tc>
        <w:tc>
          <w:p>
            <w:pPr>
              <w:pStyle w:val="Compact"/>
              <w:jc w:val="left"/>
            </w:pPr>
            <w:r>
              <w:t xml:space="preserve">high</w:t>
            </w:r>
          </w:p>
        </w:tc>
        <w:tc>
          <w:p>
            <w:pPr>
              <w:pStyle w:val="Compact"/>
              <w:jc w:val="left"/>
            </w:pPr>
            <w:r>
              <w:t xml:space="preserve">906 ( 41.7)</w:t>
            </w:r>
          </w:p>
        </w:tc>
        <w:tc>
          <w:p>
            <w:pPr>
              <w:pStyle w:val="Compact"/>
              <w:jc w:val="left"/>
            </w:pPr>
            <w:r>
              <w:t xml:space="preserve">35941 ( 41.5)</w:t>
            </w:r>
          </w:p>
        </w:tc>
        <w:tc>
          <w:p>
            <w:pPr>
              <w:pStyle w:val="Compact"/>
              <w:jc w:val="left"/>
            </w:pPr>
            <w:r>
              <w:t xml:space="preserve">36847 ( 41.5)</w:t>
            </w:r>
          </w:p>
        </w:tc>
        <w:tc>
          <w:p>
            <w:pPr>
              <w:pStyle w:val="Compact"/>
              <w:jc w:val="left"/>
            </w:pPr>
            <w:r>
              <w:t xml:space="preserve">83 (20.2)</w:t>
            </w:r>
          </w:p>
        </w:tc>
        <w:tc>
          <w:p>
            <w:pPr>
              <w:pStyle w:val="Compact"/>
              <w:jc w:val="left"/>
            </w:pPr>
            <w:r>
              <w:t xml:space="preserve">4041 (21.9)</w:t>
            </w:r>
          </w:p>
        </w:tc>
        <w:tc>
          <w:p>
            <w:pPr>
              <w:pStyle w:val="Compact"/>
              <w:jc w:val="left"/>
            </w:pPr>
            <w:r>
              <w:t xml:space="preserve">4124 (21.9)</w:t>
            </w:r>
          </w:p>
        </w:tc>
      </w:tr>
      <w:tr>
        <w:tc>
          <w:p>
            <w:pPr>
              <w:pStyle w:val="Compact"/>
              <w:jc w:val="left"/>
            </w:pPr>
            <w:r>
              <w:t xml:space="preserve">Civil status</w:t>
            </w:r>
          </w:p>
        </w:tc>
        <w:tc>
          <w:p>
            <w:pPr>
              <w:pStyle w:val="Compact"/>
              <w:jc w:val="left"/>
            </w:pPr>
            <w:r>
              <w:t xml:space="preserve">married</w:t>
            </w:r>
          </w:p>
        </w:tc>
        <w:tc>
          <w:p>
            <w:pPr>
              <w:pStyle w:val="Compact"/>
              <w:jc w:val="left"/>
            </w:pPr>
            <w:r>
              <w:t xml:space="preserve">1134 ( 52.2)</w:t>
            </w:r>
          </w:p>
        </w:tc>
        <w:tc>
          <w:p>
            <w:pPr>
              <w:pStyle w:val="Compact"/>
              <w:jc w:val="left"/>
            </w:pPr>
            <w:r>
              <w:t xml:space="preserve">47999 ( 55.4)</w:t>
            </w:r>
          </w:p>
        </w:tc>
        <w:tc>
          <w:p>
            <w:pPr>
              <w:pStyle w:val="Compact"/>
              <w:jc w:val="left"/>
            </w:pPr>
            <w:r>
              <w:t xml:space="preserve">49133 ( 55.3)</w:t>
            </w:r>
          </w:p>
        </w:tc>
        <w:tc>
          <w:p>
            <w:pPr>
              <w:pStyle w:val="Compact"/>
              <w:jc w:val="left"/>
            </w:pPr>
            <w:r>
              <w:t xml:space="preserve">204 (49.8)</w:t>
            </w:r>
          </w:p>
        </w:tc>
        <w:tc>
          <w:p>
            <w:pPr>
              <w:pStyle w:val="Compact"/>
              <w:jc w:val="left"/>
            </w:pPr>
            <w:r>
              <w:t xml:space="preserve">10724 (58.1)</w:t>
            </w:r>
          </w:p>
        </w:tc>
        <w:tc>
          <w:p>
            <w:pPr>
              <w:pStyle w:val="Compact"/>
              <w:jc w:val="left"/>
            </w:pPr>
            <w:r>
              <w:t xml:space="preserve">10928 (58.0)</w:t>
            </w:r>
          </w:p>
        </w:tc>
      </w:tr>
      <w:tr>
        <w:tc>
          <w:p/>
        </w:tc>
        <w:tc>
          <w:p>
            <w:pPr>
              <w:pStyle w:val="Compact"/>
              <w:jc w:val="left"/>
            </w:pPr>
            <w:r>
              <w:t xml:space="preserve">single</w:t>
            </w:r>
          </w:p>
        </w:tc>
        <w:tc>
          <w:p>
            <w:pPr>
              <w:pStyle w:val="Compact"/>
              <w:jc w:val="left"/>
            </w:pPr>
            <w:r>
              <w:t xml:space="preserve">647 ( 29.8)</w:t>
            </w:r>
          </w:p>
        </w:tc>
        <w:tc>
          <w:p>
            <w:pPr>
              <w:pStyle w:val="Compact"/>
              <w:jc w:val="left"/>
            </w:pPr>
            <w:r>
              <w:t xml:space="preserve">25283 ( 29.2)</w:t>
            </w:r>
          </w:p>
        </w:tc>
        <w:tc>
          <w:p>
            <w:pPr>
              <w:pStyle w:val="Compact"/>
              <w:jc w:val="left"/>
            </w:pPr>
            <w:r>
              <w:t xml:space="preserve">25930 ( 29.2)</w:t>
            </w:r>
          </w:p>
        </w:tc>
        <w:tc>
          <w:p>
            <w:pPr>
              <w:pStyle w:val="Compact"/>
              <w:jc w:val="left"/>
            </w:pPr>
            <w:r>
              <w:t xml:space="preserve">123 (30.0)</w:t>
            </w:r>
          </w:p>
        </w:tc>
        <w:tc>
          <w:p>
            <w:pPr>
              <w:pStyle w:val="Compact"/>
              <w:jc w:val="left"/>
            </w:pPr>
            <w:r>
              <w:t xml:space="preserve">4393 (23.8)</w:t>
            </w:r>
          </w:p>
        </w:tc>
        <w:tc>
          <w:p>
            <w:pPr>
              <w:pStyle w:val="Compact"/>
              <w:jc w:val="left"/>
            </w:pPr>
            <w:r>
              <w:t xml:space="preserve">4516 (23.9)</w:t>
            </w:r>
          </w:p>
        </w:tc>
      </w:tr>
      <w:tr>
        <w:tc>
          <w:p/>
        </w:tc>
        <w:tc>
          <w:p>
            <w:pPr>
              <w:pStyle w:val="Compact"/>
              <w:jc w:val="left"/>
            </w:pPr>
            <w:r>
              <w:t xml:space="preserve">widow/widower</w:t>
            </w:r>
          </w:p>
        </w:tc>
        <w:tc>
          <w:p>
            <w:pPr>
              <w:pStyle w:val="Compact"/>
              <w:jc w:val="left"/>
            </w:pPr>
            <w:r>
              <w:t xml:space="preserve">392 ( 18.0)</w:t>
            </w:r>
          </w:p>
        </w:tc>
        <w:tc>
          <w:p>
            <w:pPr>
              <w:pStyle w:val="Compact"/>
              <w:jc w:val="left"/>
            </w:pPr>
            <w:r>
              <w:t xml:space="preserve">13375 ( 15.4)</w:t>
            </w:r>
          </w:p>
        </w:tc>
        <w:tc>
          <w:p>
            <w:pPr>
              <w:pStyle w:val="Compact"/>
              <w:jc w:val="left"/>
            </w:pPr>
            <w:r>
              <w:t xml:space="preserve">13767 ( 15.5)</w:t>
            </w:r>
          </w:p>
        </w:tc>
        <w:tc>
          <w:p>
            <w:pPr>
              <w:pStyle w:val="Compact"/>
              <w:jc w:val="left"/>
            </w:pPr>
            <w:r>
              <w:t xml:space="preserve">83 (20.2)</w:t>
            </w:r>
          </w:p>
        </w:tc>
        <w:tc>
          <w:p>
            <w:pPr>
              <w:pStyle w:val="Compact"/>
              <w:jc w:val="left"/>
            </w:pPr>
            <w:r>
              <w:t xml:space="preserve">3327 (18.0)</w:t>
            </w:r>
          </w:p>
        </w:tc>
        <w:tc>
          <w:p>
            <w:pPr>
              <w:pStyle w:val="Compact"/>
              <w:jc w:val="left"/>
            </w:pPr>
            <w:r>
              <w:t xml:space="preserve">3410 (18.1)</w:t>
            </w:r>
          </w:p>
        </w:tc>
      </w:tr>
      <w:tr>
        <w:tc>
          <w:p>
            <w:pPr>
              <w:pStyle w:val="Compact"/>
              <w:jc w:val="left"/>
            </w:pPr>
            <w:r>
              <w:t xml:space="preserve">Charlson</w:t>
            </w:r>
          </w:p>
        </w:tc>
        <w:tc>
          <w:p>
            <w:pPr>
              <w:pStyle w:val="Compact"/>
              <w:jc w:val="left"/>
            </w:pPr>
            <w:r>
              <w:t xml:space="preserve">0</w:t>
            </w:r>
          </w:p>
        </w:tc>
        <w:tc>
          <w:p>
            <w:pPr>
              <w:pStyle w:val="Compact"/>
              <w:jc w:val="left"/>
            </w:pPr>
            <w:r>
              <w:t xml:space="preserve">1413 ( 65.0)</w:t>
            </w:r>
          </w:p>
        </w:tc>
        <w:tc>
          <w:p>
            <w:pPr>
              <w:pStyle w:val="Compact"/>
              <w:jc w:val="left"/>
            </w:pPr>
            <w:r>
              <w:t xml:space="preserve">66024 ( 76.2)</w:t>
            </w:r>
          </w:p>
        </w:tc>
        <w:tc>
          <w:p>
            <w:pPr>
              <w:pStyle w:val="Compact"/>
              <w:jc w:val="left"/>
            </w:pPr>
            <w:r>
              <w:t xml:space="preserve">67437 ( 75.9)</w:t>
            </w:r>
          </w:p>
        </w:tc>
        <w:tc>
          <w:p>
            <w:pPr>
              <w:pStyle w:val="Compact"/>
              <w:jc w:val="left"/>
            </w:pPr>
            <w:r>
              <w:t xml:space="preserve">328 (80.0)</w:t>
            </w:r>
          </w:p>
        </w:tc>
        <w:tc>
          <w:p>
            <w:pPr>
              <w:pStyle w:val="Compact"/>
              <w:jc w:val="left"/>
            </w:pPr>
            <w:r>
              <w:t xml:space="preserve">15804 (85.7)</w:t>
            </w:r>
          </w:p>
        </w:tc>
        <w:tc>
          <w:p>
            <w:pPr>
              <w:pStyle w:val="Compact"/>
              <w:jc w:val="left"/>
            </w:pPr>
            <w:r>
              <w:t xml:space="preserve">16132 (85.6)</w:t>
            </w:r>
          </w:p>
        </w:tc>
      </w:tr>
      <w:tr>
        <w:tc>
          <w:p/>
        </w:tc>
        <w:tc>
          <w:p>
            <w:pPr>
              <w:pStyle w:val="Compact"/>
              <w:jc w:val="left"/>
            </w:pPr>
            <w:r>
              <w:t xml:space="preserve">1</w:t>
            </w:r>
          </w:p>
        </w:tc>
        <w:tc>
          <w:p>
            <w:pPr>
              <w:pStyle w:val="Compact"/>
              <w:jc w:val="left"/>
            </w:pPr>
            <w:r>
              <w:t xml:space="preserve">423 ( 19.5)</w:t>
            </w:r>
          </w:p>
        </w:tc>
        <w:tc>
          <w:p>
            <w:pPr>
              <w:pStyle w:val="Compact"/>
              <w:jc w:val="left"/>
            </w:pPr>
            <w:r>
              <w:t xml:space="preserve">12281 ( 14.2)</w:t>
            </w:r>
          </w:p>
        </w:tc>
        <w:tc>
          <w:p>
            <w:pPr>
              <w:pStyle w:val="Compact"/>
              <w:jc w:val="left"/>
            </w:pPr>
            <w:r>
              <w:t xml:space="preserve">12704 ( 14.3)</w:t>
            </w:r>
          </w:p>
        </w:tc>
        <w:tc>
          <w:p>
            <w:pPr>
              <w:pStyle w:val="Compact"/>
              <w:jc w:val="left"/>
            </w:pPr>
            <w:r>
              <w:t xml:space="preserve">63 (15.4)</w:t>
            </w:r>
          </w:p>
        </w:tc>
        <w:tc>
          <w:p>
            <w:pPr>
              <w:pStyle w:val="Compact"/>
              <w:jc w:val="left"/>
            </w:pPr>
            <w:r>
              <w:t xml:space="preserve">2180 (11.8)</w:t>
            </w:r>
          </w:p>
        </w:tc>
        <w:tc>
          <w:p>
            <w:pPr>
              <w:pStyle w:val="Compact"/>
              <w:jc w:val="left"/>
            </w:pPr>
            <w:r>
              <w:t xml:space="preserve">2243 (11.9)</w:t>
            </w:r>
          </w:p>
        </w:tc>
      </w:tr>
      <w:tr>
        <w:tc>
          <w:p/>
        </w:tc>
        <w:tc>
          <w:p>
            <w:pPr>
              <w:pStyle w:val="Compact"/>
              <w:jc w:val="left"/>
            </w:pPr>
            <w:r>
              <w:t xml:space="preserve">2+</w:t>
            </w:r>
          </w:p>
        </w:tc>
        <w:tc>
          <w:p>
            <w:pPr>
              <w:pStyle w:val="Compact"/>
              <w:jc w:val="left"/>
            </w:pPr>
            <w:r>
              <w:t xml:space="preserve">337 ( 15.5)</w:t>
            </w:r>
          </w:p>
        </w:tc>
        <w:tc>
          <w:p>
            <w:pPr>
              <w:pStyle w:val="Compact"/>
              <w:jc w:val="left"/>
            </w:pPr>
            <w:r>
              <w:t xml:space="preserve">8352 ( 9.6)</w:t>
            </w:r>
          </w:p>
        </w:tc>
        <w:tc>
          <w:p>
            <w:pPr>
              <w:pStyle w:val="Compact"/>
              <w:jc w:val="left"/>
            </w:pPr>
            <w:r>
              <w:t xml:space="preserve">8689 ( 9.8)</w:t>
            </w:r>
          </w:p>
        </w:tc>
        <w:tc>
          <w:p>
            <w:pPr>
              <w:pStyle w:val="Compact"/>
              <w:jc w:val="left"/>
            </w:pPr>
            <w:r>
              <w:t xml:space="preserve">19 (4.6)</w:t>
            </w:r>
          </w:p>
        </w:tc>
        <w:tc>
          <w:p>
            <w:pPr>
              <w:pStyle w:val="Compact"/>
              <w:jc w:val="left"/>
            </w:pPr>
            <w:r>
              <w:t xml:space="preserve">460 (2.5)</w:t>
            </w:r>
          </w:p>
        </w:tc>
        <w:tc>
          <w:p>
            <w:pPr>
              <w:pStyle w:val="Compact"/>
              <w:jc w:val="left"/>
            </w:pPr>
            <w:r>
              <w:t xml:space="preserve">479 (2.5)</w:t>
            </w:r>
          </w:p>
        </w:tc>
      </w:tr>
      <w:tr>
        <w:tc>
          <w:p>
            <w:pPr>
              <w:pStyle w:val="Compact"/>
              <w:jc w:val="left"/>
            </w:pPr>
            <w:r>
              <w:t xml:space="preserve">Elixhauser</w:t>
            </w:r>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1</w:t>
            </w:r>
          </w:p>
        </w:tc>
        <w:tc>
          <w:p>
            <w:pPr>
              <w:pStyle w:val="Compact"/>
              <w:jc w:val="left"/>
            </w:pPr>
            <w:r>
              <w:t xml:space="preserve">539 ( 24.8)</w:t>
            </w:r>
          </w:p>
        </w:tc>
        <w:tc>
          <w:p>
            <w:pPr>
              <w:pStyle w:val="Compact"/>
              <w:jc w:val="left"/>
            </w:pPr>
            <w:r>
              <w:t xml:space="preserve">20809 ( 24.0)</w:t>
            </w:r>
          </w:p>
        </w:tc>
        <w:tc>
          <w:p>
            <w:pPr>
              <w:pStyle w:val="Compact"/>
              <w:jc w:val="left"/>
            </w:pPr>
            <w:r>
              <w:t xml:space="preserve">21348 ( 24.0)</w:t>
            </w:r>
          </w:p>
        </w:tc>
        <w:tc>
          <w:p>
            <w:pPr>
              <w:pStyle w:val="Compact"/>
              <w:jc w:val="left"/>
            </w:pPr>
            <w:r>
              <w:t xml:space="preserve">77 (18.8)</w:t>
            </w:r>
          </w:p>
        </w:tc>
        <w:tc>
          <w:p>
            <w:pPr>
              <w:pStyle w:val="Compact"/>
              <w:jc w:val="left"/>
            </w:pPr>
            <w:r>
              <w:t xml:space="preserve">2639 (14.3)</w:t>
            </w:r>
          </w:p>
        </w:tc>
        <w:tc>
          <w:p>
            <w:pPr>
              <w:pStyle w:val="Compact"/>
              <w:jc w:val="left"/>
            </w:pPr>
            <w:r>
              <w:t xml:space="preserve">2716 (14.4)</w:t>
            </w:r>
          </w:p>
        </w:tc>
      </w:tr>
      <w:tr>
        <w:tc>
          <w:p/>
        </w:tc>
        <w:tc>
          <w:p>
            <w:pPr>
              <w:pStyle w:val="Compact"/>
              <w:jc w:val="left"/>
            </w:pPr>
            <w:r>
              <w:t xml:space="preserve">2</w:t>
            </w:r>
          </w:p>
        </w:tc>
        <w:tc>
          <w:p>
            <w:pPr>
              <w:pStyle w:val="Compact"/>
              <w:jc w:val="left"/>
            </w:pPr>
            <w:r>
              <w:t xml:space="preserve">372 ( 17.1)</w:t>
            </w:r>
          </w:p>
        </w:tc>
        <w:tc>
          <w:p>
            <w:pPr>
              <w:pStyle w:val="Compact"/>
              <w:jc w:val="left"/>
            </w:pPr>
            <w:r>
              <w:t xml:space="preserve">10362 ( 12.0)</w:t>
            </w:r>
          </w:p>
        </w:tc>
        <w:tc>
          <w:p>
            <w:pPr>
              <w:pStyle w:val="Compact"/>
              <w:jc w:val="left"/>
            </w:pPr>
            <w:r>
              <w:t xml:space="preserve">10734 ( 12.1)</w:t>
            </w:r>
          </w:p>
        </w:tc>
        <w:tc>
          <w:p>
            <w:pPr>
              <w:pStyle w:val="Compact"/>
              <w:jc w:val="left"/>
            </w:pPr>
            <w:r>
              <w:t xml:space="preserve">35 (8.5)</w:t>
            </w:r>
          </w:p>
        </w:tc>
        <w:tc>
          <w:p>
            <w:pPr>
              <w:pStyle w:val="Compact"/>
              <w:jc w:val="left"/>
            </w:pPr>
            <w:r>
              <w:t xml:space="preserve">865 (4.7)</w:t>
            </w:r>
          </w:p>
        </w:tc>
        <w:tc>
          <w:p>
            <w:pPr>
              <w:pStyle w:val="Compact"/>
              <w:jc w:val="left"/>
            </w:pPr>
            <w:r>
              <w:t xml:space="preserve">900 (4.8)</w:t>
            </w:r>
          </w:p>
        </w:tc>
      </w:tr>
      <w:tr>
        <w:tc>
          <w:p/>
        </w:tc>
        <w:tc>
          <w:p>
            <w:pPr>
              <w:pStyle w:val="Compact"/>
              <w:jc w:val="left"/>
            </w:pPr>
            <w:r>
              <w:t xml:space="preserve">3+</w:t>
            </w:r>
          </w:p>
        </w:tc>
        <w:tc>
          <w:p>
            <w:pPr>
              <w:pStyle w:val="Compact"/>
              <w:jc w:val="left"/>
            </w:pPr>
            <w:r>
              <w:t xml:space="preserve">316 ( 14.5)</w:t>
            </w:r>
          </w:p>
        </w:tc>
        <w:tc>
          <w:p>
            <w:pPr>
              <w:pStyle w:val="Compact"/>
              <w:jc w:val="left"/>
            </w:pPr>
            <w:r>
              <w:t xml:space="preserve">6219 ( 7.2)</w:t>
            </w:r>
          </w:p>
        </w:tc>
        <w:tc>
          <w:p>
            <w:pPr>
              <w:pStyle w:val="Compact"/>
              <w:jc w:val="left"/>
            </w:pPr>
            <w:r>
              <w:t xml:space="preserve">6535 ( 7.4)</w:t>
            </w:r>
          </w:p>
        </w:tc>
        <w:tc>
          <w:p>
            <w:pPr>
              <w:pStyle w:val="Compact"/>
              <w:jc w:val="left"/>
            </w:pPr>
            <w:r>
              <w:t xml:space="preserve">18 (4.4)</w:t>
            </w:r>
          </w:p>
        </w:tc>
        <w:tc>
          <w:p>
            <w:pPr>
              <w:pStyle w:val="Compact"/>
              <w:jc w:val="left"/>
            </w:pPr>
            <w:r>
              <w:t xml:space="preserve">467 (2.5)</w:t>
            </w:r>
          </w:p>
        </w:tc>
        <w:tc>
          <w:p>
            <w:pPr>
              <w:pStyle w:val="Compact"/>
              <w:jc w:val="left"/>
            </w:pPr>
            <w:r>
              <w:t xml:space="preserve">485 (2.6)</w:t>
            </w:r>
          </w:p>
        </w:tc>
      </w:tr>
      <w:tr>
        <w:tc>
          <w:p>
            <w:pPr>
              <w:pStyle w:val="Compact"/>
              <w:jc w:val="left"/>
            </w:pPr>
            <w:r>
              <w:t xml:space="preserve">RxRiskV</w:t>
            </w:r>
          </w:p>
        </w:tc>
        <w:tc>
          <w:p>
            <w:pPr>
              <w:pStyle w:val="Compact"/>
              <w:jc w:val="left"/>
            </w:pPr>
            <w:r>
              <w:t xml:space="preserve">-5-0</w:t>
            </w:r>
          </w:p>
        </w:tc>
        <w:tc>
          <w:p>
            <w:pPr>
              <w:pStyle w:val="Compact"/>
              <w:jc w:val="left"/>
            </w:pPr>
            <w:r>
              <w:t xml:space="preserve">448 ( 20.6)</w:t>
            </w:r>
          </w:p>
        </w:tc>
        <w:tc>
          <w:p>
            <w:pPr>
              <w:pStyle w:val="Compact"/>
              <w:jc w:val="left"/>
            </w:pPr>
            <w:r>
              <w:t xml:space="preserve">25508 ( 29.4)</w:t>
            </w:r>
          </w:p>
        </w:tc>
        <w:tc>
          <w:p>
            <w:pPr>
              <w:pStyle w:val="Compact"/>
              <w:jc w:val="left"/>
            </w:pPr>
            <w:r>
              <w:t xml:space="preserve">25956 ( 29.2)</w:t>
            </w:r>
          </w:p>
        </w:tc>
        <w:tc>
          <w:p>
            <w:pPr>
              <w:pStyle w:val="Compact"/>
              <w:jc w:val="left"/>
            </w:pPr>
            <w:r>
              <w:t xml:space="preserve">123 (30.0)</w:t>
            </w:r>
          </w:p>
        </w:tc>
        <w:tc>
          <w:p>
            <w:pPr>
              <w:pStyle w:val="Compact"/>
              <w:jc w:val="left"/>
            </w:pPr>
            <w:r>
              <w:t xml:space="preserve">8106 (43.9)</w:t>
            </w:r>
          </w:p>
        </w:tc>
        <w:tc>
          <w:p>
            <w:pPr>
              <w:pStyle w:val="Compact"/>
              <w:jc w:val="left"/>
            </w:pPr>
            <w:r>
              <w:t xml:space="preserve">8229 (43.6)</w:t>
            </w:r>
          </w:p>
        </w:tc>
      </w:tr>
      <w:tr>
        <w:tc>
          <w:p/>
        </w:tc>
        <w:tc>
          <w:p>
            <w:pPr>
              <w:pStyle w:val="Compact"/>
              <w:jc w:val="left"/>
            </w:pPr>
            <w:r>
              <w:t xml:space="preserve">1-3</w:t>
            </w:r>
          </w:p>
        </w:tc>
        <w:tc>
          <w:p>
            <w:pPr>
              <w:pStyle w:val="Compact"/>
              <w:jc w:val="left"/>
            </w:pPr>
            <w:r>
              <w:t xml:space="preserve">711 ( 32.7)</w:t>
            </w:r>
          </w:p>
        </w:tc>
        <w:tc>
          <w:p>
            <w:pPr>
              <w:pStyle w:val="Compact"/>
              <w:jc w:val="left"/>
            </w:pPr>
            <w:r>
              <w:t xml:space="preserve">30846 ( 35.6)</w:t>
            </w:r>
          </w:p>
        </w:tc>
        <w:tc>
          <w:p>
            <w:pPr>
              <w:pStyle w:val="Compact"/>
              <w:jc w:val="left"/>
            </w:pPr>
            <w:r>
              <w:t xml:space="preserve">31557 ( 35.5)</w:t>
            </w:r>
          </w:p>
        </w:tc>
        <w:tc>
          <w:p>
            <w:pPr>
              <w:pStyle w:val="Compact"/>
              <w:jc w:val="left"/>
            </w:pPr>
            <w:r>
              <w:t xml:space="preserve">153 (37.3)</w:t>
            </w:r>
          </w:p>
        </w:tc>
        <w:tc>
          <w:p>
            <w:pPr>
              <w:pStyle w:val="Compact"/>
              <w:jc w:val="left"/>
            </w:pPr>
            <w:r>
              <w:t xml:space="preserve">6277 (34.0)</w:t>
            </w:r>
          </w:p>
        </w:tc>
        <w:tc>
          <w:p>
            <w:pPr>
              <w:pStyle w:val="Compact"/>
              <w:jc w:val="left"/>
            </w:pPr>
            <w:r>
              <w:t xml:space="preserve">6430 (34.1)</w:t>
            </w:r>
          </w:p>
        </w:tc>
      </w:tr>
      <w:tr>
        <w:tc>
          <w:p/>
        </w:tc>
        <w:tc>
          <w:p>
            <w:pPr>
              <w:pStyle w:val="Compact"/>
              <w:jc w:val="left"/>
            </w:pPr>
            <w:r>
              <w:t xml:space="preserve">4-6</w:t>
            </w:r>
          </w:p>
        </w:tc>
        <w:tc>
          <w:p>
            <w:pPr>
              <w:pStyle w:val="Compact"/>
              <w:jc w:val="left"/>
            </w:pPr>
            <w:r>
              <w:t xml:space="preserve">547 ( 25.2)</w:t>
            </w:r>
          </w:p>
        </w:tc>
        <w:tc>
          <w:p>
            <w:pPr>
              <w:pStyle w:val="Compact"/>
              <w:jc w:val="left"/>
            </w:pPr>
            <w:r>
              <w:t xml:space="preserve">19304 ( 22.3)</w:t>
            </w:r>
          </w:p>
        </w:tc>
        <w:tc>
          <w:p>
            <w:pPr>
              <w:pStyle w:val="Compact"/>
              <w:jc w:val="left"/>
            </w:pPr>
            <w:r>
              <w:t xml:space="preserve">19851 ( 22.3)</w:t>
            </w:r>
          </w:p>
        </w:tc>
        <w:tc>
          <w:p>
            <w:pPr>
              <w:pStyle w:val="Compact"/>
              <w:jc w:val="left"/>
            </w:pPr>
            <w:r>
              <w:t xml:space="preserve">86 (21.0)</w:t>
            </w:r>
          </w:p>
        </w:tc>
        <w:tc>
          <w:p>
            <w:pPr>
              <w:pStyle w:val="Compact"/>
              <w:jc w:val="left"/>
            </w:pPr>
            <w:r>
              <w:t xml:space="preserve">2684 (14.6)</w:t>
            </w:r>
          </w:p>
        </w:tc>
        <w:tc>
          <w:p>
            <w:pPr>
              <w:pStyle w:val="Compact"/>
              <w:jc w:val="left"/>
            </w:pPr>
            <w:r>
              <w:t xml:space="preserve">2770 (14.7)</w:t>
            </w:r>
          </w:p>
        </w:tc>
      </w:tr>
      <w:tr>
        <w:tc>
          <w:p/>
        </w:tc>
        <w:tc>
          <w:p>
            <w:pPr>
              <w:pStyle w:val="Compact"/>
              <w:jc w:val="left"/>
            </w:pPr>
            <w:r>
              <w:t xml:space="preserve">7+</w:t>
            </w:r>
          </w:p>
        </w:tc>
        <w:tc>
          <w:p>
            <w:pPr>
              <w:pStyle w:val="Compact"/>
              <w:jc w:val="left"/>
            </w:pPr>
            <w:r>
              <w:t xml:space="preserve">467 ( 21.5)</w:t>
            </w:r>
          </w:p>
        </w:tc>
        <w:tc>
          <w:p>
            <w:pPr>
              <w:pStyle w:val="Compact"/>
              <w:jc w:val="left"/>
            </w:pPr>
            <w:r>
              <w:t xml:space="preserve">10999 ( 12.7)</w:t>
            </w:r>
          </w:p>
        </w:tc>
        <w:tc>
          <w:p>
            <w:pPr>
              <w:pStyle w:val="Compact"/>
              <w:jc w:val="left"/>
            </w:pPr>
            <w:r>
              <w:t xml:space="preserve">11466 ( 12.9)</w:t>
            </w:r>
          </w:p>
        </w:tc>
        <w:tc>
          <w:p>
            <w:pPr>
              <w:pStyle w:val="Compact"/>
              <w:jc w:val="left"/>
            </w:pPr>
            <w:r>
              <w:t xml:space="preserve">48 (11.7)</w:t>
            </w:r>
          </w:p>
        </w:tc>
        <w:tc>
          <w:p>
            <w:pPr>
              <w:pStyle w:val="Compact"/>
              <w:jc w:val="left"/>
            </w:pPr>
            <w:r>
              <w:t xml:space="preserve">1377 (7.5)</w:t>
            </w:r>
          </w:p>
        </w:tc>
        <w:tc>
          <w:p>
            <w:pPr>
              <w:pStyle w:val="Compact"/>
              <w:jc w:val="left"/>
            </w:pPr>
            <w:r>
              <w:t xml:space="preserve">1425 (7.6)</w:t>
            </w:r>
          </w:p>
        </w:tc>
      </w:tr>
      <w:tr>
        <w:tc>
          <w:p>
            <w:pPr>
              <w:pStyle w:val="Compact"/>
              <w:jc w:val="left"/>
            </w:pPr>
            <w:r>
              <w:t xml:space="preserve">AIDS/HIV</w:t>
            </w:r>
          </w:p>
        </w:tc>
        <w:tc>
          <w:p/>
        </w:tc>
        <w:tc>
          <w:p>
            <w:pPr>
              <w:pStyle w:val="Compact"/>
              <w:jc w:val="left"/>
            </w:pPr>
            <w:r>
              <w:t xml:space="preserve">1 ( 0.0)</w:t>
            </w:r>
          </w:p>
        </w:tc>
        <w:tc>
          <w:p>
            <w:pPr>
              <w:pStyle w:val="Compact"/>
              <w:jc w:val="left"/>
            </w:pPr>
            <w:r>
              <w:t xml:space="preserve">15 ( 0.0)</w:t>
            </w:r>
          </w:p>
        </w:tc>
        <w:tc>
          <w:p>
            <w:pPr>
              <w:pStyle w:val="Compact"/>
              <w:jc w:val="left"/>
            </w:pPr>
            <w:r>
              <w:t xml:space="preserve">16 ( 0.0)</w:t>
            </w:r>
          </w:p>
        </w:tc>
        <w:tc>
          <w:p>
            <w:pPr>
              <w:pStyle w:val="Compact"/>
              <w:jc w:val="left"/>
            </w:pPr>
            <w:r>
              <w:t xml:space="preserve">0 (0.0)</w:t>
            </w:r>
          </w:p>
        </w:tc>
        <w:tc>
          <w:p>
            <w:pPr>
              <w:pStyle w:val="Compact"/>
              <w:jc w:val="left"/>
            </w:pPr>
            <w:r>
              <w:t xml:space="preserve">8 (0.0)</w:t>
            </w:r>
          </w:p>
        </w:tc>
        <w:tc>
          <w:p>
            <w:pPr>
              <w:pStyle w:val="Compact"/>
              <w:jc w:val="left"/>
            </w:pPr>
            <w:r>
              <w:t xml:space="preserve">8 (0.0)</w:t>
            </w:r>
          </w:p>
        </w:tc>
      </w:tr>
      <w:tr>
        <w:tc>
          <w:p>
            <w:pPr>
              <w:pStyle w:val="Compact"/>
              <w:jc w:val="left"/>
            </w:pPr>
            <w:r>
              <w:t xml:space="preserve">Anemia</w:t>
            </w:r>
          </w:p>
        </w:tc>
        <w:tc>
          <w:p/>
        </w:tc>
        <w:tc>
          <w:p>
            <w:pPr>
              <w:pStyle w:val="Compact"/>
              <w:jc w:val="left"/>
            </w:pPr>
            <w:r>
              <w:t xml:space="preserve">20 ( 0.9)</w:t>
            </w:r>
          </w:p>
        </w:tc>
        <w:tc>
          <w:p>
            <w:pPr>
              <w:pStyle w:val="Compact"/>
              <w:jc w:val="left"/>
            </w:pPr>
            <w:r>
              <w:t xml:space="preserve">599 ( 0.7)</w:t>
            </w:r>
          </w:p>
        </w:tc>
        <w:tc>
          <w:p>
            <w:pPr>
              <w:pStyle w:val="Compact"/>
              <w:jc w:val="left"/>
            </w:pPr>
            <w:r>
              <w:t xml:space="preserve">619 ( 0.7)</w:t>
            </w:r>
          </w:p>
        </w:tc>
        <w:tc>
          <w:p>
            <w:pPr>
              <w:pStyle w:val="Compact"/>
              <w:jc w:val="left"/>
            </w:pPr>
            <w:r>
              <w:t xml:space="preserve">0 (0.0)</w:t>
            </w:r>
          </w:p>
        </w:tc>
        <w:tc>
          <w:p>
            <w:pPr>
              <w:pStyle w:val="Compact"/>
              <w:jc w:val="left"/>
            </w:pPr>
            <w:r>
              <w:t xml:space="preserve">49 (0.3)</w:t>
            </w:r>
          </w:p>
        </w:tc>
        <w:tc>
          <w:p>
            <w:pPr>
              <w:pStyle w:val="Compact"/>
              <w:jc w:val="left"/>
            </w:pPr>
            <w:r>
              <w:t xml:space="preserve">49 (0.3)</w:t>
            </w:r>
          </w:p>
        </w:tc>
      </w:tr>
      <w:tr>
        <w:tc>
          <w:p>
            <w:pPr>
              <w:pStyle w:val="Compact"/>
              <w:jc w:val="left"/>
            </w:pPr>
            <w:r>
              <w:t xml:space="preserve">Arrhythmia</w:t>
            </w:r>
          </w:p>
        </w:tc>
        <w:tc>
          <w:p/>
        </w:tc>
        <w:tc>
          <w:p>
            <w:pPr>
              <w:pStyle w:val="Compact"/>
              <w:jc w:val="left"/>
            </w:pPr>
            <w:r>
              <w:t xml:space="preserve">271 ( 12.5)</w:t>
            </w:r>
          </w:p>
        </w:tc>
        <w:tc>
          <w:p>
            <w:pPr>
              <w:pStyle w:val="Compact"/>
              <w:jc w:val="left"/>
            </w:pPr>
            <w:r>
              <w:t xml:space="preserve">6097 ( 7.0)</w:t>
            </w:r>
          </w:p>
        </w:tc>
        <w:tc>
          <w:p>
            <w:pPr>
              <w:pStyle w:val="Compact"/>
              <w:jc w:val="left"/>
            </w:pPr>
            <w:r>
              <w:t xml:space="preserve">6368 ( 7.2)</w:t>
            </w:r>
          </w:p>
        </w:tc>
        <w:tc>
          <w:p>
            <w:pPr>
              <w:pStyle w:val="Compact"/>
              <w:jc w:val="left"/>
            </w:pPr>
            <w:r>
              <w:t xml:space="preserve">28 (6.8)</w:t>
            </w:r>
          </w:p>
        </w:tc>
        <w:tc>
          <w:p>
            <w:pPr>
              <w:pStyle w:val="Compact"/>
              <w:jc w:val="left"/>
            </w:pPr>
            <w:r>
              <w:t xml:space="preserve">815 (4.4)</w:t>
            </w:r>
          </w:p>
        </w:tc>
        <w:tc>
          <w:p>
            <w:pPr>
              <w:pStyle w:val="Compact"/>
              <w:jc w:val="left"/>
            </w:pPr>
            <w:r>
              <w:t xml:space="preserve">843 (4.5)</w:t>
            </w:r>
          </w:p>
        </w:tc>
      </w:tr>
      <w:tr>
        <w:tc>
          <w:p>
            <w:pPr>
              <w:pStyle w:val="Compact"/>
              <w:jc w:val="left"/>
            </w:pPr>
            <w:r>
              <w:t xml:space="preserve">Arterial hypertension</w:t>
            </w:r>
          </w:p>
        </w:tc>
        <w:tc>
          <w:p/>
        </w:tc>
        <w:tc>
          <w:p>
            <w:pPr>
              <w:pStyle w:val="Compact"/>
              <w:jc w:val="left"/>
            </w:pPr>
            <w:r>
              <w:t xml:space="preserve">753 ( 34.7)</w:t>
            </w:r>
          </w:p>
        </w:tc>
        <w:tc>
          <w:p>
            <w:pPr>
              <w:pStyle w:val="Compact"/>
              <w:jc w:val="left"/>
            </w:pPr>
            <w:r>
              <w:t xml:space="preserve">23305 ( 26.9)</w:t>
            </w:r>
          </w:p>
        </w:tc>
        <w:tc>
          <w:p>
            <w:pPr>
              <w:pStyle w:val="Compact"/>
              <w:jc w:val="left"/>
            </w:pPr>
            <w:r>
              <w:t xml:space="preserve">24058 ( 27.1)</w:t>
            </w:r>
          </w:p>
        </w:tc>
        <w:tc>
          <w:p>
            <w:pPr>
              <w:pStyle w:val="Compact"/>
              <w:jc w:val="left"/>
            </w:pPr>
            <w:r>
              <w:t xml:space="preserve">45 (11.0)</w:t>
            </w:r>
          </w:p>
        </w:tc>
        <w:tc>
          <w:p>
            <w:pPr>
              <w:pStyle w:val="Compact"/>
              <w:jc w:val="left"/>
            </w:pPr>
            <w:r>
              <w:t xml:space="preserve">1395 (7.6)</w:t>
            </w:r>
          </w:p>
        </w:tc>
        <w:tc>
          <w:p>
            <w:pPr>
              <w:pStyle w:val="Compact"/>
              <w:jc w:val="left"/>
            </w:pPr>
            <w:r>
              <w:t xml:space="preserve">1440 (7.6)</w:t>
            </w:r>
          </w:p>
        </w:tc>
      </w:tr>
      <w:tr>
        <w:tc>
          <w:p>
            <w:pPr>
              <w:pStyle w:val="Compact"/>
              <w:jc w:val="left"/>
            </w:pPr>
            <w:r>
              <w:t xml:space="preserve">Cancer</w:t>
            </w:r>
          </w:p>
        </w:tc>
        <w:tc>
          <w:p/>
        </w:tc>
        <w:tc>
          <w:p>
            <w:pPr>
              <w:pStyle w:val="Compact"/>
              <w:jc w:val="left"/>
            </w:pPr>
            <w:r>
              <w:t xml:space="preserve">142 ( 6.5)</w:t>
            </w:r>
          </w:p>
        </w:tc>
        <w:tc>
          <w:p>
            <w:pPr>
              <w:pStyle w:val="Compact"/>
              <w:jc w:val="left"/>
            </w:pPr>
            <w:r>
              <w:t xml:space="preserve">3855 ( 4.4)</w:t>
            </w:r>
          </w:p>
        </w:tc>
        <w:tc>
          <w:p>
            <w:pPr>
              <w:pStyle w:val="Compact"/>
              <w:jc w:val="left"/>
            </w:pPr>
            <w:r>
              <w:t xml:space="preserve">3997 ( 4.5)</w:t>
            </w:r>
          </w:p>
        </w:tc>
        <w:tc>
          <w:p>
            <w:pPr>
              <w:pStyle w:val="Compact"/>
              <w:jc w:val="left"/>
            </w:pPr>
            <w:r>
              <w:t xml:space="preserve">20 (4.9)</w:t>
            </w:r>
          </w:p>
        </w:tc>
        <w:tc>
          <w:p>
            <w:pPr>
              <w:pStyle w:val="Compact"/>
              <w:jc w:val="left"/>
            </w:pPr>
            <w:r>
              <w:t xml:space="preserve">802 (4.3)</w:t>
            </w:r>
          </w:p>
        </w:tc>
        <w:tc>
          <w:p>
            <w:pPr>
              <w:pStyle w:val="Compact"/>
              <w:jc w:val="left"/>
            </w:pPr>
            <w:r>
              <w:t xml:space="preserve">822 (4.4)</w:t>
            </w:r>
          </w:p>
        </w:tc>
      </w:tr>
      <w:tr>
        <w:tc>
          <w:p>
            <w:pPr>
              <w:pStyle w:val="Compact"/>
              <w:jc w:val="left"/>
            </w:pPr>
            <w:r>
              <w:t xml:space="preserve">CNS disease</w:t>
            </w:r>
          </w:p>
        </w:tc>
        <w:tc>
          <w:p/>
        </w:tc>
        <w:tc>
          <w:p>
            <w:pPr>
              <w:pStyle w:val="Compact"/>
              <w:jc w:val="left"/>
            </w:pPr>
            <w:r>
              <w:t xml:space="preserve">166 ( 7.6)</w:t>
            </w:r>
          </w:p>
        </w:tc>
        <w:tc>
          <w:p>
            <w:pPr>
              <w:pStyle w:val="Compact"/>
              <w:jc w:val="left"/>
            </w:pPr>
            <w:r>
              <w:t xml:space="preserve">2976 ( 3.4)</w:t>
            </w:r>
          </w:p>
        </w:tc>
        <w:tc>
          <w:p>
            <w:pPr>
              <w:pStyle w:val="Compact"/>
              <w:jc w:val="left"/>
            </w:pPr>
            <w:r>
              <w:t xml:space="preserve">3142 ( 3.5)</w:t>
            </w:r>
          </w:p>
        </w:tc>
        <w:tc>
          <w:p>
            <w:pPr>
              <w:pStyle w:val="Compact"/>
              <w:jc w:val="left"/>
            </w:pPr>
            <w:r>
              <w:t xml:space="preserve">17 (4.1)</w:t>
            </w:r>
          </w:p>
        </w:tc>
        <w:tc>
          <w:p>
            <w:pPr>
              <w:pStyle w:val="Compact"/>
              <w:jc w:val="left"/>
            </w:pPr>
            <w:r>
              <w:t xml:space="preserve">293 (1.6)</w:t>
            </w:r>
          </w:p>
        </w:tc>
        <w:tc>
          <w:p>
            <w:pPr>
              <w:pStyle w:val="Compact"/>
              <w:jc w:val="left"/>
            </w:pPr>
            <w:r>
              <w:t xml:space="preserve">310 (1.6)</w:t>
            </w:r>
          </w:p>
        </w:tc>
      </w:tr>
      <w:tr>
        <w:tc>
          <w:p>
            <w:pPr>
              <w:pStyle w:val="Compact"/>
              <w:jc w:val="left"/>
            </w:pPr>
            <w:r>
              <w:t xml:space="preserve">Coagulopathy</w:t>
            </w:r>
          </w:p>
        </w:tc>
        <w:tc>
          <w:p/>
        </w:tc>
        <w:tc>
          <w:p>
            <w:pPr>
              <w:pStyle w:val="Compact"/>
              <w:jc w:val="left"/>
            </w:pPr>
            <w:r>
              <w:t xml:space="preserve">9 ( 0.4)</w:t>
            </w:r>
          </w:p>
        </w:tc>
        <w:tc>
          <w:p>
            <w:pPr>
              <w:pStyle w:val="Compact"/>
              <w:jc w:val="left"/>
            </w:pPr>
            <w:r>
              <w:t xml:space="preserve">320 ( 0.4)</w:t>
            </w:r>
          </w:p>
        </w:tc>
        <w:tc>
          <w:p>
            <w:pPr>
              <w:pStyle w:val="Compact"/>
              <w:jc w:val="left"/>
            </w:pPr>
            <w:r>
              <w:t xml:space="preserve">329 ( 0.4)</w:t>
            </w:r>
          </w:p>
        </w:tc>
        <w:tc>
          <w:p>
            <w:pPr>
              <w:pStyle w:val="Compact"/>
              <w:jc w:val="left"/>
            </w:pPr>
            <w:r>
              <w:t xml:space="preserve">0 (0.0)</w:t>
            </w:r>
          </w:p>
        </w:tc>
        <w:tc>
          <w:p>
            <w:pPr>
              <w:pStyle w:val="Compact"/>
              <w:jc w:val="left"/>
            </w:pPr>
            <w:r>
              <w:t xml:space="preserve">17 (0.1)</w:t>
            </w:r>
          </w:p>
        </w:tc>
        <w:tc>
          <w:p>
            <w:pPr>
              <w:pStyle w:val="Compact"/>
              <w:jc w:val="left"/>
            </w:pPr>
            <w:r>
              <w:t xml:space="preserve">17 (0.1)</w:t>
            </w:r>
          </w:p>
        </w:tc>
      </w:tr>
      <w:tr>
        <w:tc>
          <w:p>
            <w:pPr>
              <w:pStyle w:val="Compact"/>
              <w:jc w:val="left"/>
            </w:pPr>
            <w:r>
              <w:t xml:space="preserve">Diabetes</w:t>
            </w:r>
          </w:p>
        </w:tc>
        <w:tc>
          <w:p/>
        </w:tc>
        <w:tc>
          <w:p>
            <w:pPr>
              <w:pStyle w:val="Compact"/>
              <w:jc w:val="left"/>
            </w:pPr>
            <w:r>
              <w:t xml:space="preserve">212 ( 9.8)</w:t>
            </w:r>
          </w:p>
        </w:tc>
        <w:tc>
          <w:p>
            <w:pPr>
              <w:pStyle w:val="Compact"/>
              <w:jc w:val="left"/>
            </w:pPr>
            <w:r>
              <w:t xml:space="preserve">5761 ( 6.6)</w:t>
            </w:r>
          </w:p>
        </w:tc>
        <w:tc>
          <w:p>
            <w:pPr>
              <w:pStyle w:val="Compact"/>
              <w:jc w:val="left"/>
            </w:pPr>
            <w:r>
              <w:t xml:space="preserve">5973 ( 6.7)</w:t>
            </w:r>
          </w:p>
        </w:tc>
        <w:tc>
          <w:p>
            <w:pPr>
              <w:pStyle w:val="Compact"/>
              <w:jc w:val="left"/>
            </w:pPr>
            <w:r>
              <w:t xml:space="preserve">17 (4.1)</w:t>
            </w:r>
          </w:p>
        </w:tc>
        <w:tc>
          <w:p>
            <w:pPr>
              <w:pStyle w:val="Compact"/>
              <w:jc w:val="left"/>
            </w:pPr>
            <w:r>
              <w:t xml:space="preserve">476 (2.6)</w:t>
            </w:r>
          </w:p>
        </w:tc>
        <w:tc>
          <w:p>
            <w:pPr>
              <w:pStyle w:val="Compact"/>
              <w:jc w:val="left"/>
            </w:pPr>
            <w:r>
              <w:t xml:space="preserve">493 (2.6)</w:t>
            </w:r>
          </w:p>
        </w:tc>
      </w:tr>
      <w:tr>
        <w:tc>
          <w:p>
            <w:pPr>
              <w:pStyle w:val="Compact"/>
              <w:jc w:val="left"/>
            </w:pPr>
            <w:r>
              <w:t xml:space="preserve">Drug alcohol abuse</w:t>
            </w:r>
          </w:p>
        </w:tc>
        <w:tc>
          <w:p/>
        </w:tc>
        <w:tc>
          <w:p>
            <w:pPr>
              <w:pStyle w:val="Compact"/>
              <w:jc w:val="left"/>
            </w:pPr>
            <w:r>
              <w:t xml:space="preserve">30 ( 1.4)</w:t>
            </w:r>
          </w:p>
        </w:tc>
        <w:tc>
          <w:p>
            <w:pPr>
              <w:pStyle w:val="Compact"/>
              <w:jc w:val="left"/>
            </w:pPr>
            <w:r>
              <w:t xml:space="preserve">652 ( 0.8)</w:t>
            </w:r>
          </w:p>
        </w:tc>
        <w:tc>
          <w:p>
            <w:pPr>
              <w:pStyle w:val="Compact"/>
              <w:jc w:val="left"/>
            </w:pPr>
            <w:r>
              <w:t xml:space="preserve">682 ( 0.8)</w:t>
            </w:r>
          </w:p>
        </w:tc>
        <w:tc>
          <w:p>
            <w:pPr>
              <w:pStyle w:val="Compact"/>
              <w:jc w:val="left"/>
            </w:pPr>
            <w:r>
              <w:t xml:space="preserve">6 (1.5)</w:t>
            </w:r>
          </w:p>
        </w:tc>
        <w:tc>
          <w:p>
            <w:pPr>
              <w:pStyle w:val="Compact"/>
              <w:jc w:val="left"/>
            </w:pPr>
            <w:r>
              <w:t xml:space="preserve">99 (0.5)</w:t>
            </w:r>
          </w:p>
        </w:tc>
        <w:tc>
          <w:p>
            <w:pPr>
              <w:pStyle w:val="Compact"/>
              <w:jc w:val="left"/>
            </w:pPr>
            <w:r>
              <w:t xml:space="preserve">105 (0.6)</w:t>
            </w:r>
          </w:p>
        </w:tc>
      </w:tr>
      <w:tr>
        <w:tc>
          <w:p>
            <w:pPr>
              <w:pStyle w:val="Compact"/>
              <w:jc w:val="left"/>
            </w:pPr>
            <w:r>
              <w:t xml:space="preserve">Fluid electrolyte disorders</w:t>
            </w:r>
          </w:p>
        </w:tc>
        <w:tc>
          <w:p/>
        </w:tc>
        <w:tc>
          <w:p>
            <w:pPr>
              <w:pStyle w:val="Compact"/>
              <w:jc w:val="left"/>
            </w:pPr>
            <w:r>
              <w:t xml:space="preserve">29 ( 1.3)</w:t>
            </w:r>
          </w:p>
        </w:tc>
        <w:tc>
          <w:p>
            <w:pPr>
              <w:pStyle w:val="Compact"/>
              <w:jc w:val="left"/>
            </w:pPr>
            <w:r>
              <w:t xml:space="preserve">505 ( 0.6)</w:t>
            </w:r>
          </w:p>
        </w:tc>
        <w:tc>
          <w:p>
            <w:pPr>
              <w:pStyle w:val="Compact"/>
              <w:jc w:val="left"/>
            </w:pPr>
            <w:r>
              <w:t xml:space="preserve">534 ( 0.6)</w:t>
            </w:r>
          </w:p>
        </w:tc>
        <w:tc>
          <w:p>
            <w:pPr>
              <w:pStyle w:val="Compact"/>
              <w:jc w:val="left"/>
            </w:pPr>
            <w:r>
              <w:t xml:space="preserve">8 (2.0)</w:t>
            </w:r>
          </w:p>
        </w:tc>
        <w:tc>
          <w:p>
            <w:pPr>
              <w:pStyle w:val="Compact"/>
              <w:jc w:val="left"/>
            </w:pPr>
            <w:r>
              <w:t xml:space="preserve">187 (1.0)</w:t>
            </w:r>
          </w:p>
        </w:tc>
        <w:tc>
          <w:p>
            <w:pPr>
              <w:pStyle w:val="Compact"/>
              <w:jc w:val="left"/>
            </w:pPr>
            <w:r>
              <w:t xml:space="preserve">195 (1.0)</w:t>
            </w:r>
          </w:p>
        </w:tc>
      </w:tr>
      <w:tr>
        <w:tc>
          <w:p>
            <w:pPr>
              <w:pStyle w:val="Compact"/>
              <w:jc w:val="left"/>
            </w:pPr>
            <w:r>
              <w:t xml:space="preserve">Heart condition</w:t>
            </w:r>
          </w:p>
        </w:tc>
        <w:tc>
          <w:p/>
        </w:tc>
        <w:tc>
          <w:p>
            <w:pPr>
              <w:pStyle w:val="Compact"/>
              <w:jc w:val="left"/>
            </w:pPr>
            <w:r>
              <w:t xml:space="preserve">149 ( 6.9)</w:t>
            </w:r>
          </w:p>
        </w:tc>
        <w:tc>
          <w:p>
            <w:pPr>
              <w:pStyle w:val="Compact"/>
              <w:jc w:val="left"/>
            </w:pPr>
            <w:r>
              <w:t xml:space="preserve">3544 ( 4.1)</w:t>
            </w:r>
          </w:p>
        </w:tc>
        <w:tc>
          <w:p>
            <w:pPr>
              <w:pStyle w:val="Compact"/>
              <w:jc w:val="left"/>
            </w:pPr>
            <w:r>
              <w:t xml:space="preserve">3693 ( 4.2)</w:t>
            </w:r>
          </w:p>
        </w:tc>
        <w:tc>
          <w:p>
            <w:pPr>
              <w:pStyle w:val="Compact"/>
              <w:jc w:val="left"/>
            </w:pPr>
            <w:r>
              <w:t xml:space="preserve">13 (3.2)</w:t>
            </w:r>
          </w:p>
        </w:tc>
        <w:tc>
          <w:p>
            <w:pPr>
              <w:pStyle w:val="Compact"/>
              <w:jc w:val="left"/>
            </w:pPr>
            <w:r>
              <w:t xml:space="preserve">408 (2.2)</w:t>
            </w:r>
          </w:p>
        </w:tc>
        <w:tc>
          <w:p>
            <w:pPr>
              <w:pStyle w:val="Compact"/>
              <w:jc w:val="left"/>
            </w:pPr>
            <w:r>
              <w:t xml:space="preserve">421 (2.2)</w:t>
            </w:r>
          </w:p>
        </w:tc>
      </w:tr>
      <w:tr>
        <w:tc>
          <w:p>
            <w:pPr>
              <w:pStyle w:val="Compact"/>
              <w:jc w:val="left"/>
            </w:pPr>
            <w:r>
              <w:t xml:space="preserve">Myocardial infarction</w:t>
            </w:r>
          </w:p>
        </w:tc>
        <w:tc>
          <w:p/>
        </w:tc>
        <w:tc>
          <w:p>
            <w:pPr>
              <w:pStyle w:val="Compact"/>
              <w:jc w:val="left"/>
            </w:pPr>
            <w:r>
              <w:t xml:space="preserve">105 ( 4.8)</w:t>
            </w:r>
          </w:p>
        </w:tc>
        <w:tc>
          <w:p>
            <w:pPr>
              <w:pStyle w:val="Compact"/>
              <w:jc w:val="left"/>
            </w:pPr>
            <w:r>
              <w:t xml:space="preserve">2982 ( 3.4)</w:t>
            </w:r>
          </w:p>
        </w:tc>
        <w:tc>
          <w:p>
            <w:pPr>
              <w:pStyle w:val="Compact"/>
              <w:jc w:val="left"/>
            </w:pPr>
            <w:r>
              <w:t xml:space="preserve">3087 ( 3.5)</w:t>
            </w:r>
          </w:p>
        </w:tc>
        <w:tc>
          <w:p>
            <w:pPr>
              <w:pStyle w:val="Compact"/>
              <w:jc w:val="left"/>
            </w:pPr>
            <w:r>
              <w:t xml:space="preserve">0 (0.0)</w:t>
            </w:r>
          </w:p>
        </w:tc>
        <w:tc>
          <w:p>
            <w:pPr>
              <w:pStyle w:val="Compact"/>
              <w:jc w:val="left"/>
            </w:pPr>
            <w:r>
              <w:t xml:space="preserve">73 (0.4)</w:t>
            </w:r>
          </w:p>
        </w:tc>
        <w:tc>
          <w:p>
            <w:pPr>
              <w:pStyle w:val="Compact"/>
              <w:jc w:val="left"/>
            </w:pPr>
            <w:r>
              <w:t xml:space="preserve">73 (0.4)</w:t>
            </w:r>
          </w:p>
        </w:tc>
      </w:tr>
      <w:tr>
        <w:tc>
          <w:p>
            <w:pPr>
              <w:pStyle w:val="Compact"/>
              <w:jc w:val="left"/>
            </w:pPr>
            <w:r>
              <w:t xml:space="preserve">Hypothyroidism</w:t>
            </w:r>
          </w:p>
        </w:tc>
        <w:tc>
          <w:p/>
        </w:tc>
        <w:tc>
          <w:p>
            <w:pPr>
              <w:pStyle w:val="Compact"/>
              <w:jc w:val="left"/>
            </w:pPr>
            <w:r>
              <w:t xml:space="preserve">82 ( 3.8)</w:t>
            </w:r>
          </w:p>
        </w:tc>
        <w:tc>
          <w:p>
            <w:pPr>
              <w:pStyle w:val="Compact"/>
              <w:jc w:val="left"/>
            </w:pPr>
            <w:r>
              <w:t xml:space="preserve">2501 ( 2.9)</w:t>
            </w:r>
          </w:p>
        </w:tc>
        <w:tc>
          <w:p>
            <w:pPr>
              <w:pStyle w:val="Compact"/>
              <w:jc w:val="left"/>
            </w:pPr>
            <w:r>
              <w:t xml:space="preserve">2583 ( 2.9)</w:t>
            </w:r>
          </w:p>
        </w:tc>
        <w:tc>
          <w:p/>
        </w:tc>
        <w:tc>
          <w:p/>
        </w:tc>
        <w:tc>
          <w:p/>
        </w:tc>
      </w:tr>
      <w:tr>
        <w:tc>
          <w:p>
            <w:pPr>
              <w:pStyle w:val="Compact"/>
              <w:jc w:val="left"/>
            </w:pPr>
            <w:r>
              <w:t xml:space="preserve">Kidney disease</w:t>
            </w:r>
          </w:p>
        </w:tc>
        <w:tc>
          <w:p/>
        </w:tc>
        <w:tc>
          <w:p>
            <w:pPr>
              <w:pStyle w:val="Compact"/>
              <w:jc w:val="left"/>
            </w:pPr>
            <w:r>
              <w:t xml:space="preserve">36 ( 1.7)</w:t>
            </w:r>
          </w:p>
        </w:tc>
        <w:tc>
          <w:p>
            <w:pPr>
              <w:pStyle w:val="Compact"/>
              <w:jc w:val="left"/>
            </w:pPr>
            <w:r>
              <w:t xml:space="preserve">847 ( 1.0)</w:t>
            </w:r>
          </w:p>
        </w:tc>
        <w:tc>
          <w:p>
            <w:pPr>
              <w:pStyle w:val="Compact"/>
              <w:jc w:val="left"/>
            </w:pPr>
            <w:r>
              <w:t xml:space="preserve">883 ( 1.0)</w:t>
            </w:r>
          </w:p>
        </w:tc>
        <w:tc>
          <w:p/>
        </w:tc>
        <w:tc>
          <w:p/>
        </w:tc>
        <w:tc>
          <w:p/>
        </w:tc>
      </w:tr>
      <w:tr>
        <w:tc>
          <w:p>
            <w:pPr>
              <w:pStyle w:val="Compact"/>
              <w:jc w:val="left"/>
            </w:pPr>
            <w:r>
              <w:t xml:space="preserve">Liver disease</w:t>
            </w:r>
          </w:p>
        </w:tc>
        <w:tc>
          <w:p/>
        </w:tc>
        <w:tc>
          <w:p>
            <w:pPr>
              <w:pStyle w:val="Compact"/>
              <w:jc w:val="left"/>
            </w:pPr>
            <w:r>
              <w:t xml:space="preserve">33 ( 1.5)</w:t>
            </w:r>
          </w:p>
        </w:tc>
        <w:tc>
          <w:p>
            <w:pPr>
              <w:pStyle w:val="Compact"/>
              <w:jc w:val="left"/>
            </w:pPr>
            <w:r>
              <w:t xml:space="preserve">491 ( 0.6)</w:t>
            </w:r>
          </w:p>
        </w:tc>
        <w:tc>
          <w:p>
            <w:pPr>
              <w:pStyle w:val="Compact"/>
              <w:jc w:val="left"/>
            </w:pPr>
            <w:r>
              <w:t xml:space="preserve">524 ( 0.6)</w:t>
            </w:r>
          </w:p>
        </w:tc>
        <w:tc>
          <w:p/>
        </w:tc>
        <w:tc>
          <w:p/>
        </w:tc>
        <w:tc>
          <w:p/>
        </w:tc>
      </w:tr>
      <w:tr>
        <w:tc>
          <w:p>
            <w:pPr>
              <w:pStyle w:val="Compact"/>
              <w:jc w:val="left"/>
            </w:pPr>
            <w:r>
              <w:t xml:space="preserve">Lung airways disease</w:t>
            </w:r>
          </w:p>
        </w:tc>
        <w:tc>
          <w:p/>
        </w:tc>
        <w:tc>
          <w:p>
            <w:pPr>
              <w:pStyle w:val="Compact"/>
              <w:jc w:val="left"/>
            </w:pPr>
            <w:r>
              <w:t xml:space="preserve">172 ( 7.9)</w:t>
            </w:r>
          </w:p>
        </w:tc>
        <w:tc>
          <w:p>
            <w:pPr>
              <w:pStyle w:val="Compact"/>
              <w:jc w:val="left"/>
            </w:pPr>
            <w:r>
              <w:t xml:space="preserve">4145 ( 4.8)</w:t>
            </w:r>
          </w:p>
        </w:tc>
        <w:tc>
          <w:p>
            <w:pPr>
              <w:pStyle w:val="Compact"/>
              <w:jc w:val="left"/>
            </w:pPr>
            <w:r>
              <w:t xml:space="preserve">4317 ( 4.9)</w:t>
            </w:r>
          </w:p>
        </w:tc>
        <w:tc>
          <w:p>
            <w:pPr>
              <w:pStyle w:val="Compact"/>
              <w:jc w:val="left"/>
            </w:pPr>
            <w:r>
              <w:t xml:space="preserve">20 (4.9)</w:t>
            </w:r>
          </w:p>
        </w:tc>
        <w:tc>
          <w:p>
            <w:pPr>
              <w:pStyle w:val="Compact"/>
              <w:jc w:val="left"/>
            </w:pPr>
            <w:r>
              <w:t xml:space="preserve">517 (2.8)</w:t>
            </w:r>
          </w:p>
        </w:tc>
        <w:tc>
          <w:p>
            <w:pPr>
              <w:pStyle w:val="Compact"/>
              <w:jc w:val="left"/>
            </w:pPr>
            <w:r>
              <w:t xml:space="preserve">537 (2.8)</w:t>
            </w:r>
          </w:p>
        </w:tc>
      </w:tr>
      <w:tr>
        <w:tc>
          <w:p>
            <w:pPr>
              <w:pStyle w:val="Compact"/>
              <w:jc w:val="left"/>
            </w:pPr>
            <w:r>
              <w:t xml:space="preserve">Peptic ulcer</w:t>
            </w:r>
          </w:p>
        </w:tc>
        <w:tc>
          <w:p/>
        </w:tc>
        <w:tc>
          <w:p>
            <w:pPr>
              <w:pStyle w:val="Compact"/>
              <w:jc w:val="left"/>
            </w:pPr>
            <w:r>
              <w:t xml:space="preserve">21 ( 1.0)</w:t>
            </w:r>
          </w:p>
        </w:tc>
        <w:tc>
          <w:p>
            <w:pPr>
              <w:pStyle w:val="Compact"/>
              <w:jc w:val="left"/>
            </w:pPr>
            <w:r>
              <w:t xml:space="preserve">515 ( 0.6)</w:t>
            </w:r>
          </w:p>
        </w:tc>
        <w:tc>
          <w:p>
            <w:pPr>
              <w:pStyle w:val="Compact"/>
              <w:jc w:val="left"/>
            </w:pPr>
            <w:r>
              <w:t xml:space="preserve">536 ( 0.6)</w:t>
            </w:r>
          </w:p>
        </w:tc>
        <w:tc>
          <w:p/>
        </w:tc>
        <w:tc>
          <w:p/>
        </w:tc>
        <w:tc>
          <w:p/>
        </w:tc>
      </w:tr>
      <w:tr>
        <w:tc>
          <w:p>
            <w:pPr>
              <w:pStyle w:val="Compact"/>
              <w:jc w:val="left"/>
            </w:pPr>
            <w:r>
              <w:t xml:space="preserve">Rheumatic disease</w:t>
            </w:r>
          </w:p>
        </w:tc>
        <w:tc>
          <w:p/>
        </w:tc>
        <w:tc>
          <w:p>
            <w:pPr>
              <w:pStyle w:val="Compact"/>
              <w:jc w:val="left"/>
            </w:pPr>
            <w:r>
              <w:t xml:space="preserve">144 ( 6.6)</w:t>
            </w:r>
          </w:p>
        </w:tc>
        <w:tc>
          <w:p>
            <w:pPr>
              <w:pStyle w:val="Compact"/>
              <w:jc w:val="left"/>
            </w:pPr>
            <w:r>
              <w:t xml:space="preserve">3782 ( 4.4)</w:t>
            </w:r>
          </w:p>
        </w:tc>
        <w:tc>
          <w:p>
            <w:pPr>
              <w:pStyle w:val="Compact"/>
              <w:jc w:val="left"/>
            </w:pPr>
            <w:r>
              <w:t xml:space="preserve">3926 ( 4.4)</w:t>
            </w:r>
          </w:p>
        </w:tc>
        <w:tc>
          <w:p>
            <w:pPr>
              <w:pStyle w:val="Compact"/>
              <w:jc w:val="left"/>
            </w:pPr>
            <w:r>
              <w:t xml:space="preserve">12 (2.9)</w:t>
            </w:r>
          </w:p>
        </w:tc>
        <w:tc>
          <w:p>
            <w:pPr>
              <w:pStyle w:val="Compact"/>
              <w:jc w:val="left"/>
            </w:pPr>
            <w:r>
              <w:t xml:space="preserve">372 (2.0)</w:t>
            </w:r>
          </w:p>
        </w:tc>
        <w:tc>
          <w:p>
            <w:pPr>
              <w:pStyle w:val="Compact"/>
              <w:jc w:val="left"/>
            </w:pPr>
            <w:r>
              <w:t xml:space="preserve">384 (2.0)</w:t>
            </w:r>
          </w:p>
        </w:tc>
      </w:tr>
      <w:tr>
        <w:tc>
          <w:p>
            <w:pPr>
              <w:pStyle w:val="Compact"/>
              <w:jc w:val="left"/>
            </w:pPr>
            <w:r>
              <w:t xml:space="preserve">Vascular disease</w:t>
            </w:r>
          </w:p>
        </w:tc>
        <w:tc>
          <w:p/>
        </w:tc>
        <w:tc>
          <w:p>
            <w:pPr>
              <w:pStyle w:val="Compact"/>
              <w:jc w:val="left"/>
            </w:pPr>
            <w:r>
              <w:t xml:space="preserve">89 ( 4.1)</w:t>
            </w:r>
          </w:p>
        </w:tc>
        <w:tc>
          <w:p>
            <w:pPr>
              <w:pStyle w:val="Compact"/>
              <w:jc w:val="left"/>
            </w:pPr>
            <w:r>
              <w:t xml:space="preserve">2434 ( 2.8)</w:t>
            </w:r>
          </w:p>
        </w:tc>
        <w:tc>
          <w:p>
            <w:pPr>
              <w:pStyle w:val="Compact"/>
              <w:jc w:val="left"/>
            </w:pPr>
            <w:r>
              <w:t xml:space="preserve">2523 ( 2.8)</w:t>
            </w:r>
          </w:p>
        </w:tc>
        <w:tc>
          <w:p>
            <w:pPr>
              <w:pStyle w:val="Compact"/>
              <w:jc w:val="left"/>
            </w:pPr>
            <w:r>
              <w:t xml:space="preserve">21 (5.1)</w:t>
            </w:r>
          </w:p>
        </w:tc>
        <w:tc>
          <w:p>
            <w:pPr>
              <w:pStyle w:val="Compact"/>
              <w:jc w:val="left"/>
            </w:pPr>
            <w:r>
              <w:t xml:space="preserve">485 (2.6)</w:t>
            </w:r>
          </w:p>
        </w:tc>
        <w:tc>
          <w:p>
            <w:pPr>
              <w:pStyle w:val="Compact"/>
              <w:jc w:val="left"/>
            </w:pPr>
            <w:r>
              <w:t xml:space="preserve">506 (2.7)</w:t>
            </w:r>
          </w:p>
        </w:tc>
      </w:tr>
      <w:tr>
        <w:tc>
          <w:p>
            <w:pPr>
              <w:pStyle w:val="Compact"/>
              <w:jc w:val="left"/>
            </w:pPr>
            <w:r>
              <w:t xml:space="preserve">Weight loss</w:t>
            </w:r>
          </w:p>
        </w:tc>
        <w:tc>
          <w:p/>
        </w:tc>
        <w:tc>
          <w:p>
            <w:pPr>
              <w:pStyle w:val="Compact"/>
              <w:jc w:val="left"/>
            </w:pPr>
            <w:r>
              <w:t xml:space="preserve">5 ( 0.2)</w:t>
            </w:r>
          </w:p>
        </w:tc>
        <w:tc>
          <w:p>
            <w:pPr>
              <w:pStyle w:val="Compact"/>
              <w:jc w:val="left"/>
            </w:pPr>
            <w:r>
              <w:t xml:space="preserve">64 ( 0.1)</w:t>
            </w:r>
          </w:p>
        </w:tc>
        <w:tc>
          <w:p>
            <w:pPr>
              <w:pStyle w:val="Compact"/>
              <w:jc w:val="left"/>
            </w:pPr>
            <w:r>
              <w:t xml:space="preserve">69 ( 0.1)</w:t>
            </w:r>
          </w:p>
        </w:tc>
        <w:tc>
          <w:p>
            <w:pPr>
              <w:pStyle w:val="Compact"/>
              <w:jc w:val="left"/>
            </w:pPr>
            <w:r>
              <w:t xml:space="preserve">0 (0.0)</w:t>
            </w:r>
          </w:p>
        </w:tc>
        <w:tc>
          <w:p>
            <w:pPr>
              <w:pStyle w:val="Compact"/>
              <w:jc w:val="left"/>
            </w:pPr>
            <w:r>
              <w:t xml:space="preserve">29 (0.2)</w:t>
            </w:r>
          </w:p>
        </w:tc>
        <w:tc>
          <w:p>
            <w:pPr>
              <w:pStyle w:val="Compact"/>
              <w:jc w:val="left"/>
            </w:pPr>
            <w:r>
              <w:t xml:space="preserve">29 (0.2)</w:t>
            </w:r>
          </w:p>
        </w:tc>
      </w:tr>
    </w:tbl>
    <w:bookmarkEnd w:id="45"/>
    <w:bookmarkStart w:id="46" w:name="X97f55da61655794c4500bb5dee5b0e7e0a00da4"/>
    <w:p>
      <w:pPr>
        <w:pStyle w:val="Rubrik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w:t>
      </w:r>
    </w:p>
    <w:p>
      <w:pPr>
        <w:pStyle w:val="Brdtext"/>
      </w:pPr>
      <w:r>
        <w:t xml:space="preserve">Results from the 100 bootstrap replicates for variable selection were mostly coherent. Diagnosis, BMI and some comorbidities where selected each time. Age was selected 82 out of 100 times, but some factors, such as civil status and type of hospital, were only sporadically selected (Tab.</w:t>
      </w:r>
      <w:r>
        <w:t xml:space="preserve"> </w:t>
      </w:r>
      <w:r>
        <w:t xml:space="preserve">4</w:t>
      </w:r>
      <w:r>
        <w:t xml:space="preserve">).</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pct" w:w="0.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tr>
        <w:tc>
          <w:p>
            <w:pPr>
              <w:pStyle w:val="Compact"/>
              <w:jc w:val="left"/>
            </w:pPr>
            <w:r>
              <w:t xml:space="preserve">variable</w:t>
            </w:r>
          </w:p>
        </w:tc>
        <w:tc>
          <w:p>
            <w:pPr>
              <w:pStyle w:val="Compact"/>
              <w:jc w:val="right"/>
            </w:pPr>
            <w:r>
              <w:t xml:space="preserve">n</w:t>
            </w:r>
          </w:p>
        </w:tc>
      </w:tr>
      <w:tr>
        <w:tc>
          <w:p>
            <w:pPr>
              <w:pStyle w:val="Compact"/>
              <w:jc w:val="left"/>
            </w:pPr>
            <w:r>
              <w:t xml:space="preserve">CNS disease</w:t>
            </w:r>
          </w:p>
        </w:tc>
        <w:tc>
          <w:p>
            <w:pPr>
              <w:pStyle w:val="Compact"/>
              <w:jc w:val="right"/>
            </w:pPr>
            <w:r>
              <w:t xml:space="preserve">100</w:t>
            </w:r>
          </w:p>
        </w:tc>
      </w:tr>
      <w:tr>
        <w:tc>
          <w:p>
            <w:pPr>
              <w:pStyle w:val="Compact"/>
              <w:jc w:val="left"/>
            </w:pPr>
            <w:r>
              <w:t xml:space="preserve">Fluid electrolyte disorders</w:t>
            </w:r>
          </w:p>
        </w:tc>
        <w:tc>
          <w:p>
            <w:pPr>
              <w:pStyle w:val="Compact"/>
              <w:jc w:val="right"/>
            </w:pPr>
            <w:r>
              <w:t xml:space="preserve">100</w:t>
            </w:r>
          </w:p>
        </w:tc>
      </w:tr>
      <w:tr>
        <w:tc>
          <w:p>
            <w:pPr>
              <w:pStyle w:val="Compact"/>
              <w:jc w:val="left"/>
            </w:pPr>
            <w:r>
              <w:t xml:space="preserve">Liver disease</w:t>
            </w:r>
          </w:p>
        </w:tc>
        <w:tc>
          <w:p>
            <w:pPr>
              <w:pStyle w:val="Compact"/>
              <w:jc w:val="right"/>
            </w:pPr>
            <w:r>
              <w:t xml:space="preserve">100</w:t>
            </w:r>
          </w:p>
        </w:tc>
      </w:tr>
      <w:tr>
        <w:tc>
          <w:p>
            <w:pPr>
              <w:pStyle w:val="Compact"/>
              <w:jc w:val="left"/>
            </w:pPr>
            <w:r>
              <w:t xml:space="preserve">ASA class: III</w:t>
            </w:r>
          </w:p>
        </w:tc>
        <w:tc>
          <w:p>
            <w:pPr>
              <w:pStyle w:val="Compact"/>
              <w:jc w:val="right"/>
            </w:pPr>
            <w:r>
              <w:t xml:space="preserve">100</w:t>
            </w:r>
          </w:p>
        </w:tc>
      </w:tr>
      <w:tr>
        <w:tc>
          <w:p>
            <w:pPr>
              <w:pStyle w:val="Compact"/>
              <w:jc w:val="left"/>
            </w:pPr>
            <w:r>
              <w:t xml:space="preserve">BMI: class I obesity</w:t>
            </w:r>
          </w:p>
        </w:tc>
        <w:tc>
          <w:p>
            <w:pPr>
              <w:pStyle w:val="Compact"/>
              <w:jc w:val="right"/>
            </w:pPr>
            <w:r>
              <w:t xml:space="preserve">100</w:t>
            </w:r>
          </w:p>
        </w:tc>
      </w:tr>
      <w:tr>
        <w:tc>
          <w:p>
            <w:pPr>
              <w:pStyle w:val="Compact"/>
              <w:jc w:val="left"/>
            </w:pPr>
            <w:r>
              <w:t xml:space="preserve">BMI: class II III obesity</w:t>
            </w:r>
          </w:p>
        </w:tc>
        <w:tc>
          <w:p>
            <w:pPr>
              <w:pStyle w:val="Compact"/>
              <w:jc w:val="right"/>
            </w:pPr>
            <w:r>
              <w:t xml:space="preserve">100</w:t>
            </w:r>
          </w:p>
        </w:tc>
      </w:tr>
      <w:tr>
        <w:tc>
          <w:p>
            <w:pPr>
              <w:pStyle w:val="Compact"/>
              <w:jc w:val="left"/>
            </w:pPr>
            <w:r>
              <w:t xml:space="preserve">BMI: overweight</w:t>
            </w:r>
          </w:p>
        </w:tc>
        <w:tc>
          <w:p>
            <w:pPr>
              <w:pStyle w:val="Compact"/>
              <w:jc w:val="right"/>
            </w:pPr>
            <w:r>
              <w:t xml:space="preserve">100</w:t>
            </w:r>
          </w:p>
        </w:tc>
      </w:tr>
      <w:tr>
        <w:tc>
          <w:p>
            <w:pPr>
              <w:pStyle w:val="Compact"/>
              <w:jc w:val="left"/>
            </w:pPr>
            <w:r>
              <w:t xml:space="preserve">Diagnosis: Avascular necrosis of the femoral head (AVN)</w:t>
            </w:r>
          </w:p>
        </w:tc>
        <w:tc>
          <w:p>
            <w:pPr>
              <w:pStyle w:val="Compact"/>
              <w:jc w:val="right"/>
            </w:pPr>
            <w:r>
              <w:t xml:space="preserve">100</w:t>
            </w:r>
          </w:p>
        </w:tc>
      </w:tr>
      <w:tr>
        <w:tc>
          <w:p>
            <w:pPr>
              <w:pStyle w:val="Compact"/>
              <w:jc w:val="left"/>
            </w:pPr>
            <w:r>
              <w:t xml:space="preserve">Diagnosis: Inflammatory joint disease</w:t>
            </w:r>
          </w:p>
        </w:tc>
        <w:tc>
          <w:p>
            <w:pPr>
              <w:pStyle w:val="Compact"/>
              <w:jc w:val="right"/>
            </w:pPr>
            <w:r>
              <w:t xml:space="preserve">100</w:t>
            </w:r>
          </w:p>
        </w:tc>
      </w:tr>
      <w:tr>
        <w:tc>
          <w:p>
            <w:pPr>
              <w:pStyle w:val="Compact"/>
              <w:jc w:val="left"/>
            </w:pPr>
            <w:r>
              <w:t xml:space="preserve">Diagnosis: Secondary osteoarthritis</w:t>
            </w:r>
          </w:p>
        </w:tc>
        <w:tc>
          <w:p>
            <w:pPr>
              <w:pStyle w:val="Compact"/>
              <w:jc w:val="right"/>
            </w:pPr>
            <w:r>
              <w:t xml:space="preserve">100</w:t>
            </w:r>
          </w:p>
        </w:tc>
      </w:tr>
      <w:tr>
        <w:tc>
          <w:p>
            <w:pPr>
              <w:pStyle w:val="Compact"/>
              <w:jc w:val="left"/>
            </w:pPr>
            <w:r>
              <w:t xml:space="preserve">Sex Male</w:t>
            </w:r>
          </w:p>
        </w:tc>
        <w:tc>
          <w:p>
            <w:pPr>
              <w:pStyle w:val="Compact"/>
              <w:jc w:val="right"/>
            </w:pPr>
            <w:r>
              <w:t xml:space="preserve">100</w:t>
            </w:r>
          </w:p>
        </w:tc>
      </w:tr>
      <w:tr>
        <w:tc>
          <w:p>
            <w:pPr>
              <w:pStyle w:val="Compact"/>
              <w:jc w:val="left"/>
            </w:pPr>
            <w:r>
              <w:t xml:space="preserve">Arrhythmia</w:t>
            </w:r>
          </w:p>
        </w:tc>
        <w:tc>
          <w:p>
            <w:pPr>
              <w:pStyle w:val="Compact"/>
              <w:jc w:val="right"/>
            </w:pPr>
            <w:r>
              <w:t xml:space="preserve">95</w:t>
            </w:r>
          </w:p>
        </w:tc>
      </w:tr>
      <w:tr>
        <w:tc>
          <w:p>
            <w:pPr>
              <w:pStyle w:val="Compact"/>
              <w:jc w:val="left"/>
            </w:pPr>
            <w:r>
              <w:t xml:space="preserve">Diagnosis: Sequelae after childhood hip disease</w:t>
            </w:r>
          </w:p>
        </w:tc>
        <w:tc>
          <w:p>
            <w:pPr>
              <w:pStyle w:val="Compact"/>
              <w:jc w:val="right"/>
            </w:pPr>
            <w:r>
              <w:t xml:space="preserve">95</w:t>
            </w:r>
          </w:p>
        </w:tc>
      </w:tr>
      <w:tr>
        <w:tc>
          <w:p>
            <w:pPr>
              <w:pStyle w:val="Compact"/>
              <w:jc w:val="left"/>
            </w:pPr>
            <w:r>
              <w:t xml:space="preserve">Lung airways disease</w:t>
            </w:r>
          </w:p>
        </w:tc>
        <w:tc>
          <w:p>
            <w:pPr>
              <w:pStyle w:val="Compact"/>
              <w:jc w:val="right"/>
            </w:pPr>
            <w:r>
              <w:t xml:space="preserve">93</w:t>
            </w:r>
          </w:p>
        </w:tc>
      </w:tr>
      <w:tr>
        <w:tc>
          <w:p>
            <w:pPr>
              <w:pStyle w:val="Compact"/>
              <w:jc w:val="left"/>
            </w:pPr>
            <w:r>
              <w:t xml:space="preserve">Age</w:t>
            </w:r>
          </w:p>
        </w:tc>
        <w:tc>
          <w:p>
            <w:pPr>
              <w:pStyle w:val="Compact"/>
              <w:jc w:val="right"/>
            </w:pPr>
            <w:r>
              <w:t xml:space="preserve">82</w:t>
            </w:r>
          </w:p>
        </w:tc>
      </w:tr>
      <w:tr>
        <w:tc>
          <w:p>
            <w:pPr>
              <w:pStyle w:val="Compact"/>
              <w:jc w:val="left"/>
            </w:pPr>
            <w:r>
              <w:t xml:space="preserve">Rheumatidisease</w:t>
            </w:r>
          </w:p>
        </w:tc>
        <w:tc>
          <w:p>
            <w:pPr>
              <w:pStyle w:val="Compact"/>
              <w:jc w:val="right"/>
            </w:pPr>
            <w:r>
              <w:t xml:space="preserve">68</w:t>
            </w:r>
          </w:p>
        </w:tc>
      </w:tr>
      <w:tr>
        <w:tc>
          <w:p>
            <w:pPr>
              <w:pStyle w:val="Compact"/>
              <w:jc w:val="left"/>
            </w:pPr>
            <w:r>
              <w:t xml:space="preserve">Cancer</w:t>
            </w:r>
          </w:p>
        </w:tc>
        <w:tc>
          <w:p>
            <w:pPr>
              <w:pStyle w:val="Compact"/>
              <w:jc w:val="right"/>
            </w:pPr>
            <w:r>
              <w:t xml:space="preserve">57</w:t>
            </w:r>
          </w:p>
        </w:tc>
      </w:tr>
      <w:tr>
        <w:tc>
          <w:p>
            <w:pPr>
              <w:pStyle w:val="Compact"/>
              <w:jc w:val="left"/>
            </w:pPr>
            <w:r>
              <w:t xml:space="preserve">Peptiulcer</w:t>
            </w:r>
          </w:p>
        </w:tc>
        <w:tc>
          <w:p>
            <w:pPr>
              <w:pStyle w:val="Compact"/>
              <w:jc w:val="right"/>
            </w:pPr>
            <w:r>
              <w:t xml:space="preserve">43</w:t>
            </w:r>
          </w:p>
        </w:tc>
      </w:tr>
      <w:tr>
        <w:tc>
          <w:p>
            <w:pPr>
              <w:pStyle w:val="Compact"/>
              <w:jc w:val="left"/>
            </w:pPr>
            <w:r>
              <w:t xml:space="preserve">Cemented cup</w:t>
            </w:r>
          </w:p>
        </w:tc>
        <w:tc>
          <w:p>
            <w:pPr>
              <w:pStyle w:val="Compact"/>
              <w:jc w:val="right"/>
            </w:pPr>
            <w:r>
              <w:t xml:space="preserve">41</w:t>
            </w:r>
          </w:p>
        </w:tc>
      </w:tr>
      <w:tr>
        <w:tc>
          <w:p>
            <w:pPr>
              <w:pStyle w:val="Compact"/>
              <w:jc w:val="left"/>
            </w:pPr>
            <w:r>
              <w:t xml:space="preserve">Hospital County</w:t>
            </w:r>
          </w:p>
        </w:tc>
        <w:tc>
          <w:p>
            <w:pPr>
              <w:pStyle w:val="Compact"/>
              <w:jc w:val="right"/>
            </w:pPr>
            <w:r>
              <w:t xml:space="preserve">33</w:t>
            </w:r>
          </w:p>
        </w:tc>
      </w:tr>
      <w:tr>
        <w:tc>
          <w:p>
            <w:pPr>
              <w:pStyle w:val="Compact"/>
              <w:jc w:val="left"/>
            </w:pPr>
            <w:r>
              <w:t xml:space="preserve">ASA class: II</w:t>
            </w:r>
          </w:p>
        </w:tc>
        <w:tc>
          <w:p>
            <w:pPr>
              <w:pStyle w:val="Compact"/>
              <w:jc w:val="right"/>
            </w:pPr>
            <w:r>
              <w:t xml:space="preserve">23</w:t>
            </w:r>
          </w:p>
        </w:tc>
      </w:tr>
      <w:tr>
        <w:tc>
          <w:p>
            <w:pPr>
              <w:pStyle w:val="Compact"/>
              <w:jc w:val="left"/>
            </w:pPr>
            <w:r>
              <w:t xml:space="preserve">Civil status widow widower</w:t>
            </w:r>
          </w:p>
        </w:tc>
        <w:tc>
          <w:p>
            <w:pPr>
              <w:pStyle w:val="Compact"/>
              <w:jc w:val="right"/>
            </w:pPr>
            <w:r>
              <w:t xml:space="preserve">8</w:t>
            </w:r>
          </w:p>
        </w:tc>
      </w:tr>
      <w:tr>
        <w:tc>
          <w:p>
            <w:pPr>
              <w:pStyle w:val="Compact"/>
              <w:jc w:val="left"/>
            </w:pPr>
            <w:r>
              <w:t xml:space="preserve">Hypothyroidism</w:t>
            </w:r>
          </w:p>
        </w:tc>
        <w:tc>
          <w:p>
            <w:pPr>
              <w:pStyle w:val="Compact"/>
              <w:jc w:val="right"/>
            </w:pPr>
            <w:r>
              <w:t xml:space="preserve">3</w:t>
            </w:r>
          </w:p>
        </w:tc>
      </w:tr>
      <w:tr>
        <w:tc>
          <w:p>
            <w:pPr>
              <w:pStyle w:val="Compact"/>
              <w:jc w:val="left"/>
            </w:pPr>
            <w:r>
              <w:t xml:space="preserve">Heart infarct</w:t>
            </w:r>
          </w:p>
        </w:tc>
        <w:tc>
          <w:p>
            <w:pPr>
              <w:pStyle w:val="Compact"/>
              <w:jc w:val="right"/>
            </w:pPr>
            <w:r>
              <w:t xml:space="preserve">1</w:t>
            </w:r>
          </w:p>
        </w:tc>
      </w:tr>
    </w:tbl>
    <w:p>
      <w:pPr>
        <w:pStyle w:val="Brdtext"/>
      </w:pPr>
      <w:r>
        <w:t xml:space="preserve">The reduced model (variables with</w:t>
      </w:r>
      <w:r>
        <w:t xml:space="preserve"> </w:t>
      </w:r>
      <m:oMath>
        <m:r>
          <m:t>n</m:t>
        </m:r>
        <m:r>
          <m:rPr>
            <m:sty m:val="p"/>
          </m:rPr>
          <m:t>≤</m:t>
        </m:r>
        <m:r>
          <m:t>80</m:t>
        </m:r>
      </m:oMath>
      <w:r>
        <w:t xml:space="preserve"> </w:t>
      </w:r>
      <w:r>
        <w:t xml:space="preserve">in Tab.</w:t>
      </w:r>
      <w:r>
        <w:t xml:space="preserve"> </w:t>
      </w:r>
      <w:r>
        <w:t xml:space="preserve">4</w:t>
      </w:r>
      <w:r>
        <w:t xml:space="preserve">) included the underlying diagnosis for THA, BMI, ASA class, sex, age, and the presence of arrhythmia, CNS disease, fluid electrolyte disorders, liver disease or lung and airways disease with estimated coefficient values in Tab.</w:t>
      </w:r>
      <w:r>
        <w:t xml:space="preserve"> </w:t>
      </w:r>
      <w:r>
        <w:t xml:space="preserve">5</w:t>
      </w:r>
      <w:r>
        <w:t xml:space="preserve">.</w:t>
      </w:r>
    </w:p>
    <w:p>
      <w:pPr>
        <w:pStyle w:val="TableCaption"/>
      </w:pPr>
      <w:r>
        <w:t xml:space="preserve">Table 5: Estimated coefficients (beta) and odds ratios (OR) with 95 % confidence intervals for the reduced models. BMI = body mass index (under/normal weight as baseline). CNS = central nervous system. ASA = American Society for Anesthesiologists</w:t>
      </w:r>
    </w:p>
    <w:tbl>
      <w:tblPr>
        <w:tblStyle w:val="Table"/>
        <w:tblW w:type="pct" w:w="0.0"/>
        <w:tblLook w:firstRow="1" w:lastRow="0" w:firstColumn="0" w:lastColumn="0" w:noHBand="0" w:noVBand="0" w:val="0020"/>
        <w:tblCaption w:val="Table 5: Estimated coefficients (beta) and odds ratios (OR) with 95 % confidence intervals for the reduced models. BMI = body mass index (under/normal weight as baseline). CNS = central nervous system. ASA = American Society for Anesthesiologists"/>
      </w:tblPr>
      <w:tblGrid/>
      <w:tr>
        <w:tc>
          <w:p>
            <w:pPr>
              <w:pStyle w:val="Compact"/>
              <w:jc w:val="left"/>
            </w:pPr>
            <w:r>
              <w:t xml:space="preserve">variable</w:t>
            </w:r>
          </w:p>
        </w:tc>
        <w:tc>
          <w:p>
            <w:pPr>
              <w:pStyle w:val="Compact"/>
              <w:jc w:val="left"/>
            </w:pPr>
            <w:r>
              <w:t xml:space="preserve">level</w:t>
            </w:r>
          </w:p>
        </w:tc>
        <w:tc>
          <w:p>
            <w:pPr>
              <w:pStyle w:val="Compact"/>
              <w:jc w:val="right"/>
            </w:pPr>
            <w:r>
              <w:t xml:space="preserve">beta</w:t>
            </w:r>
          </w:p>
        </w:tc>
        <w:tc>
          <w:p>
            <w:pPr>
              <w:pStyle w:val="Compact"/>
              <w:jc w:val="left"/>
            </w:pPr>
            <w:r>
              <w:t xml:space="preserve">OR 95 % CI</w:t>
            </w:r>
          </w:p>
        </w:tc>
        <w:tc>
          <w:p>
            <w:pPr>
              <w:pStyle w:val="Compact"/>
              <w:jc w:val="left"/>
            </w:pPr>
            <w:r>
              <w:t xml:space="preserve">p</w:t>
            </w:r>
          </w:p>
        </w:tc>
      </w:tr>
      <w:tr>
        <w:tc>
          <w:p>
            <w:pPr>
              <w:pStyle w:val="Compact"/>
              <w:jc w:val="left"/>
            </w:pPr>
            <w:r>
              <w:t xml:space="preserve">(Intercept)</w:t>
            </w:r>
          </w:p>
        </w:tc>
        <w:tc>
          <w:p/>
        </w:tc>
        <w:tc>
          <w:p>
            <w:pPr>
              <w:pStyle w:val="Compact"/>
              <w:jc w:val="right"/>
            </w:pPr>
            <w:r>
              <w:t xml:space="preserve">-6.31</w:t>
            </w:r>
          </w:p>
        </w:tc>
        <w:tc>
          <w:p/>
        </w:tc>
        <w:tc>
          <w:p/>
        </w:tc>
      </w:tr>
      <w:tr>
        <w:tc>
          <w:p>
            <w:pPr>
              <w:pStyle w:val="Compact"/>
              <w:jc w:val="left"/>
            </w:pPr>
            <w:r>
              <w:t xml:space="preserve">Age</w:t>
            </w:r>
          </w:p>
        </w:tc>
        <w:tc>
          <w:p/>
        </w:tc>
        <w:tc>
          <w:p>
            <w:pPr>
              <w:pStyle w:val="Compact"/>
              <w:jc w:val="right"/>
            </w:pPr>
            <w:r>
              <w:t xml:space="preserve">0.02</w:t>
            </w:r>
          </w:p>
        </w:tc>
        <w:tc>
          <w:p>
            <w:pPr>
              <w:pStyle w:val="Compact"/>
              <w:jc w:val="left"/>
            </w:pPr>
            <w:r>
              <w:t xml:space="preserve">1.02 (1.02-1.03)</w:t>
            </w:r>
          </w:p>
        </w:tc>
        <w:tc>
          <w:p>
            <w:pPr>
              <w:pStyle w:val="Compact"/>
              <w:jc w:val="left"/>
            </w:pPr>
            <w:r>
              <w:t xml:space="preserve">&lt;0.001</w:t>
            </w:r>
          </w:p>
        </w:tc>
      </w:tr>
      <w:tr>
        <w:tc>
          <w:p>
            <w:pPr>
              <w:pStyle w:val="Compact"/>
              <w:jc w:val="left"/>
            </w:pPr>
            <w:r>
              <w:t xml:space="preserve">Arrhythmia</w:t>
            </w:r>
          </w:p>
        </w:tc>
        <w:tc>
          <w:p/>
        </w:tc>
        <w:tc>
          <w:p>
            <w:pPr>
              <w:pStyle w:val="Compact"/>
              <w:jc w:val="right"/>
            </w:pPr>
            <w:r>
              <w:t xml:space="preserve">0.27</w:t>
            </w:r>
          </w:p>
        </w:tc>
        <w:tc>
          <w:p>
            <w:pPr>
              <w:pStyle w:val="Compact"/>
              <w:jc w:val="left"/>
            </w:pPr>
            <w:r>
              <w:t xml:space="preserve">1.30 (1.13-1.49)</w:t>
            </w:r>
          </w:p>
        </w:tc>
        <w:tc>
          <w:p>
            <w:pPr>
              <w:pStyle w:val="Compact"/>
              <w:jc w:val="left"/>
            </w:pPr>
            <w:r>
              <w:t xml:space="preserve">&lt;0.001</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II</w:t>
            </w:r>
          </w:p>
        </w:tc>
        <w:tc>
          <w:p>
            <w:pPr>
              <w:pStyle w:val="Compact"/>
              <w:jc w:val="right"/>
            </w:pPr>
            <w:r>
              <w:t xml:space="preserve">0.18</w:t>
            </w:r>
          </w:p>
        </w:tc>
        <w:tc>
          <w:p>
            <w:pPr>
              <w:pStyle w:val="Compact"/>
              <w:jc w:val="left"/>
            </w:pPr>
            <w:r>
              <w:t xml:space="preserve">1.20 (1.05-1.37)</w:t>
            </w:r>
          </w:p>
        </w:tc>
        <w:tc>
          <w:p>
            <w:pPr>
              <w:pStyle w:val="Compact"/>
              <w:jc w:val="left"/>
            </w:pPr>
            <w:r>
              <w:t xml:space="preserve">0.009</w:t>
            </w:r>
          </w:p>
        </w:tc>
      </w:tr>
      <w:tr>
        <w:tc>
          <w:p/>
        </w:tc>
        <w:tc>
          <w:p>
            <w:pPr>
              <w:pStyle w:val="Compact"/>
              <w:jc w:val="left"/>
            </w:pPr>
            <w:r>
              <w:t xml:space="preserve">III</w:t>
            </w:r>
          </w:p>
        </w:tc>
        <w:tc>
          <w:p>
            <w:pPr>
              <w:pStyle w:val="Compact"/>
              <w:jc w:val="right"/>
            </w:pPr>
            <w:r>
              <w:t xml:space="preserve">0.44</w:t>
            </w:r>
          </w:p>
        </w:tc>
        <w:tc>
          <w:p>
            <w:pPr>
              <w:pStyle w:val="Compact"/>
              <w:jc w:val="left"/>
            </w:pPr>
            <w:r>
              <w:t xml:space="preserve">1.56 (1.33-1.83)</w:t>
            </w:r>
          </w:p>
        </w:tc>
        <w:tc>
          <w:p>
            <w:pPr>
              <w:pStyle w:val="Compact"/>
              <w:jc w:val="left"/>
            </w:pPr>
            <w:r>
              <w:t xml:space="preserve">&lt;0.001</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overweight</w:t>
            </w:r>
          </w:p>
        </w:tc>
        <w:tc>
          <w:p>
            <w:pPr>
              <w:pStyle w:val="Compact"/>
              <w:jc w:val="right"/>
            </w:pPr>
            <w:r>
              <w:t xml:space="preserve">0.39</w:t>
            </w:r>
          </w:p>
        </w:tc>
        <w:tc>
          <w:p>
            <w:pPr>
              <w:pStyle w:val="Compact"/>
              <w:jc w:val="left"/>
            </w:pPr>
            <w:r>
              <w:t xml:space="preserve">1.47 (1.32-1.65)</w:t>
            </w:r>
          </w:p>
        </w:tc>
        <w:tc>
          <w:p>
            <w:pPr>
              <w:pStyle w:val="Compact"/>
              <w:jc w:val="left"/>
            </w:pPr>
            <w:r>
              <w:t xml:space="preserve">&lt;0.001</w:t>
            </w:r>
          </w:p>
        </w:tc>
      </w:tr>
      <w:tr>
        <w:tc>
          <w:p/>
        </w:tc>
        <w:tc>
          <w:p>
            <w:pPr>
              <w:pStyle w:val="Compact"/>
              <w:jc w:val="left"/>
            </w:pPr>
            <w:r>
              <w:t xml:space="preserve">class I obesity</w:t>
            </w:r>
          </w:p>
        </w:tc>
        <w:tc>
          <w:p>
            <w:pPr>
              <w:pStyle w:val="Compact"/>
              <w:jc w:val="right"/>
            </w:pPr>
            <w:r>
              <w:t xml:space="preserve">0.81</w:t>
            </w:r>
          </w:p>
        </w:tc>
        <w:tc>
          <w:p>
            <w:pPr>
              <w:pStyle w:val="Compact"/>
              <w:jc w:val="left"/>
            </w:pPr>
            <w:r>
              <w:t xml:space="preserve">2.24 (1.97-2.55)</w:t>
            </w:r>
          </w:p>
        </w:tc>
        <w:tc>
          <w:p>
            <w:pPr>
              <w:pStyle w:val="Compact"/>
              <w:jc w:val="left"/>
            </w:pPr>
            <w:r>
              <w:t xml:space="preserve">&lt;0.001</w:t>
            </w:r>
          </w:p>
        </w:tc>
      </w:tr>
      <w:tr>
        <w:tc>
          <w:p/>
        </w:tc>
        <w:tc>
          <w:p>
            <w:pPr>
              <w:pStyle w:val="Compact"/>
              <w:jc w:val="left"/>
            </w:pPr>
            <w:r>
              <w:t xml:space="preserve">class II-III obesity</w:t>
            </w:r>
          </w:p>
        </w:tc>
        <w:tc>
          <w:p>
            <w:pPr>
              <w:pStyle w:val="Compact"/>
              <w:jc w:val="right"/>
            </w:pPr>
            <w:r>
              <w:t xml:space="preserve">1.40</w:t>
            </w:r>
          </w:p>
        </w:tc>
        <w:tc>
          <w:p>
            <w:pPr>
              <w:pStyle w:val="Compact"/>
              <w:jc w:val="left"/>
            </w:pPr>
            <w:r>
              <w:t xml:space="preserve">4.05 (3.46-4.75)</w:t>
            </w:r>
          </w:p>
        </w:tc>
        <w:tc>
          <w:p>
            <w:pPr>
              <w:pStyle w:val="Compact"/>
              <w:jc w:val="left"/>
            </w:pPr>
            <w:r>
              <w:t xml:space="preserve">&lt;0.001</w:t>
            </w:r>
          </w:p>
        </w:tc>
      </w:tr>
      <w:tr>
        <w:tc>
          <w:p>
            <w:pPr>
              <w:pStyle w:val="Compact"/>
              <w:jc w:val="left"/>
            </w:pPr>
            <w:r>
              <w:t xml:space="preserve">CNS disease</w:t>
            </w:r>
          </w:p>
        </w:tc>
        <w:tc>
          <w:p/>
        </w:tc>
        <w:tc>
          <w:p>
            <w:pPr>
              <w:pStyle w:val="Compact"/>
              <w:jc w:val="right"/>
            </w:pPr>
            <w:r>
              <w:t xml:space="preserve">0.69</w:t>
            </w:r>
          </w:p>
        </w:tc>
        <w:tc>
          <w:p>
            <w:pPr>
              <w:pStyle w:val="Compact"/>
              <w:jc w:val="left"/>
            </w:pPr>
            <w:r>
              <w:t xml:space="preserve">2.00 (1.68-2.35)</w:t>
            </w:r>
          </w:p>
        </w:tc>
        <w:tc>
          <w:p>
            <w:pPr>
              <w:pStyle w:val="Compact"/>
              <w:jc w:val="left"/>
            </w:pPr>
            <w:r>
              <w:t xml:space="preserve">&lt;0.001</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left"/>
            </w:pPr>
            <w:r>
              <w:t xml:space="preserve">1.48 (1.06-2.01)</w:t>
            </w:r>
          </w:p>
        </w:tc>
        <w:tc>
          <w:p>
            <w:pPr>
              <w:pStyle w:val="Compact"/>
              <w:jc w:val="left"/>
            </w:pPr>
            <w:r>
              <w:t xml:space="preserve">0.016</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left"/>
            </w:pPr>
            <w:r>
              <w:t xml:space="preserve">1.79 (1.40-2.26)</w:t>
            </w:r>
          </w:p>
        </w:tc>
        <w:tc>
          <w:p>
            <w:pPr>
              <w:pStyle w:val="Compact"/>
              <w:jc w:val="left"/>
            </w:pPr>
            <w:r>
              <w:t xml:space="preserve">&lt;0.001</w:t>
            </w:r>
          </w:p>
        </w:tc>
      </w:tr>
      <w:tr>
        <w:tc>
          <w:p/>
        </w:tc>
        <w:tc>
          <w:p>
            <w:pPr>
              <w:pStyle w:val="Compact"/>
              <w:jc w:val="left"/>
            </w:pPr>
            <w:r>
              <w:t xml:space="preserve">Secondary osteoarthritis</w:t>
            </w:r>
          </w:p>
        </w:tc>
        <w:tc>
          <w:p>
            <w:pPr>
              <w:pStyle w:val="Compact"/>
              <w:jc w:val="right"/>
            </w:pPr>
            <w:r>
              <w:t xml:space="preserve">0.74</w:t>
            </w:r>
          </w:p>
        </w:tc>
        <w:tc>
          <w:p>
            <w:pPr>
              <w:pStyle w:val="Compact"/>
              <w:jc w:val="left"/>
            </w:pPr>
            <w:r>
              <w:t xml:space="preserve">2.09 (1.80-2.41)</w:t>
            </w:r>
          </w:p>
        </w:tc>
        <w:tc>
          <w:p>
            <w:pPr>
              <w:pStyle w:val="Compact"/>
              <w:jc w:val="left"/>
            </w:pPr>
            <w:r>
              <w:t xml:space="preserve">&lt;0.001</w:t>
            </w:r>
          </w:p>
        </w:tc>
      </w:tr>
      <w:tr>
        <w:tc>
          <w:p/>
        </w:tc>
        <w:tc>
          <w:p>
            <w:pPr>
              <w:pStyle w:val="Compact"/>
              <w:jc w:val="left"/>
            </w:pPr>
            <w:r>
              <w:t xml:space="preserve">Inflammatory joint disease</w:t>
            </w:r>
          </w:p>
        </w:tc>
        <w:tc>
          <w:p>
            <w:pPr>
              <w:pStyle w:val="Compact"/>
              <w:jc w:val="right"/>
            </w:pPr>
            <w:r>
              <w:t xml:space="preserve">0.94</w:t>
            </w:r>
          </w:p>
        </w:tc>
        <w:tc>
          <w:p>
            <w:pPr>
              <w:pStyle w:val="Compact"/>
              <w:jc w:val="left"/>
            </w:pPr>
            <w:r>
              <w:t xml:space="preserve">2.55 (1.91-3.33)</w:t>
            </w:r>
          </w:p>
        </w:tc>
        <w:tc>
          <w:p>
            <w:pPr>
              <w:pStyle w:val="Compact"/>
              <w:jc w:val="left"/>
            </w:pPr>
            <w:r>
              <w:t xml:space="preserve">&lt;0.001</w:t>
            </w:r>
          </w:p>
        </w:tc>
      </w:tr>
      <w:tr>
        <w:tc>
          <w:p>
            <w:pPr>
              <w:pStyle w:val="Compact"/>
              <w:jc w:val="left"/>
            </w:pPr>
            <w:r>
              <w:t xml:space="preserve">Fluid electrolyte disorders</w:t>
            </w:r>
          </w:p>
        </w:tc>
        <w:tc>
          <w:p/>
        </w:tc>
        <w:tc>
          <w:p>
            <w:pPr>
              <w:pStyle w:val="Compact"/>
              <w:jc w:val="right"/>
            </w:pPr>
            <w:r>
              <w:t xml:space="preserve">0.42</w:t>
            </w:r>
          </w:p>
        </w:tc>
        <w:tc>
          <w:p>
            <w:pPr>
              <w:pStyle w:val="Compact"/>
              <w:jc w:val="left"/>
            </w:pPr>
            <w:r>
              <w:t xml:space="preserve">1.52 (1.01-2.20)</w:t>
            </w:r>
          </w:p>
        </w:tc>
        <w:tc>
          <w:p>
            <w:pPr>
              <w:pStyle w:val="Compact"/>
              <w:jc w:val="left"/>
            </w:pPr>
            <w:r>
              <w:t xml:space="preserve">0.034</w:t>
            </w:r>
          </w:p>
        </w:tc>
      </w:tr>
      <w:tr>
        <w:tc>
          <w:p>
            <w:pPr>
              <w:pStyle w:val="Compact"/>
              <w:jc w:val="left"/>
            </w:pPr>
            <w:r>
              <w:t xml:space="preserve">Liver disease</w:t>
            </w:r>
          </w:p>
        </w:tc>
        <w:tc>
          <w:p/>
        </w:tc>
        <w:tc>
          <w:p>
            <w:pPr>
              <w:pStyle w:val="Compact"/>
              <w:jc w:val="right"/>
            </w:pPr>
            <w:r>
              <w:t xml:space="preserve">0.75</w:t>
            </w:r>
          </w:p>
        </w:tc>
        <w:tc>
          <w:p>
            <w:pPr>
              <w:pStyle w:val="Compact"/>
              <w:jc w:val="left"/>
            </w:pPr>
            <w:r>
              <w:t xml:space="preserve">2.11 (1.44-3.00)</w:t>
            </w:r>
          </w:p>
        </w:tc>
        <w:tc>
          <w:p>
            <w:pPr>
              <w:pStyle w:val="Compact"/>
              <w:jc w:val="left"/>
            </w:pPr>
            <w:r>
              <w:t xml:space="preserve">&lt;0.001</w:t>
            </w:r>
          </w:p>
        </w:tc>
      </w:tr>
      <w:tr>
        <w:tc>
          <w:p>
            <w:pPr>
              <w:pStyle w:val="Compact"/>
              <w:jc w:val="left"/>
            </w:pPr>
            <w:r>
              <w:t xml:space="preserve">Lung airways disease</w:t>
            </w:r>
          </w:p>
        </w:tc>
        <w:tc>
          <w:p/>
        </w:tc>
        <w:tc>
          <w:p>
            <w:pPr>
              <w:pStyle w:val="Compact"/>
              <w:jc w:val="right"/>
            </w:pPr>
            <w:r>
              <w:t xml:space="preserve">0.27</w:t>
            </w:r>
          </w:p>
        </w:tc>
        <w:tc>
          <w:p>
            <w:pPr>
              <w:pStyle w:val="Compact"/>
              <w:jc w:val="left"/>
            </w:pPr>
            <w:r>
              <w:t xml:space="preserve">1.31 (1.11-1.54)</w:t>
            </w:r>
          </w:p>
        </w:tc>
        <w:tc>
          <w:p>
            <w:pPr>
              <w:pStyle w:val="Compact"/>
              <w:jc w:val="left"/>
            </w:pPr>
            <w:r>
              <w:t xml:space="preserve">0.001</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Male</w:t>
            </w:r>
          </w:p>
        </w:tc>
        <w:tc>
          <w:p>
            <w:pPr>
              <w:pStyle w:val="Compact"/>
              <w:jc w:val="right"/>
            </w:pPr>
            <w:r>
              <w:t xml:space="preserve">0.37</w:t>
            </w:r>
          </w:p>
        </w:tc>
        <w:tc>
          <w:p>
            <w:pPr>
              <w:pStyle w:val="Compact"/>
              <w:jc w:val="left"/>
            </w:pPr>
            <w:r>
              <w:t xml:space="preserve">1.45 (1.33-1.59)</w:t>
            </w:r>
          </w:p>
        </w:tc>
        <w:tc>
          <w:p>
            <w:pPr>
              <w:pStyle w:val="Compact"/>
              <w:jc w:val="left"/>
            </w:pPr>
            <w:r>
              <w:t xml:space="preserve">&lt;0.001</w:t>
            </w:r>
          </w:p>
        </w:tc>
      </w:tr>
    </w:tbl>
    <w:p>
      <w:pPr>
        <w:pStyle w:val="Brdtext"/>
      </w:pPr>
      <w:r>
        <w:t xml:space="preserve">ROC-curves and AUC-values for the main and reduced models were very similar, and for simplicity, we therefore focused on the reduced model.</w:t>
      </w:r>
    </w:p>
    <w:p>
      <w:pPr>
        <w:pStyle w:val="Brdtext"/>
      </w:pPr>
      <w:r>
        <w:t xml:space="preserve">The reduced model had an AUC = 0.68 (95 % CI: 0.66 to 0.69), whereas univariable models with ASA class (AUC = 0.59, 95 % CI: 0.58 to 0.60), the Charlson comorbidity index (AUC = 0.56, 95 % CI: 0.55 to 0.57), the Elixhauser comorbidity index (AUC = 0.58, 95 % CI: 0.57 to 0.60), and Rx Risk V (AUC = 0.58, 95 % CI: 0.57 to 0.59) had less discriminatory abilities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 $R^2 = $ 0.73, and compared to this model, the fraction of new information for the reduced model was 84 % (Tab.</w:t>
      </w:r>
      <w:r>
        <w:t xml:space="preserve"> </w:t>
      </w:r>
      <w:r>
        <w:t xml:space="preserve">6</w:t>
      </w:r>
      <w:r>
        <w:t xml:space="preserve">).</w:t>
      </w:r>
    </w:p>
    <w:p>
      <w:pPr>
        <w:pStyle w:val="TableCaption"/>
      </w:pPr>
      <w:r>
        <w:t xml:space="preserve">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pct" w:w="0.0"/>
        <w:tblLook w:firstRow="1" w:lastRow="0" w:firstColumn="0" w:lastColumn="0" w:noHBand="0" w:noVBand="0" w:val="002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tr>
        <w:tc>
          <w:p>
            <w:pPr>
              <w:pStyle w:val="Compact"/>
              <w:jc w:val="left"/>
            </w:pPr>
            <w:r>
              <w:t xml:space="preserve">Model</w:t>
            </w:r>
          </w:p>
        </w:tc>
        <w:tc>
          <w:p>
            <w:pPr>
              <w:pStyle w:val="Compact"/>
              <w:jc w:val="left"/>
            </w:pPr>
            <w:r>
              <w:t xml:space="preserve">AUC (95 % CI)</w:t>
            </w:r>
          </w:p>
        </w:tc>
        <w:tc>
          <w:p>
            <w:pPr>
              <w:pStyle w:val="Compact"/>
              <w:jc w:val="right"/>
            </w:pPr>
            <w:r>
              <w:t xml:space="preserve">R2 (%)</w:t>
            </w:r>
          </w:p>
        </w:tc>
        <w:tc>
          <w:p>
            <w:pPr>
              <w:pStyle w:val="Compact"/>
              <w:jc w:val="right"/>
            </w:pPr>
            <w:r>
              <w:t xml:space="preserve">FNI (%)</w:t>
            </w:r>
          </w:p>
        </w:tc>
      </w:tr>
      <w:tr>
        <w:tc>
          <w:p>
            <w:pPr>
              <w:pStyle w:val="Compact"/>
              <w:jc w:val="left"/>
            </w:pPr>
            <w:r>
              <w:t xml:space="preserve">Main model</w:t>
            </w:r>
          </w:p>
        </w:tc>
        <w:tc>
          <w:p>
            <w:pPr>
              <w:pStyle w:val="Compact"/>
              <w:jc w:val="left"/>
            </w:pPr>
            <w:r>
              <w:t xml:space="preserve">0.68 (0.67; 0.69)</w:t>
            </w:r>
          </w:p>
        </w:tc>
        <w:tc>
          <w:p>
            <w:pPr>
              <w:pStyle w:val="Compact"/>
              <w:jc w:val="right"/>
            </w:pPr>
            <w:r>
              <w:t xml:space="preserve">4.86</w:t>
            </w:r>
          </w:p>
        </w:tc>
        <w:tc>
          <w:p>
            <w:pPr>
              <w:pStyle w:val="Compact"/>
              <w:jc w:val="right"/>
            </w:pPr>
            <w:r>
              <w:t xml:space="preserve">85</w:t>
            </w:r>
          </w:p>
        </w:tc>
      </w:tr>
      <w:tr>
        <w:tc>
          <w:p>
            <w:pPr>
              <w:pStyle w:val="Compact"/>
              <w:jc w:val="left"/>
            </w:pPr>
            <w:r>
              <w:t xml:space="preserve">Reduced model</w:t>
            </w:r>
          </w:p>
        </w:tc>
        <w:tc>
          <w:p>
            <w:pPr>
              <w:pStyle w:val="Compact"/>
              <w:jc w:val="left"/>
            </w:pPr>
            <w:r>
              <w:t xml:space="preserve">0.68 (0.66; 0.69)</w:t>
            </w:r>
          </w:p>
        </w:tc>
        <w:tc>
          <w:p>
            <w:pPr>
              <w:pStyle w:val="Compact"/>
              <w:jc w:val="right"/>
            </w:pPr>
            <w:r>
              <w:t xml:space="preserve">4.72</w:t>
            </w:r>
          </w:p>
        </w:tc>
        <w:tc>
          <w:p>
            <w:pPr>
              <w:pStyle w:val="Compact"/>
              <w:jc w:val="right"/>
            </w:pPr>
            <w:r>
              <w:t xml:space="preserve">84</w:t>
            </w:r>
          </w:p>
        </w:tc>
      </w:tr>
      <w:tr>
        <w:tc>
          <w:p>
            <w:pPr>
              <w:pStyle w:val="Compact"/>
              <w:jc w:val="left"/>
            </w:pPr>
            <w:r>
              <w:t xml:space="preserve">ASA + BMI + Age + Sex</w:t>
            </w:r>
          </w:p>
        </w:tc>
        <w:tc>
          <w:p>
            <w:pPr>
              <w:pStyle w:val="Compact"/>
              <w:jc w:val="left"/>
            </w:pPr>
            <w:r>
              <w:t xml:space="preserve">0.65 (0.64; 0.66)</w:t>
            </w:r>
          </w:p>
        </w:tc>
        <w:tc>
          <w:p>
            <w:pPr>
              <w:pStyle w:val="Compact"/>
              <w:jc w:val="right"/>
            </w:pPr>
            <w:r>
              <w:t xml:space="preserve">3.32</w:t>
            </w:r>
          </w:p>
        </w:tc>
        <w:tc>
          <w:p>
            <w:pPr>
              <w:pStyle w:val="Compact"/>
              <w:jc w:val="right"/>
            </w:pPr>
            <w:r>
              <w:t xml:space="preserve">78</w:t>
            </w:r>
          </w:p>
        </w:tc>
      </w:tr>
      <w:tr>
        <w:tc>
          <w:p>
            <w:pPr>
              <w:pStyle w:val="Compact"/>
              <w:jc w:val="left"/>
            </w:pPr>
            <w:r>
              <w:t xml:space="preserve">BMI + Age + Sex</w:t>
            </w:r>
          </w:p>
        </w:tc>
        <w:tc>
          <w:p>
            <w:pPr>
              <w:pStyle w:val="Compact"/>
              <w:jc w:val="left"/>
            </w:pPr>
            <w:r>
              <w:t xml:space="preserve">0.64 (0.62; 0.65)</w:t>
            </w:r>
          </w:p>
        </w:tc>
        <w:tc>
          <w:p>
            <w:pPr>
              <w:pStyle w:val="Compact"/>
              <w:jc w:val="right"/>
            </w:pPr>
            <w:r>
              <w:t xml:space="preserve">2.75</w:t>
            </w:r>
          </w:p>
        </w:tc>
        <w:tc>
          <w:p>
            <w:pPr>
              <w:pStyle w:val="Compact"/>
              <w:jc w:val="right"/>
            </w:pPr>
            <w:r>
              <w:t xml:space="preserve">73</w:t>
            </w:r>
          </w:p>
        </w:tc>
      </w:tr>
      <w:tr>
        <w:tc>
          <w:p>
            <w:pPr>
              <w:pStyle w:val="Compact"/>
              <w:jc w:val="left"/>
            </w:pPr>
            <w:r>
              <w:t xml:space="preserve">ASA + Age + Sex</w:t>
            </w:r>
          </w:p>
        </w:tc>
        <w:tc>
          <w:p>
            <w:pPr>
              <w:pStyle w:val="Compact"/>
              <w:jc w:val="left"/>
            </w:pPr>
            <w:r>
              <w:t xml:space="preserve">0.62 (0.60; 0.63)</w:t>
            </w:r>
          </w:p>
        </w:tc>
        <w:tc>
          <w:p>
            <w:pPr>
              <w:pStyle w:val="Compact"/>
              <w:jc w:val="right"/>
            </w:pPr>
            <w:r>
              <w:t xml:space="preserve">1.94</w:t>
            </w:r>
          </w:p>
        </w:tc>
        <w:tc>
          <w:p>
            <w:pPr>
              <w:pStyle w:val="Compact"/>
              <w:jc w:val="right"/>
            </w:pPr>
            <w:r>
              <w:t xml:space="preserve">62</w:t>
            </w:r>
          </w:p>
        </w:tc>
      </w:tr>
      <w:tr>
        <w:tc>
          <w:p>
            <w:pPr>
              <w:pStyle w:val="Compact"/>
              <w:jc w:val="left"/>
            </w:pPr>
            <w:r>
              <w:t xml:space="preserve">Elixhauser + Age + Sex</w:t>
            </w:r>
          </w:p>
        </w:tc>
        <w:tc>
          <w:p>
            <w:pPr>
              <w:pStyle w:val="Compact"/>
              <w:jc w:val="left"/>
            </w:pPr>
            <w:r>
              <w:t xml:space="preserve">0.61 (0.60; 0.62)</w:t>
            </w:r>
          </w:p>
        </w:tc>
        <w:tc>
          <w:p>
            <w:pPr>
              <w:pStyle w:val="Compact"/>
              <w:jc w:val="right"/>
            </w:pPr>
            <w:r>
              <w:t xml:space="preserve">1.75</w:t>
            </w:r>
          </w:p>
        </w:tc>
        <w:tc>
          <w:p>
            <w:pPr>
              <w:pStyle w:val="Compact"/>
              <w:jc w:val="right"/>
            </w:pPr>
            <w:r>
              <w:t xml:space="preserve">58</w:t>
            </w:r>
          </w:p>
        </w:tc>
      </w:tr>
      <w:tr>
        <w:tc>
          <w:p>
            <w:pPr>
              <w:pStyle w:val="Compact"/>
              <w:jc w:val="left"/>
            </w:pPr>
            <w:r>
              <w:t xml:space="preserve">ASA</w:t>
            </w:r>
          </w:p>
        </w:tc>
        <w:tc>
          <w:p>
            <w:pPr>
              <w:pStyle w:val="Compact"/>
              <w:jc w:val="left"/>
            </w:pPr>
            <w:r>
              <w:t xml:space="preserve">0.59 (0.58; 0.60)</w:t>
            </w:r>
          </w:p>
        </w:tc>
        <w:tc>
          <w:p>
            <w:pPr>
              <w:pStyle w:val="Compact"/>
              <w:jc w:val="right"/>
            </w:pPr>
            <w:r>
              <w:t xml:space="preserve">1.57</w:t>
            </w:r>
          </w:p>
        </w:tc>
        <w:tc>
          <w:p>
            <w:pPr>
              <w:pStyle w:val="Compact"/>
              <w:jc w:val="right"/>
            </w:pPr>
            <w:r>
              <w:t xml:space="preserve">53</w:t>
            </w:r>
          </w:p>
        </w:tc>
      </w:tr>
      <w:tr>
        <w:tc>
          <w:p>
            <w:pPr>
              <w:pStyle w:val="Compact"/>
              <w:jc w:val="left"/>
            </w:pPr>
            <w:r>
              <w:t xml:space="preserve">Elixhauser</w:t>
            </w:r>
          </w:p>
        </w:tc>
        <w:tc>
          <w:p>
            <w:pPr>
              <w:pStyle w:val="Compact"/>
              <w:jc w:val="left"/>
            </w:pPr>
            <w:r>
              <w:t xml:space="preserve">0.58 (0.57; 0.60)</w:t>
            </w:r>
          </w:p>
        </w:tc>
        <w:tc>
          <w:p>
            <w:pPr>
              <w:pStyle w:val="Compact"/>
              <w:jc w:val="right"/>
            </w:pPr>
            <w:r>
              <w:t xml:space="preserve">1.29</w:t>
            </w:r>
          </w:p>
        </w:tc>
        <w:tc>
          <w:p>
            <w:pPr>
              <w:pStyle w:val="Compact"/>
              <w:jc w:val="right"/>
            </w:pPr>
            <w:r>
              <w:t xml:space="preserve">43</w:t>
            </w:r>
          </w:p>
        </w:tc>
      </w:tr>
      <w:tr>
        <w:tc>
          <w:p>
            <w:pPr>
              <w:pStyle w:val="Compact"/>
              <w:jc w:val="left"/>
            </w:pPr>
            <w:r>
              <w:t xml:space="preserve">Charlson + Age + Sex</w:t>
            </w:r>
          </w:p>
        </w:tc>
        <w:tc>
          <w:p>
            <w:pPr>
              <w:pStyle w:val="Compact"/>
              <w:jc w:val="left"/>
            </w:pPr>
            <w:r>
              <w:t xml:space="preserve">0.60 (0.58; 0.61)</w:t>
            </w:r>
          </w:p>
        </w:tc>
        <w:tc>
          <w:p>
            <w:pPr>
              <w:pStyle w:val="Compact"/>
              <w:jc w:val="right"/>
            </w:pPr>
            <w:r>
              <w:t xml:space="preserve">1.26</w:t>
            </w:r>
          </w:p>
        </w:tc>
        <w:tc>
          <w:p>
            <w:pPr>
              <w:pStyle w:val="Compact"/>
              <w:jc w:val="right"/>
            </w:pPr>
            <w:r>
              <w:t xml:space="preserve">42</w:t>
            </w:r>
          </w:p>
        </w:tc>
      </w:tr>
      <w:tr>
        <w:tc>
          <w:p>
            <w:pPr>
              <w:pStyle w:val="Compact"/>
              <w:jc w:val="left"/>
            </w:pPr>
            <w:r>
              <w:t xml:space="preserve">Rx Risk</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Rx Risk + Age + Sex</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Charlson</w:t>
            </w:r>
          </w:p>
        </w:tc>
        <w:tc>
          <w:p>
            <w:pPr>
              <w:pStyle w:val="Compact"/>
              <w:jc w:val="left"/>
            </w:pPr>
            <w:r>
              <w:t xml:space="preserve">0.56 (0.55; 0.57)</w:t>
            </w:r>
          </w:p>
        </w:tc>
        <w:tc>
          <w:p>
            <w:pPr>
              <w:pStyle w:val="Compact"/>
              <w:jc w:val="right"/>
            </w:pPr>
            <w:r>
              <w:t xml:space="preserve">0.73</w:t>
            </w:r>
          </w:p>
        </w:tc>
        <w:tc>
          <w:p>
            <w:pPr>
              <w:pStyle w:val="Compact"/>
              <w:jc w:val="right"/>
            </w:pPr>
            <w:r>
              <w:t xml:space="preserve">0</w:t>
            </w:r>
          </w:p>
        </w:tc>
      </w:tr>
    </w:tbl>
    <w:p>
      <w:pPr>
        <w:pStyle w:val="Brdtext"/>
      </w:pPr>
      <w:r>
        <w:t xml:space="preserve">The reduced model had good internal calibration for predictions up to 10 % (Fig.</w:t>
      </w:r>
      <w:r>
        <w:t xml:space="preserve"> </w:t>
      </w:r>
      <w:r>
        <w:t xml:space="preserve">6</w:t>
      </w:r>
      <w:r>
        <w:t xml:space="preserve">). Estimated probability density curves for patients with and without PJI were partially overlapping, but patients with PJI had on average higher predicted probabilities for this outcome (Fig.</w:t>
      </w:r>
      <w:r>
        <w:t xml:space="preserve"> </w:t>
      </w:r>
      <w:r>
        <w:t xml:space="preserve">5</w:t>
      </w:r>
      <w:r>
        <w:t xml:space="preserve">).</w:t>
      </w:r>
    </w:p>
    <w:bookmarkEnd w:id="46"/>
    <w:bookmarkStart w:id="47" w:name="external-validation"/>
    <w:p>
      <w:pPr>
        <w:pStyle w:val="Rubrik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 0.66 (95% CI: 0.64 to 0.69). This did not change for the model with re-estimated coefficient values based on the Danish cohort (0.67, 95 % CI: 0.65 to 0.7). AUC values for some of the reference models, estimated on the Danish cohort, did differ from the Swedish cohort, but all those models were less accurate (had broader 95 % CIs) than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p>
      <w:pPr>
        <w:pStyle w:val="Brdtext"/>
      </w:pPr>
      <w:r>
        <w:t xml:space="preserve">Calibration was good for predictions up to 3 %, with some tendency to over-estimating higher probabilities, which improved after initial re-calibration of the model intercept to the Danish PJI incidence (Fig.</w:t>
      </w:r>
      <w:r>
        <w:t xml:space="preserve"> </w:t>
      </w:r>
      <w:r>
        <w:t xml:space="preserve">6</w:t>
      </w:r>
      <w:r>
        <w:t xml:space="preserve">).</w:t>
      </w:r>
    </w:p>
    <w:bookmarkEnd w:id="47"/>
    <w:bookmarkEnd w:id="48"/>
    <w:bookmarkStart w:id="56" w:name="discussion"/>
    <w:p>
      <w:pPr>
        <w:pStyle w:val="Rubrik1"/>
      </w:pPr>
      <w:r>
        <w:t xml:space="preserve">Discussion</w:t>
      </w:r>
    </w:p>
    <w:bookmarkStart w:id="49" w:name="principal-findings"/>
    <w:p>
      <w:pPr>
        <w:pStyle w:val="Rubrik2"/>
      </w:pPr>
      <w:r>
        <w:t xml:space="preserve">Principal findings</w:t>
      </w:r>
    </w:p>
    <w:p>
      <w:pPr>
        <w:pStyle w:val="FirstParagraph"/>
      </w:pPr>
      <w:r>
        <w:t xml:space="preserve">A model based on the underlying diagnosis for THA, BMI, ASA class, sex, age, and the presence of arrhythmia, CNS disease, fluid electrolyte disorders, liver disease or lung and airways disease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49"/>
    <w:bookmarkStart w:id="50" w:name="strengths-and-weaknesses"/>
    <w:p>
      <w:pPr>
        <w:pStyle w:val="Rubrik2"/>
      </w:pPr>
      <w:r>
        <w:t xml:space="preserve">Strengths and weaknesses</w:t>
      </w:r>
    </w:p>
    <w:p>
      <w:pPr>
        <w:pStyle w:val="FirstParagraph"/>
      </w:pPr>
      <w:r>
        <w:t xml:space="preserve">Our external validation is a strength, which showed that the model works equally well in Denmark, despite some perceived differences between the countries, partially explained by different coding routines in each country (Tab.</w:t>
      </w:r>
      <w:r>
        <w:t xml:space="preserve"> </w:t>
      </w:r>
      <w:r>
        <w:t xml:space="preserve">3</w:t>
      </w:r>
      <w:r>
        <w:t xml:space="preserve">).</w:t>
      </w:r>
    </w:p>
    <w:p>
      <w:pPr>
        <w:pStyle w:val="Brdtext"/>
      </w:pPr>
      <w:r>
        <w:t xml:space="preserve">Both Sweden and Denmark have strived for mass higher education.</w:t>
      </w:r>
      <w:r>
        <w:t xml:space="preserve">[41]</w:t>
      </w:r>
      <w:r>
        <w:t xml:space="preserve"> </w:t>
      </w:r>
      <w:r>
        <w:t xml:space="preserve">This is, to a higher degree achieved via the university sector in Sweden, while the educational system is more diverse in Denmark.</w:t>
      </w:r>
      <w:r>
        <w:t xml:space="preserve">[42]</w:t>
      </w:r>
      <w:r>
        <w:t xml:space="preserve"> </w:t>
      </w:r>
      <w:r>
        <w:t xml:space="preserve">National comparisons of educational levels are therefore difficult, since the Danish student register does not include adult- or continuing education.</w:t>
      </w:r>
      <w:r>
        <w:t xml:space="preserve">[43]</w:t>
      </w:r>
      <w:r>
        <w:t xml:space="preserve"> </w:t>
      </w:r>
      <w:r>
        <w:t xml:space="preserve">Patient distribution among ASA classes were similar in both countries, but the comorbidity burden seems to differ. ICD-10 and NOMESCO codes are recorded for both in- and outpatient hospital visits in the national patient registries in both countries, but the recording of (optional) secondary diagnoses is 23 % in Denmark,</w:t>
      </w:r>
      <w:r>
        <w:t xml:space="preserve">[29]</w:t>
      </w:r>
      <w:r>
        <w:t xml:space="preserve"> </w:t>
      </w:r>
      <w:r>
        <w:t xml:space="preserve">compared to 47 % in the Swedish cohort. Serious comorbidities such as cancer, are therefore reported equally in both countries, while for example arterial hypertension, is less documented in Denmark. Also, patients with chronic conditions, such as diabetes, are more commonly treated in primary care settings in Denmark, and are therefore less reported to their national patient register.</w:t>
      </w:r>
      <w:r>
        <w:t xml:space="preserve">[29]</w:t>
      </w:r>
      <w:r>
        <w:t xml:space="preserve"> </w:t>
      </w:r>
      <w:r>
        <w:t xml:space="preserve">The RxRisk V index is a weighted index, which is difficult to compare without further analysis. Prescription patterns might differ by indications based on different national guidelines, different subsidization, and different medications sold over-the-counter. Also, the Danish, but not the Swedish, national prescription register, includes prescriptions from nursery homes and other long-term care facilities. Taken together, the similarities between the countries might be bigger than perceived by Tab.</w:t>
      </w:r>
      <w:r>
        <w:t xml:space="preserve"> </w:t>
      </w:r>
      <w:r>
        <w:t xml:space="preserve">3</w:t>
      </w:r>
      <w:r>
        <w:t xml:space="preserve">.</w:t>
      </w:r>
    </w:p>
    <w:p>
      <w:pPr>
        <w:pStyle w:val="Brdtext"/>
      </w:pPr>
      <w:r>
        <w:t xml:space="preserve">However, the difference in mode of fixation, with a dominance of cemented components in Sweden, is real, and has been described elsewhere.</w:t>
      </w:r>
      <w:r>
        <w:t xml:space="preserve">[44]</w:t>
      </w:r>
    </w:p>
    <w:bookmarkEnd w:id="50"/>
    <w:bookmarkStart w:id="51" w:name="X713466425220a3e5eb11c0caabc3ad784b2a9fd"/>
    <w:p>
      <w:pPr>
        <w:pStyle w:val="Rubrik2"/>
      </w:pPr>
      <w:r>
        <w:t xml:space="preserve">Strengths and weaknesses in relation to other studies</w:t>
      </w:r>
    </w:p>
    <w:p>
      <w:pPr>
        <w:pStyle w:val="FirstParagraph"/>
      </w:pPr>
      <w:r>
        <w:t xml:space="preserve">Cancer seems to confer an increased risk of PJI in several observational studies,</w:t>
      </w:r>
      <w:r>
        <w:t xml:space="preserve">[9,20,45,46]</w:t>
      </w:r>
      <w:r>
        <w:t xml:space="preserve"> </w:t>
      </w:r>
      <w:r>
        <w:t xml:space="preserve">but this comorbidity was not included in our model. It nevertheless appeared in 57 of the 100 bootstrap replicates (Tab.</w:t>
      </w:r>
      <w:r>
        <w:t xml:space="preserve"> </w:t>
      </w:r>
      <w:r>
        <w:t xml:space="preserve">4</w:t>
      </w:r>
      <w:r>
        <w:t xml:space="preserve">), and could have been included in a less parsimonious model. Neither diabetes was included in our model, but has been in previous risk calculators.</w:t>
      </w:r>
      <w:r>
        <w:t xml:space="preserve">[20,47,48]</w:t>
      </w:r>
      <w:r>
        <w:t xml:space="preserve"> </w:t>
      </w:r>
      <w:r>
        <w:t xml:space="preserve">On the other hand, diabetes is not consistently found to be associated with the risk of surgical site infection or PJI after THA surgery.</w:t>
      </w:r>
      <w:r>
        <w:t xml:space="preserve">[49]</w:t>
      </w:r>
    </w:p>
    <w:p>
      <w:pPr>
        <w:pStyle w:val="Brdtext"/>
      </w:pPr>
      <w:r>
        <w:t xml:space="preserve">Information on peri-operative hyperglycaemia, morning blood glucose, HBA1c,</w:t>
      </w:r>
      <w:r>
        <w:t xml:space="preserve">[50,51]</w:t>
      </w:r>
      <w:r>
        <w:t xml:space="preserve"> </w:t>
      </w:r>
      <w:r>
        <w:t xml:space="preserve">or low preoperative haemoglobin,</w:t>
      </w:r>
      <w:r>
        <w:t xml:space="preserve">[11]</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t xml:space="preserve">[52,53]</w:t>
      </w:r>
      <w:r>
        <w:t xml:space="preserve"> </w:t>
      </w:r>
      <w:r>
        <w:t xml:space="preserve">intra-articular steroid application</w:t>
      </w:r>
      <w:r>
        <w:t xml:space="preserve">[54]</w:t>
      </w:r>
      <w:r>
        <w:t xml:space="preserve"> </w:t>
      </w:r>
      <w:r>
        <w:t xml:space="preserve">or operating time,</w:t>
      </w:r>
      <w:r>
        <w:t xml:space="preserve">[12,14,55]</w:t>
      </w:r>
      <w:r>
        <w:t xml:space="preserve"> </w:t>
      </w:r>
      <w:r>
        <w:t xml:space="preserve">are also associated with the risk of PJI after THA. However, we chose to only consider factors available before surgery and are thus able to use the model as a tool for shared decision making using the implemented web calculator. This is a strength of our model.</w:t>
      </w:r>
    </w:p>
    <w:p>
      <w:pPr>
        <w:pStyle w:val="Brdtext"/>
      </w:pPr>
      <w:r>
        <w:t xml:space="preserve">We also confirmed that, although mentioned as risk factors for surgical site infections after joint arthroplasty,</w:t>
      </w:r>
      <w: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t xml:space="preserve">[56,57]</w:t>
      </w:r>
      <w:r>
        <w:t xml:space="preserve"> </w:t>
      </w:r>
      <w:r>
        <w:t xml:space="preserve">However, when used in conjunction with information on age and sex, the AUC for these comorbidity indices increased, although never quite reaching the AUC of our model (Fig.</w:t>
      </w:r>
      <w:r>
        <w:t xml:space="preserve"> </w:t>
      </w:r>
      <w:r>
        <w:t xml:space="preserve">4</w:t>
      </w:r>
      <w:r>
        <w:t xml:space="preserve"> </w:t>
      </w:r>
      <w:r>
        <w:t xml:space="preserve">and Tab.</w:t>
      </w:r>
      <w:r>
        <w:t xml:space="preserve"> </w:t>
      </w:r>
      <w:r>
        <w:t xml:space="preserve">6</w:t>
      </w:r>
      <w:r>
        <w:t xml:space="preserve">).</w:t>
      </w:r>
    </w:p>
    <w:bookmarkEnd w:id="51"/>
    <w:bookmarkStart w:id="52" w:name="meaning-of-the-study"/>
    <w:p>
      <w:pPr>
        <w:pStyle w:val="Rubrik2"/>
      </w:pPr>
      <w:r>
        <w:t xml:space="preserve">Meaning of the study</w:t>
      </w:r>
    </w:p>
    <w:p>
      <w:pPr>
        <w:pStyle w:val="FirstParagraph"/>
      </w:pPr>
      <w:r>
        <w:t xml:space="preserve">Our model can be presented in a simple formula</w:t>
      </w:r>
      <w:r>
        <w:t xml:space="preserve"> </w:t>
      </w:r>
      <m:oMath>
        <m:acc>
          <m:accPr>
            <m:chr m:val="̂"/>
          </m:accPr>
          <m:e>
            <m:r>
              <m:t>p</m:t>
            </m:r>
          </m:e>
        </m:acc>
        <m:r>
          <m:rPr>
            <m:sty m:val="p"/>
          </m:rPr>
          <m:t>=</m:t>
        </m:r>
        <m:r>
          <m:t>1</m:t>
        </m:r>
        <m:r>
          <m:rPr>
            <m:sty m:val="p"/>
          </m:rPr>
          <m:t>/</m:t>
        </m:r>
        <m:r>
          <m:rPr>
            <m:sty m:val="p"/>
          </m:rPr>
          <m:t>[</m:t>
        </m:r>
        <m:r>
          <m:t>1</m:t>
        </m:r>
        <m:r>
          <m:rPr>
            <m:sty m:val="p"/>
          </m:rPr>
          <m:t>+</m:t>
        </m:r>
        <m:r>
          <m:rPr>
            <m:sty m:val="p"/>
          </m:rPr>
          <m:t>e</m:t>
        </m:r>
        <m:r>
          <m:rPr>
            <m:sty m:val="p"/>
          </m:rPr>
          <m:t>x</m:t>
        </m:r>
        <m:r>
          <m:rPr>
            <m:sty m:val="p"/>
          </m:rPr>
          <m:t>p</m:t>
        </m:r>
        <m:r>
          <m:rPr>
            <m:sty m:val="p"/>
          </m:rPr>
          <m:t>(</m:t>
        </m:r>
        <m:r>
          <m:rPr>
            <m:sty m:val="p"/>
          </m:rPr>
          <m:t>−</m:t>
        </m:r>
        <m:acc>
          <m:accPr>
            <m:chr m:val="̂"/>
          </m:accPr>
          <m:e>
            <m:r>
              <m:t>α</m:t>
            </m:r>
          </m:e>
        </m:acc>
        <m:r>
          <m:rPr>
            <m:sty m:val="p"/>
          </m:rPr>
          <m:t>−</m:t>
        </m:r>
        <m:r>
          <m:t>x</m:t>
        </m:r>
        <m:r>
          <m:rPr>
            <m:sty m:val="p"/>
          </m:rPr>
          <m:t>′</m:t>
        </m:r>
        <m:acc>
          <m:accPr>
            <m:chr m:val="̂"/>
          </m:accPr>
          <m:e>
            <m:r>
              <m:t>β</m:t>
            </m:r>
          </m:e>
        </m:acc>
        <m:r>
          <m:rPr>
            <m:sty m:val="p"/>
          </m:rPr>
          <m:t>)</m:t>
        </m:r>
        <m:r>
          <m:rPr>
            <m:sty m:val="p"/>
          </m:rPr>
          <m:t>]</m:t>
        </m:r>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r>
          <m:rPr>
            <m:sty m:val="p"/>
          </m:rPr>
          <m:t>(</m:t>
        </m:r>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r>
          <m:rPr>
            <m:sty m:val="p"/>
          </m:rPr>
          <m:t>)</m:t>
        </m:r>
      </m:oMath>
      <w:r>
        <w:t xml:space="preserve"> </w:t>
      </w:r>
      <w:r>
        <w:t xml:space="preserve">are the estimated intercept and coefficients (Tab.</w:t>
      </w:r>
      <w:r>
        <w:t xml:space="preserve"> </w:t>
      </w:r>
      <w:r>
        <w:t xml:space="preserve">5</w:t>
      </w:r>
      <w:r>
        <w:t xml:space="preserve">) and</w:t>
      </w:r>
      <w:r>
        <w:t xml:space="preserve"> </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r>
          <m:rPr>
            <m:sty m:val="p"/>
          </m:rPr>
          <m:t>)</m:t>
        </m:r>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r>
          <m:rPr>
            <m:sty m:val="p"/>
          </m:rPr>
          <m:t>[</m:t>
        </m:r>
        <m:r>
          <m:t>1</m:t>
        </m:r>
        <m:r>
          <m:rPr>
            <m:sty m:val="p"/>
          </m:rPr>
          <m:t>+</m:t>
        </m:r>
        <m:r>
          <m:rPr>
            <m:sty m:val="p"/>
          </m:rPr>
          <m:t>e</m:t>
        </m:r>
        <m:r>
          <m:rPr>
            <m:sty m:val="p"/>
          </m:rPr>
          <m:t>x</m:t>
        </m:r>
        <m:r>
          <m:rPr>
            <m:sty m:val="p"/>
          </m:rPr>
          <m:t>p</m:t>
        </m:r>
        <m:r>
          <m:rPr>
            <m:sty m:val="p"/>
          </m:rPr>
          <m:t>(</m:t>
        </m:r>
        <m:r>
          <m:t>6.31</m:t>
        </m:r>
        <m:r>
          <m:rPr>
            <m:sty m:val="p"/>
          </m:rPr>
          <m:t>−</m:t>
        </m:r>
        <m:r>
          <m:t>60</m:t>
        </m:r>
        <m:r>
          <m:rPr>
            <m:sty m:val="p"/>
          </m:rPr>
          <m:t>⋅</m:t>
        </m:r>
        <m:r>
          <m:t>0.02</m:t>
        </m:r>
        <m:r>
          <m:rPr>
            <m:sty m:val="p"/>
          </m:rPr>
          <m:t>)</m:t>
        </m:r>
        <m:r>
          <m:rPr>
            <m:sty m:val="p"/>
          </m:rPr>
          <m:t>]</m:t>
        </m:r>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confidence intervals presented for the model coefficients (Table</w:t>
      </w:r>
      <w:r>
        <w:t xml:space="preserve"> </w:t>
      </w:r>
      <w:r>
        <w:t xml:space="preserve">5</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 Also, the individual odds ratios should not be interpreted as effect measures of individual relations since some variables are correlated.</w:t>
      </w:r>
    </w:p>
    <w:p>
      <w:pPr>
        <w:pStyle w:val="Brdtext"/>
      </w:pPr>
      <w:r>
        <w:t xml:space="preserve">The selected variables are nevertheless coherent with previous studies. Patients with primary osteoarthritis seem less prone to developing PJI than patients receiving THA for other reasons.</w:t>
      </w:r>
      <w:r>
        <w:t xml:space="preserve">[9,22,58,59]</w:t>
      </w:r>
      <w:r>
        <w:t xml:space="preserve"> </w:t>
      </w:r>
      <w:r>
        <w:t xml:space="preserve">Obesity is associated with an increased risk of reoperations or adverse events after THA</w:t>
      </w:r>
      <w:r>
        <w:t xml:space="preserve">[60]</w:t>
      </w:r>
      <w:r>
        <w:t xml:space="preserve"> </w:t>
      </w:r>
      <w:r>
        <w:t xml:space="preserve">and with an increased risk of developing surgical site infections or PJI after total hip or knee arthroplasty.</w:t>
      </w:r>
      <w:r>
        <w:t xml:space="preserve">[6,10,12,45,47]</w:t>
      </w:r>
      <w:r>
        <w:t xml:space="preserve"> </w:t>
      </w:r>
      <w:r>
        <w:t xml:space="preserve">CNS disease (cerebrovascular disease, dementia, hemiplegia, and Parkinson’s disease) has also been previously associated with PJI,</w:t>
      </w:r>
      <w:r>
        <w:t xml:space="preserve">[9]</w:t>
      </w:r>
      <w:r>
        <w:t xml:space="preserve"> </w:t>
      </w:r>
      <w:r>
        <w:t xml:space="preserve">as have male sex,</w:t>
      </w:r>
      <w:r>
        <w:t xml:space="preserve">[20,47,59]</w:t>
      </w:r>
      <w:r>
        <w:t xml:space="preserve"> </w:t>
      </w:r>
      <w:r>
        <w:t xml:space="preserve">liver disease</w:t>
      </w:r>
      <w:r>
        <w:t xml:space="preserve"> </w:t>
      </w:r>
      <w:r>
        <w:t xml:space="preserve">[61]</w:t>
      </w:r>
      <w:r>
        <w:t xml:space="preserve"> </w:t>
      </w:r>
      <w:r>
        <w:t xml:space="preserve">and ASA class.</w:t>
      </w:r>
      <w:r>
        <w:t xml:space="preserve">[14,49,62]</w:t>
      </w:r>
    </w:p>
    <w:p>
      <w:pPr>
        <w:pStyle w:val="Brdtext"/>
      </w:pPr>
      <w:r>
        <w:t xml:space="preserve">THA fixation using cement without antibiotics confers an increased risk of PJI,</w:t>
      </w:r>
      <w:r>
        <w:t xml:space="preserve">[59]</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bookmarkEnd w:id="52"/>
    <w:bookmarkStart w:id="53"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53"/>
    <w:bookmarkStart w:id="55" w:name="conclusion"/>
    <w:p>
      <w:pPr>
        <w:pStyle w:val="Rubrik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54" w:name="page-break-3"/>
    <w:p>
      <w:pPr>
        <w:pStyle w:val="Rubrik5"/>
      </w:pPr>
      <w:r>
        <w:t xml:space="preserve">Page break</w:t>
      </w:r>
    </w:p>
    <w:bookmarkEnd w:id="54"/>
    <w:bookmarkEnd w:id="55"/>
    <w:bookmarkEnd w:id="56"/>
    <w:bookmarkStart w:id="57" w:name="contribution-of-authors"/>
    <w:p>
      <w:pPr>
        <w:pStyle w:val="Rubrik1"/>
      </w:pPr>
      <w:r>
        <w:t xml:space="preserve">Contribution of authors</w:t>
      </w:r>
    </w:p>
    <w:p>
      <w:pPr>
        <w:pStyle w:val="FirstParagraph"/>
      </w:pPr>
      <w:r>
        <w:t xml:space="preserve">NPH initiated the study. OR managed the ethical review board application in Sweden and ABP in Denmark. EB developed the statistical model. IT and UH performed the external validation. NPH and EB drafted, and all authors edited and finalized the manuscript.</w:t>
      </w:r>
    </w:p>
    <w:bookmarkEnd w:id="57"/>
    <w:bookmarkStart w:id="58"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58"/>
    <w:bookmarkStart w:id="60"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59">
        <w:r>
          <w:rPr>
            <w:rStyle w:val="Hyperlnk"/>
          </w:rPr>
          <w:t xml:space="preserve">https://registercentrum.se/vara-tjaenster/datauttag/p/B1eeV66QE</w:t>
        </w:r>
      </w:hyperlink>
      <w:r>
        <w:t xml:space="preserve">).</w:t>
      </w:r>
    </w:p>
    <w:bookmarkEnd w:id="60"/>
    <w:bookmarkStart w:id="74" w:name="disclosure"/>
    <w:p>
      <w:pPr>
        <w:pStyle w:val="Rubrik1"/>
      </w:pPr>
      <w:r>
        <w:t xml:space="preserve">Disclosure</w:t>
      </w:r>
    </w:p>
    <w:p>
      <w:pPr>
        <w:pStyle w:val="FirstParagraph"/>
      </w:pPr>
      <w:r>
        <w:t xml:space="preserve">All authors have completed the ICMJE uniform disclosure form at</w:t>
      </w:r>
      <w:r>
        <w:t xml:space="preserve"> </w:t>
      </w:r>
      <w:hyperlink r:id="rId61">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Start w:id="64" w:name="page-break-4"/>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62"/>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63"/>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64"/>
    <w:bookmarkStart w:id="66" w:name="page-break-5"/>
    <w:p>
      <w:pPr>
        <w:pStyle w:val="Rubrik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title="" id="1" name="Picture"/>
            <a:graphic>
              <a:graphicData uri="http://schemas.openxmlformats.org/drawingml/2006/picture">
                <pic:pic>
                  <pic:nvPicPr>
                    <pic:cNvPr descr="../graphs/roc.png" id="0" name="Picture"/>
                    <pic:cNvPicPr>
                      <a:picLocks noChangeArrowheads="1" noChangeAspect="1"/>
                    </pic:cNvPicPr>
                  </pic:nvPicPr>
                  <pic:blipFill>
                    <a:blip r:embed="rId65"/>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w:t>
      </w:r>
    </w:p>
    <w:bookmarkEnd w:id="66"/>
    <w:bookmarkStart w:id="68" w:name="page-break-6"/>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67"/>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68"/>
    <w:bookmarkStart w:id="70" w:name="page-break-7"/>
    <w:p>
      <w:pPr>
        <w:pStyle w:val="Rubrik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6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w:t>
      </w:r>
    </w:p>
    <w:bookmarkEnd w:id="70"/>
    <w:bookmarkStart w:id="72" w:name="page-break-8"/>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71"/>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w:t>
      </w:r>
    </w:p>
    <w:bookmarkEnd w:id="72"/>
    <w:bookmarkStart w:id="73" w:name="page-break-9"/>
    <w:p>
      <w:pPr>
        <w:pStyle w:val="Rubrik5"/>
      </w:pPr>
      <w:r>
        <w:t xml:space="preserve">PAGE BREAK</w:t>
      </w:r>
    </w:p>
    <w:bookmarkEnd w:id="73"/>
    <w:bookmarkEnd w:id="74"/>
    <w:bookmarkStart w:id="78" w:name="supplementary"/>
    <w:p>
      <w:pPr>
        <w:pStyle w:val="Rubrik1"/>
      </w:pPr>
      <w:r>
        <w:t xml:space="preserve">Supplementary</w:t>
      </w:r>
    </w:p>
    <w:bookmarkStart w:id="77" w:name="model-coefficients"/>
    <w:p>
      <w:pPr>
        <w:pStyle w:val="Rubrik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cohorts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7</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w:t>
      </w:r>
    </w:p>
    <w:tbl>
      <w:tblPr>
        <w:tblStyle w:val="Table"/>
        <w:tblW w:type="pct" w:w="0.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tr>
        <w:tc>
          <w:p>
            <w:pPr>
              <w:pStyle w:val="Compact"/>
              <w:jc w:val="left"/>
            </w:pPr>
            <w:r>
              <w:t xml:space="preserve">variable</w:t>
            </w:r>
          </w:p>
        </w:tc>
        <w:tc>
          <w:p>
            <w:pPr>
              <w:pStyle w:val="Compact"/>
              <w:jc w:val="left"/>
            </w:pPr>
            <w:r>
              <w:t xml:space="preserve">level</w:t>
            </w:r>
          </w:p>
        </w:tc>
        <w:tc>
          <w:p>
            <w:pPr>
              <w:pStyle w:val="Compact"/>
              <w:jc w:val="right"/>
            </w:pPr>
            <w:r>
              <w:t xml:space="preserve">Swedish</w:t>
            </w:r>
          </w:p>
        </w:tc>
        <w:tc>
          <w:p>
            <w:pPr>
              <w:pStyle w:val="Compact"/>
              <w:jc w:val="right"/>
            </w:pPr>
            <w:r>
              <w:t xml:space="preserve">Danish</w:t>
            </w:r>
          </w:p>
        </w:tc>
        <w:tc>
          <w:p>
            <w:pPr>
              <w:pStyle w:val="Compact"/>
              <w:jc w:val="left"/>
            </w:pPr>
            <w:r>
              <w:t xml:space="preserve">95 % CI</w:t>
            </w:r>
          </w:p>
        </w:tc>
      </w:tr>
      <w:tr>
        <w:tc>
          <w:p>
            <w:pPr>
              <w:pStyle w:val="Compact"/>
              <w:jc w:val="left"/>
            </w:pPr>
            <w:r>
              <w:t xml:space="preserve">(Intercept)</w:t>
            </w:r>
          </w:p>
        </w:tc>
        <w:tc>
          <w:p/>
        </w:tc>
        <w:tc>
          <w:p>
            <w:pPr>
              <w:pStyle w:val="Compact"/>
              <w:jc w:val="right"/>
            </w:pPr>
            <w:r>
              <w:t xml:space="preserve">-6.31</w:t>
            </w:r>
          </w:p>
        </w:tc>
        <w:tc>
          <w:p>
            <w:pPr>
              <w:pStyle w:val="Compact"/>
              <w:jc w:val="right"/>
            </w:pPr>
            <w:r>
              <w:t xml:space="preserve">-6.26</w:t>
            </w:r>
          </w:p>
        </w:tc>
        <w:tc>
          <w:p/>
        </w:tc>
      </w:tr>
      <w:tr>
        <w:tc>
          <w:p>
            <w:pPr>
              <w:pStyle w:val="Compact"/>
              <w:jc w:val="left"/>
            </w:pPr>
            <w:r>
              <w:t xml:space="preserve">Age</w:t>
            </w:r>
          </w:p>
        </w:tc>
        <w:tc>
          <w:p/>
        </w:tc>
        <w:tc>
          <w:p>
            <w:pPr>
              <w:pStyle w:val="Compact"/>
              <w:jc w:val="right"/>
            </w:pPr>
            <w:r>
              <w:t xml:space="preserve">0.02</w:t>
            </w:r>
          </w:p>
        </w:tc>
        <w:tc>
          <w:p>
            <w:pPr>
              <w:pStyle w:val="Compact"/>
              <w:jc w:val="right"/>
            </w:pPr>
            <w:r>
              <w:t xml:space="preserve">0.02</w:t>
            </w:r>
          </w:p>
        </w:tc>
        <w:tc>
          <w:p>
            <w:pPr>
              <w:pStyle w:val="Compact"/>
              <w:jc w:val="left"/>
            </w:pPr>
            <w:r>
              <w:t xml:space="preserve">(0.01, 0.03)</w:t>
            </w:r>
          </w:p>
        </w:tc>
      </w:tr>
      <w:tr>
        <w:tc>
          <w:p>
            <w:pPr>
              <w:pStyle w:val="Compact"/>
              <w:jc w:val="left"/>
            </w:pPr>
            <w:r>
              <w:t xml:space="preserve">Arrhythmia</w:t>
            </w:r>
          </w:p>
        </w:tc>
        <w:tc>
          <w:p/>
        </w:tc>
        <w:tc>
          <w:p>
            <w:pPr>
              <w:pStyle w:val="Compact"/>
              <w:jc w:val="right"/>
            </w:pPr>
            <w:r>
              <w:t xml:space="preserve">0.27</w:t>
            </w:r>
          </w:p>
        </w:tc>
        <w:tc>
          <w:p>
            <w:pPr>
              <w:pStyle w:val="Compact"/>
              <w:jc w:val="right"/>
            </w:pPr>
            <w:r>
              <w:t xml:space="preserve">0.14</w:t>
            </w:r>
          </w:p>
        </w:tc>
        <w:tc>
          <w:p>
            <w:pPr>
              <w:pStyle w:val="Compact"/>
              <w:jc w:val="left"/>
            </w:pPr>
            <w:r>
              <w:t xml:space="preserve">(-0.04, 0.52)</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II</w:t>
            </w:r>
          </w:p>
        </w:tc>
        <w:tc>
          <w:p>
            <w:pPr>
              <w:pStyle w:val="Compact"/>
              <w:jc w:val="right"/>
            </w:pPr>
            <w:r>
              <w:t xml:space="preserve">0.18</w:t>
            </w:r>
          </w:p>
        </w:tc>
        <w:tc>
          <w:p>
            <w:pPr>
              <w:pStyle w:val="Compact"/>
              <w:jc w:val="right"/>
            </w:pPr>
            <w:r>
              <w:t xml:space="preserve">0.38</w:t>
            </w:r>
          </w:p>
        </w:tc>
        <w:tc>
          <w:p>
            <w:pPr>
              <w:pStyle w:val="Compact"/>
              <w:jc w:val="left"/>
            </w:pPr>
            <w:r>
              <w:t xml:space="preserve">(-0.06, 0.45)</w:t>
            </w:r>
          </w:p>
        </w:tc>
      </w:tr>
      <w:tr>
        <w:tc>
          <w:p/>
        </w:tc>
        <w:tc>
          <w:p>
            <w:pPr>
              <w:pStyle w:val="Compact"/>
              <w:jc w:val="left"/>
            </w:pPr>
            <w:r>
              <w:t xml:space="preserve">III</w:t>
            </w:r>
          </w:p>
        </w:tc>
        <w:tc>
          <w:p>
            <w:pPr>
              <w:pStyle w:val="Compact"/>
              <w:jc w:val="right"/>
            </w:pPr>
            <w:r>
              <w:t xml:space="preserve">0.44</w:t>
            </w:r>
          </w:p>
        </w:tc>
        <w:tc>
          <w:p>
            <w:pPr>
              <w:pStyle w:val="Compact"/>
              <w:jc w:val="right"/>
            </w:pPr>
            <w:r>
              <w:t xml:space="preserve">0.51</w:t>
            </w:r>
          </w:p>
        </w:tc>
        <w:tc>
          <w:p>
            <w:pPr>
              <w:pStyle w:val="Compact"/>
              <w:jc w:val="left"/>
            </w:pPr>
            <w:r>
              <w:t xml:space="preserve">(0.12, 0.76)</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overweight</w:t>
            </w:r>
          </w:p>
        </w:tc>
        <w:tc>
          <w:p>
            <w:pPr>
              <w:pStyle w:val="Compact"/>
              <w:jc w:val="right"/>
            </w:pPr>
            <w:r>
              <w:t xml:space="preserve">0.39</w:t>
            </w:r>
          </w:p>
        </w:tc>
        <w:tc>
          <w:p>
            <w:pPr>
              <w:pStyle w:val="Compact"/>
              <w:jc w:val="right"/>
            </w:pPr>
            <w:r>
              <w:t xml:space="preserve">0.42</w:t>
            </w:r>
          </w:p>
        </w:tc>
        <w:tc>
          <w:p>
            <w:pPr>
              <w:pStyle w:val="Compact"/>
              <w:jc w:val="left"/>
            </w:pPr>
            <w:r>
              <w:t xml:space="preserve">(0.16, 0.62)</w:t>
            </w:r>
          </w:p>
        </w:tc>
      </w:tr>
      <w:tr>
        <w:tc>
          <w:p/>
        </w:tc>
        <w:tc>
          <w:p>
            <w:pPr>
              <w:pStyle w:val="Compact"/>
              <w:jc w:val="left"/>
            </w:pPr>
            <w:r>
              <w:t xml:space="preserve">class I obesity</w:t>
            </w:r>
          </w:p>
        </w:tc>
        <w:tc>
          <w:p>
            <w:pPr>
              <w:pStyle w:val="Compact"/>
              <w:jc w:val="right"/>
            </w:pPr>
            <w:r>
              <w:t xml:space="preserve">0.81</w:t>
            </w:r>
          </w:p>
        </w:tc>
        <w:tc>
          <w:p>
            <w:pPr>
              <w:pStyle w:val="Compact"/>
              <w:jc w:val="right"/>
            </w:pPr>
            <w:r>
              <w:t xml:space="preserve">0.69</w:t>
            </w:r>
          </w:p>
        </w:tc>
        <w:tc>
          <w:p>
            <w:pPr>
              <w:pStyle w:val="Compact"/>
              <w:jc w:val="left"/>
            </w:pPr>
            <w:r>
              <w:t xml:space="preserve">(0.56, 1.08)</w:t>
            </w:r>
          </w:p>
        </w:tc>
      </w:tr>
      <w:tr>
        <w:tc>
          <w:p/>
        </w:tc>
        <w:tc>
          <w:p>
            <w:pPr>
              <w:pStyle w:val="Compact"/>
              <w:jc w:val="left"/>
            </w:pPr>
            <w:r>
              <w:t xml:space="preserve">class II-III obesity</w:t>
            </w:r>
          </w:p>
        </w:tc>
        <w:tc>
          <w:p>
            <w:pPr>
              <w:pStyle w:val="Compact"/>
              <w:jc w:val="right"/>
            </w:pPr>
            <w:r>
              <w:t xml:space="preserve">1.40</w:t>
            </w:r>
          </w:p>
        </w:tc>
        <w:tc>
          <w:p>
            <w:pPr>
              <w:pStyle w:val="Compact"/>
              <w:jc w:val="right"/>
            </w:pPr>
            <w:r>
              <w:t xml:space="preserve">1.55</w:t>
            </w:r>
          </w:p>
        </w:tc>
        <w:tc>
          <w:p>
            <w:pPr>
              <w:pStyle w:val="Compact"/>
              <w:jc w:val="left"/>
            </w:pPr>
            <w:r>
              <w:t xml:space="preserve">(1.08, 1.70)</w:t>
            </w:r>
          </w:p>
        </w:tc>
      </w:tr>
      <w:tr>
        <w:tc>
          <w:p>
            <w:pPr>
              <w:pStyle w:val="Compact"/>
              <w:jc w:val="left"/>
            </w:pPr>
            <w:r>
              <w:t xml:space="preserve">CNS disease</w:t>
            </w:r>
          </w:p>
        </w:tc>
        <w:tc>
          <w:p/>
        </w:tc>
        <w:tc>
          <w:p>
            <w:pPr>
              <w:pStyle w:val="Compact"/>
              <w:jc w:val="right"/>
            </w:pPr>
            <w:r>
              <w:t xml:space="preserve">0.69</w:t>
            </w:r>
          </w:p>
        </w:tc>
        <w:tc>
          <w:p>
            <w:pPr>
              <w:pStyle w:val="Compact"/>
              <w:jc w:val="right"/>
            </w:pPr>
            <w:r>
              <w:t xml:space="preserve">0.79</w:t>
            </w:r>
          </w:p>
        </w:tc>
        <w:tc>
          <w:p>
            <w:pPr>
              <w:pStyle w:val="Compact"/>
              <w:jc w:val="left"/>
            </w:pPr>
            <w:r>
              <w:t xml:space="preserve">(0.32, 0.99)</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right"/>
            </w:pPr>
            <w:r>
              <w:t xml:space="preserve">-0.52</w:t>
            </w:r>
          </w:p>
        </w:tc>
        <w:tc>
          <w:p>
            <w:pPr>
              <w:pStyle w:val="Compact"/>
              <w:jc w:val="left"/>
            </w:pPr>
            <w:r>
              <w:t xml:space="preserve">(-0.37, 0.89)</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right"/>
            </w:pPr>
            <w:r>
              <w:t xml:space="preserve">0.82</w:t>
            </w:r>
          </w:p>
        </w:tc>
        <w:tc>
          <w:p>
            <w:pPr>
              <w:pStyle w:val="Compact"/>
              <w:jc w:val="left"/>
            </w:pPr>
            <w:r>
              <w:t xml:space="preserve">(0.00, 0.99)</w:t>
            </w:r>
          </w:p>
        </w:tc>
      </w:tr>
      <w:tr>
        <w:tc>
          <w:p/>
        </w:tc>
        <w:tc>
          <w:p>
            <w:pPr>
              <w:pStyle w:val="Compact"/>
              <w:jc w:val="left"/>
            </w:pPr>
            <w:r>
              <w:t xml:space="preserve">Secondary osteoarthritis</w:t>
            </w:r>
          </w:p>
        </w:tc>
        <w:tc>
          <w:p>
            <w:pPr>
              <w:pStyle w:val="Compact"/>
              <w:jc w:val="right"/>
            </w:pPr>
            <w:r>
              <w:t xml:space="preserve">0.74</w:t>
            </w:r>
          </w:p>
        </w:tc>
        <w:tc>
          <w:p>
            <w:pPr>
              <w:pStyle w:val="Compact"/>
              <w:jc w:val="right"/>
            </w:pPr>
            <w:r>
              <w:t xml:space="preserve">0.44</w:t>
            </w:r>
          </w:p>
        </w:tc>
        <w:tc>
          <w:p>
            <w:pPr>
              <w:pStyle w:val="Compact"/>
              <w:jc w:val="left"/>
            </w:pPr>
            <w:r>
              <w:t xml:space="preserve">(0.44, 1.00)</w:t>
            </w:r>
          </w:p>
        </w:tc>
      </w:tr>
      <w:tr>
        <w:tc>
          <w:p/>
        </w:tc>
        <w:tc>
          <w:p>
            <w:pPr>
              <w:pStyle w:val="Compact"/>
              <w:jc w:val="left"/>
            </w:pPr>
            <w:r>
              <w:t xml:space="preserve">Inflammatory joint disease</w:t>
            </w:r>
          </w:p>
        </w:tc>
        <w:tc>
          <w:p>
            <w:pPr>
              <w:pStyle w:val="Compact"/>
              <w:jc w:val="right"/>
            </w:pPr>
            <w:r>
              <w:t xml:space="preserve">0.94</w:t>
            </w:r>
          </w:p>
        </w:tc>
        <w:tc>
          <w:p>
            <w:pPr>
              <w:pStyle w:val="Compact"/>
              <w:jc w:val="right"/>
            </w:pPr>
            <w:r>
              <w:t xml:space="preserve">0.41</w:t>
            </w:r>
          </w:p>
        </w:tc>
        <w:tc>
          <w:p>
            <w:pPr>
              <w:pStyle w:val="Compact"/>
              <w:jc w:val="left"/>
            </w:pPr>
            <w:r>
              <w:t xml:space="preserve">(0.27, 1.38)</w:t>
            </w:r>
          </w:p>
        </w:tc>
      </w:tr>
      <w:tr>
        <w:tc>
          <w:p>
            <w:pPr>
              <w:pStyle w:val="Compact"/>
              <w:jc w:val="left"/>
            </w:pPr>
            <w:r>
              <w:t xml:space="preserve">Fluid electrolyte disorders</w:t>
            </w:r>
          </w:p>
        </w:tc>
        <w:tc>
          <w:p/>
        </w:tc>
        <w:tc>
          <w:p>
            <w:pPr>
              <w:pStyle w:val="Compact"/>
              <w:jc w:val="right"/>
            </w:pPr>
            <w:r>
              <w:t xml:space="preserve">0.42</w:t>
            </w:r>
          </w:p>
        </w:tc>
        <w:tc>
          <w:p>
            <w:pPr>
              <w:pStyle w:val="Compact"/>
              <w:jc w:val="right"/>
            </w:pPr>
            <w:r>
              <w:t xml:space="preserve">0.27</w:t>
            </w:r>
          </w:p>
        </w:tc>
        <w:tc>
          <w:p>
            <w:pPr>
              <w:pStyle w:val="Compact"/>
              <w:jc w:val="left"/>
            </w:pPr>
            <w:r>
              <w:t xml:space="preserve">(-0.70, 1.05)</w:t>
            </w:r>
          </w:p>
        </w:tc>
      </w:tr>
      <w:tr>
        <w:tc>
          <w:p>
            <w:pPr>
              <w:pStyle w:val="Compact"/>
              <w:jc w:val="left"/>
            </w:pPr>
            <w:r>
              <w:t xml:space="preserve">Liver disease</w:t>
            </w:r>
          </w:p>
        </w:tc>
        <w:tc>
          <w:p/>
        </w:tc>
        <w:tc>
          <w:p>
            <w:pPr>
              <w:pStyle w:val="Compact"/>
              <w:jc w:val="right"/>
            </w:pPr>
            <w:r>
              <w:t xml:space="preserve">0.75</w:t>
            </w:r>
          </w:p>
        </w:tc>
        <w:tc>
          <w:p>
            <w:pPr>
              <w:pStyle w:val="Compact"/>
              <w:jc w:val="right"/>
            </w:pPr>
            <w:r>
              <w:t xml:space="preserve">0.48</w:t>
            </w:r>
          </w:p>
        </w:tc>
        <w:tc>
          <w:p>
            <w:pPr>
              <w:pStyle w:val="Compact"/>
              <w:jc w:val="left"/>
            </w:pPr>
            <w:r>
              <w:t xml:space="preserve">(-0.20, 1.39)</w:t>
            </w:r>
          </w:p>
        </w:tc>
      </w:tr>
      <w:tr>
        <w:tc>
          <w:p>
            <w:pPr>
              <w:pStyle w:val="Compact"/>
              <w:jc w:val="left"/>
            </w:pPr>
            <w:r>
              <w:t xml:space="preserve">Lung airways disease</w:t>
            </w:r>
          </w:p>
        </w:tc>
        <w:tc>
          <w:p/>
        </w:tc>
        <w:tc>
          <w:p>
            <w:pPr>
              <w:pStyle w:val="Compact"/>
              <w:jc w:val="right"/>
            </w:pPr>
            <w:r>
              <w:t xml:space="preserve">0.27</w:t>
            </w:r>
          </w:p>
        </w:tc>
        <w:tc>
          <w:p>
            <w:pPr>
              <w:pStyle w:val="Compact"/>
              <w:jc w:val="right"/>
            </w:pPr>
            <w:r>
              <w:t xml:space="preserve">0.30</w:t>
            </w:r>
          </w:p>
        </w:tc>
        <w:tc>
          <w:p>
            <w:pPr>
              <w:pStyle w:val="Compact"/>
              <w:jc w:val="left"/>
            </w:pPr>
            <w:r>
              <w:t xml:space="preserve">(-0.07, 0.55)</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Male</w:t>
            </w:r>
          </w:p>
        </w:tc>
        <w:tc>
          <w:p>
            <w:pPr>
              <w:pStyle w:val="Compact"/>
              <w:jc w:val="right"/>
            </w:pPr>
            <w:r>
              <w:t xml:space="preserve">0.37</w:t>
            </w:r>
          </w:p>
        </w:tc>
        <w:tc>
          <w:p>
            <w:pPr>
              <w:pStyle w:val="Compact"/>
              <w:jc w:val="right"/>
            </w:pPr>
            <w:r>
              <w:t xml:space="preserve">0.32</w:t>
            </w:r>
          </w:p>
        </w:tc>
        <w:tc>
          <w:p/>
        </w:tc>
      </w:tr>
    </w:tbl>
    <w:p>
      <w:pPr>
        <w:pStyle w:val="CaptionedFigure"/>
      </w:pPr>
      <w:r>
        <w:drawing>
          <wp:inline>
            <wp:extent cx="5969000" cy="2984500"/>
            <wp:effectExtent b="0" l="0" r="0" t="0"/>
            <wp:docPr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7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w:t>
      </w:r>
    </w:p>
    <w:bookmarkStart w:id="76" w:name="page-break-10"/>
    <w:p>
      <w:pPr>
        <w:pStyle w:val="Rubrik5"/>
      </w:pPr>
      <w:r>
        <w:t xml:space="preserve">PAGE BREAK</w:t>
      </w:r>
    </w:p>
    <w:bookmarkEnd w:id="76"/>
    <w:bookmarkEnd w:id="77"/>
    <w:bookmarkEnd w:id="78"/>
    <w:bookmarkStart w:id="202" w:name="bibliography"/>
    <w:p>
      <w:pPr>
        <w:pStyle w:val="Rubrik1"/>
      </w:pPr>
      <w:r>
        <w:t xml:space="preserve">Bibliography</w:t>
      </w:r>
    </w:p>
    <w:bookmarkStart w:id="201" w:name="refs"/>
    <w:bookmarkStart w:id="80"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w:t>
      </w:r>
      <w:r>
        <w:t xml:space="preserve">2006;</w:t>
      </w:r>
      <w:r>
        <w:rPr>
          <w:bCs/>
          <w:b/>
        </w:rPr>
        <w:t xml:space="preserve">20</w:t>
      </w:r>
      <w:r>
        <w:t xml:space="preserve">:1045–63. doi:</w:t>
      </w:r>
      <w:hyperlink r:id="rId79">
        <w:r>
          <w:rPr>
            <w:rStyle w:val="Hyperlnk"/>
          </w:rPr>
          <w:t xml:space="preserve">10.1016/j.berh.2006.08.003</w:t>
        </w:r>
      </w:hyperlink>
    </w:p>
    <w:bookmarkEnd w:id="80"/>
    <w:bookmarkStart w:id="82" w:name="ref-Kapadia2016"/>
    <w:p>
      <w:pPr>
        <w:pStyle w:val="Litteraturfrteckning"/>
      </w:pPr>
      <w:r>
        <w:t xml:space="preserve">2</w:t>
      </w:r>
      <w:r>
        <w:t xml:space="preserve"> </w:t>
      </w:r>
      <w:r>
        <w:t xml:space="preserve">	</w:t>
      </w:r>
      <w:r>
        <w:t xml:space="preserve">Kapadia BH, Berg RA, Daley JA,</w:t>
      </w:r>
      <w:r>
        <w:t xml:space="preserve"> </w:t>
      </w:r>
      <w:r>
        <w:rPr>
          <w:iCs/>
          <w:i/>
        </w:rPr>
        <w:t xml:space="preserve">et al.</w:t>
      </w:r>
      <w:r>
        <w:t xml:space="preserve"> Periprosthetic joint infection.</w:t>
      </w:r>
      <w:r>
        <w:t xml:space="preserve"> </w:t>
      </w:r>
      <w:r>
        <w:rPr>
          <w:iCs/>
          <w:i/>
        </w:rPr>
        <w:t xml:space="preserve">The Lancet</w:t>
      </w:r>
      <w:r>
        <w:t xml:space="preserve"> </w:t>
      </w:r>
      <w:r>
        <w:t xml:space="preserve">2016;</w:t>
      </w:r>
      <w:r>
        <w:rPr>
          <w:bCs/>
          <w:b/>
        </w:rPr>
        <w:t xml:space="preserve">387</w:t>
      </w:r>
      <w:r>
        <w:t xml:space="preserve">:386–94. doi:</w:t>
      </w:r>
      <w:hyperlink r:id="rId81">
        <w:r>
          <w:rPr>
            <w:rStyle w:val="Hyperlnk"/>
          </w:rPr>
          <w:t xml:space="preserve">10.1016/S0140-6736(14)61798-0</w:t>
        </w:r>
      </w:hyperlink>
    </w:p>
    <w:bookmarkEnd w:id="82"/>
    <w:bookmarkStart w:id="84" w:name="ref-Shohat2019"/>
    <w:p>
      <w:pPr>
        <w:pStyle w:val="Litteraturfrteckning"/>
      </w:pPr>
      <w:r>
        <w:t xml:space="preserve">3</w:t>
      </w:r>
      <w:r>
        <w:t xml:space="preserve"> </w:t>
      </w:r>
      <w:r>
        <w:t xml:space="preserve">	</w:t>
      </w:r>
      <w:r>
        <w:t xml:space="preserve">Shohat N, Bauer T, Buttaro M,</w:t>
      </w:r>
      <w:r>
        <w:t xml:space="preserve"> </w:t>
      </w:r>
      <w:r>
        <w:rPr>
          <w:iCs/>
          <w:i/>
        </w:rPr>
        <w:t xml:space="preserve">et al.</w:t>
      </w:r>
      <w:r>
        <w:t xml:space="preserve">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w:t>
      </w:r>
      <w:r>
        <w:t xml:space="preserve">2019;</w:t>
      </w:r>
      <w:r>
        <w:rPr>
          <w:bCs/>
          <w:b/>
        </w:rPr>
        <w:t xml:space="preserve">34</w:t>
      </w:r>
      <w:r>
        <w:t xml:space="preserve">:S325–7. doi:</w:t>
      </w:r>
      <w:hyperlink r:id="rId83">
        <w:r>
          <w:rPr>
            <w:rStyle w:val="Hyperlnk"/>
          </w:rPr>
          <w:t xml:space="preserve">10.1016/j.arth.2018.09.045</w:t>
        </w:r>
      </w:hyperlink>
    </w:p>
    <w:bookmarkEnd w:id="84"/>
    <w:bookmarkStart w:id="86" w:name="ref-Ridgeway2005"/>
    <w:p>
      <w:pPr>
        <w:pStyle w:val="Litteraturfrteckning"/>
      </w:pPr>
      <w:r>
        <w:t xml:space="preserve">4</w:t>
      </w:r>
      <w:r>
        <w:t xml:space="preserve"> </w:t>
      </w:r>
      <w:r>
        <w:t xml:space="preserve">	</w:t>
      </w:r>
      <w:r>
        <w:t xml:space="preserve">Ridgeway S, Wilson J, Charlet A,</w:t>
      </w:r>
      <w:r>
        <w:t xml:space="preserve"> </w:t>
      </w:r>
      <w:r>
        <w:rPr>
          <w:iCs/>
          <w:i/>
        </w:rPr>
        <w:t xml:space="preserve">et al.</w:t>
      </w:r>
      <w:r>
        <w:t xml:space="preserve"> Infection of the surgical site after arthroplasty of the hip.</w:t>
      </w:r>
      <w:r>
        <w:t xml:space="preserve"> </w:t>
      </w:r>
      <w:r>
        <w:rPr>
          <w:iCs/>
          <w:i/>
        </w:rPr>
        <w:t xml:space="preserve">The Journal of Bone and Joint Surgery British volume</w:t>
      </w:r>
      <w:r>
        <w:t xml:space="preserve"> </w:t>
      </w:r>
      <w:r>
        <w:t xml:space="preserve">2005;</w:t>
      </w:r>
      <w:r>
        <w:rPr>
          <w:bCs/>
          <w:b/>
        </w:rPr>
        <w:t xml:space="preserve">87-B</w:t>
      </w:r>
      <w:r>
        <w:t xml:space="preserve">:844–50. doi:</w:t>
      </w:r>
      <w:hyperlink r:id="rId85">
        <w:r>
          <w:rPr>
            <w:rStyle w:val="Hyperlnk"/>
          </w:rPr>
          <w:t xml:space="preserve">10.1302/0301-620X.87B6.15121</w:t>
        </w:r>
      </w:hyperlink>
    </w:p>
    <w:bookmarkEnd w:id="86"/>
    <w:bookmarkStart w:id="88" w:name="ref-Lai2007"/>
    <w:p>
      <w:pPr>
        <w:pStyle w:val="Litteraturfrteckning"/>
      </w:pPr>
      <w:r>
        <w:t xml:space="preserve">5</w:t>
      </w:r>
      <w:r>
        <w:t xml:space="preserve"> </w:t>
      </w:r>
      <w:r>
        <w:t xml:space="preserve">	</w:t>
      </w:r>
      <w:r>
        <w:t xml:space="preserve">Lai K, Bohm ER, Burnell C,</w:t>
      </w:r>
      <w:r>
        <w:t xml:space="preserve"> </w:t>
      </w:r>
      <w:r>
        <w:rPr>
          <w:iCs/>
          <w:i/>
        </w:rPr>
        <w:t xml:space="preserve">et al.</w:t>
      </w:r>
      <w:r>
        <w:t xml:space="preserve">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w:t>
      </w:r>
      <w:r>
        <w:t xml:space="preserve">2007;</w:t>
      </w:r>
      <w:r>
        <w:rPr>
          <w:bCs/>
          <w:b/>
        </w:rPr>
        <w:t xml:space="preserve">22</w:t>
      </w:r>
      <w:r>
        <w:t xml:space="preserve">:651–6. doi:</w:t>
      </w:r>
      <w:hyperlink r:id="rId87">
        <w:r>
          <w:rPr>
            <w:rStyle w:val="Hyperlnk"/>
          </w:rPr>
          <w:t xml:space="preserve">10.1016/j.arth.2006.09.002</w:t>
        </w:r>
      </w:hyperlink>
    </w:p>
    <w:bookmarkEnd w:id="88"/>
    <w:bookmarkStart w:id="90" w:name="ref-Malinzak2009"/>
    <w:p>
      <w:pPr>
        <w:pStyle w:val="Litteraturfrteckning"/>
      </w:pPr>
      <w:r>
        <w:t xml:space="preserve">6</w:t>
      </w:r>
      <w:r>
        <w:t xml:space="preserve"> </w:t>
      </w:r>
      <w:r>
        <w:t xml:space="preserve">	</w:t>
      </w:r>
      <w:r>
        <w:t xml:space="preserve">Malinzak RA, Ritter MA, Berend ME,</w:t>
      </w:r>
      <w:r>
        <w:t xml:space="preserve"> </w:t>
      </w:r>
      <w:r>
        <w:rPr>
          <w:iCs/>
          <w:i/>
        </w:rPr>
        <w:t xml:space="preserve">et al.</w:t>
      </w:r>
      <w:r>
        <w:t xml:space="preserv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w:t>
      </w:r>
      <w:r>
        <w:t xml:space="preserve">2009;</w:t>
      </w:r>
      <w:r>
        <w:rPr>
          <w:bCs/>
          <w:b/>
        </w:rPr>
        <w:t xml:space="preserve">24</w:t>
      </w:r>
      <w:r>
        <w:t xml:space="preserve">:84–8. doi:</w:t>
      </w:r>
      <w:hyperlink r:id="rId89">
        <w:r>
          <w:rPr>
            <w:rStyle w:val="Hyperlnk"/>
          </w:rPr>
          <w:t xml:space="preserve">10.1016/j.arth.2009.05.016</w:t>
        </w:r>
      </w:hyperlink>
    </w:p>
    <w:bookmarkEnd w:id="90"/>
    <w:bookmarkStart w:id="92" w:name="ref-Ong2009"/>
    <w:p>
      <w:pPr>
        <w:pStyle w:val="Litteraturfrteckning"/>
      </w:pPr>
      <w:r>
        <w:t xml:space="preserve">7</w:t>
      </w:r>
      <w:r>
        <w:t xml:space="preserve"> </w:t>
      </w:r>
      <w:r>
        <w:t xml:space="preserve">	</w:t>
      </w:r>
      <w:r>
        <w:t xml:space="preserve">Ong KL, Kurtz SM, Lau E,</w:t>
      </w:r>
      <w:r>
        <w:t xml:space="preserve"> </w:t>
      </w:r>
      <w:r>
        <w:rPr>
          <w:iCs/>
          <w:i/>
        </w:rPr>
        <w:t xml:space="preserve">et al.</w:t>
      </w:r>
      <w:r>
        <w:t xml:space="preserve">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w:t>
      </w:r>
      <w:r>
        <w:t xml:space="preserve">2009;</w:t>
      </w:r>
      <w:r>
        <w:rPr>
          <w:bCs/>
          <w:b/>
        </w:rPr>
        <w:t xml:space="preserve">24</w:t>
      </w:r>
      <w:r>
        <w:t xml:space="preserve">:105–9. doi:</w:t>
      </w:r>
      <w:hyperlink r:id="rId91">
        <w:r>
          <w:rPr>
            <w:rStyle w:val="Hyperlnk"/>
          </w:rPr>
          <w:t xml:space="preserve">10.1016/j.arth.2009.04.027</w:t>
        </w:r>
      </w:hyperlink>
    </w:p>
    <w:bookmarkEnd w:id="92"/>
    <w:bookmarkStart w:id="94" w:name="ref-Pedersen2010"/>
    <w:p>
      <w:pPr>
        <w:pStyle w:val="Litteraturfrteckning"/>
      </w:pPr>
      <w:r>
        <w:t xml:space="preserve">8</w:t>
      </w:r>
      <w:r>
        <w:t xml:space="preserve"> </w:t>
      </w:r>
      <w:r>
        <w:t xml:space="preserve">	</w:t>
      </w:r>
      <w:r>
        <w:t xml:space="preserve">Pedersen AB, Mehnert F, Johnsen SP,</w:t>
      </w:r>
      <w:r>
        <w:t xml:space="preserve"> </w:t>
      </w:r>
      <w:r>
        <w:rPr>
          <w:iCs/>
          <w:i/>
        </w:rPr>
        <w:t xml:space="preserve">et al.</w:t>
      </w:r>
      <w:r>
        <w:t xml:space="preserve">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:929–34. doi:</w:t>
      </w:r>
      <w:hyperlink r:id="rId93">
        <w:r>
          <w:rPr>
            <w:rStyle w:val="Hyperlnk"/>
          </w:rPr>
          <w:t xml:space="preserve">10.1302/0301-620X.92B7.24461</w:t>
        </w:r>
      </w:hyperlink>
    </w:p>
    <w:bookmarkEnd w:id="94"/>
    <w:bookmarkStart w:id="96" w:name="ref-Bozic2012"/>
    <w:p>
      <w:pPr>
        <w:pStyle w:val="Litteraturfrteckning"/>
      </w:pPr>
      <w:r>
        <w:t xml:space="preserve">9</w:t>
      </w:r>
      <w:r>
        <w:t xml:space="preserve"> </w:t>
      </w:r>
      <w:r>
        <w:t xml:space="preserve">	</w:t>
      </w:r>
      <w:r>
        <w:t xml:space="preserve">Bozic KJ, Lau E, Kurtz S,</w:t>
      </w:r>
      <w:r>
        <w:t xml:space="preserve"> </w:t>
      </w:r>
      <w:r>
        <w:rPr>
          <w:iCs/>
          <w:i/>
        </w:rPr>
        <w:t xml:space="preserve">et al.</w:t>
      </w:r>
      <w:r>
        <w:t xml:space="preserve">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w:t>
      </w:r>
      <w:r>
        <w:t xml:space="preserve">2012;</w:t>
      </w:r>
      <w:r>
        <w:rPr>
          <w:bCs/>
          <w:b/>
        </w:rPr>
        <w:t xml:space="preserve">94</w:t>
      </w:r>
      <w:r>
        <w:t xml:space="preserve">:794–800. doi:</w:t>
      </w:r>
      <w:hyperlink r:id="rId95">
        <w:r>
          <w:rPr>
            <w:rStyle w:val="Hyperlnk"/>
          </w:rPr>
          <w:t xml:space="preserve">10.2106/JBJS.K.00072</w:t>
        </w:r>
      </w:hyperlink>
    </w:p>
    <w:bookmarkEnd w:id="96"/>
    <w:bookmarkStart w:id="98" w:name="ref-Jamsen2012"/>
    <w:p>
      <w:pPr>
        <w:pStyle w:val="Litteraturfrteckning"/>
      </w:pPr>
      <w:r>
        <w:t xml:space="preserve">10</w:t>
      </w:r>
      <w:r>
        <w:t xml:space="preserve"> </w:t>
      </w:r>
      <w:r>
        <w:t xml:space="preserve">	</w:t>
      </w:r>
      <w:r>
        <w:t xml:space="preserve">Jämsen E, Nevalainen P, Eskelinen A,</w:t>
      </w:r>
      <w:r>
        <w:t xml:space="preserve"> </w:t>
      </w:r>
      <w:r>
        <w:rPr>
          <w:iCs/>
          <w:i/>
        </w:rPr>
        <w:t xml:space="preserve">et al.</w:t>
      </w:r>
      <w:r>
        <w:t xml:space="preserve">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w:t>
      </w:r>
      <w:r>
        <w:t xml:space="preserve">2012;</w:t>
      </w:r>
      <w:r>
        <w:rPr>
          <w:bCs/>
          <w:b/>
        </w:rPr>
        <w:t xml:space="preserve">94</w:t>
      </w:r>
      <w:r>
        <w:t xml:space="preserve">:e101-1-9. doi:</w:t>
      </w:r>
      <w:hyperlink r:id="rId97">
        <w:r>
          <w:rPr>
            <w:rStyle w:val="Hyperlnk"/>
          </w:rPr>
          <w:t xml:space="preserve">10.2106/JBJS.J.01935</w:t>
        </w:r>
      </w:hyperlink>
    </w:p>
    <w:bookmarkEnd w:id="98"/>
    <w:bookmarkStart w:id="100" w:name="ref-Rasouli2014a"/>
    <w:p>
      <w:pPr>
        <w:pStyle w:val="Litteraturfrteckning"/>
      </w:pPr>
      <w:r>
        <w:t xml:space="preserve">11</w:t>
      </w:r>
      <w:r>
        <w:t xml:space="preserve"> </w:t>
      </w:r>
      <w:r>
        <w:t xml:space="preserve">	</w:t>
      </w:r>
      <w:r>
        <w:t xml:space="preserve">Rasouli MR, Restrepo C, Maltenfort MG,</w:t>
      </w:r>
      <w:r>
        <w:t xml:space="preserve"> </w:t>
      </w:r>
      <w:r>
        <w:rPr>
          <w:iCs/>
          <w:i/>
        </w:rPr>
        <w:t xml:space="preserve">et al.</w:t>
      </w:r>
      <w:r>
        <w:t xml:space="preserve">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w:t>
      </w:r>
      <w:r>
        <w:t xml:space="preserve">2014;</w:t>
      </w:r>
      <w:r>
        <w:rPr>
          <w:bCs/>
          <w:b/>
        </w:rPr>
        <w:t xml:space="preserve">96</w:t>
      </w:r>
      <w:r>
        <w:t xml:space="preserve">:e158-1-5. doi:</w:t>
      </w:r>
      <w:hyperlink r:id="rId99">
        <w:r>
          <w:rPr>
            <w:rStyle w:val="Hyperlnk"/>
          </w:rPr>
          <w:t xml:space="preserve">10.2106/JBJS.M.01363</w:t>
        </w:r>
      </w:hyperlink>
    </w:p>
    <w:bookmarkEnd w:id="100"/>
    <w:bookmarkStart w:id="102" w:name="ref-Maoz2015"/>
    <w:p>
      <w:pPr>
        <w:pStyle w:val="Litteraturfrteckning"/>
      </w:pPr>
      <w:r>
        <w:t xml:space="preserve">12</w:t>
      </w:r>
      <w:r>
        <w:t xml:space="preserve"> </w:t>
      </w:r>
      <w:r>
        <w:t xml:space="preserve">	</w:t>
      </w:r>
      <w:r>
        <w:t xml:space="preserve">Maoz G, Phillips M, Bosco J,</w:t>
      </w:r>
      <w:r>
        <w:t xml:space="preserve"> </w:t>
      </w:r>
      <w:r>
        <w:rPr>
          <w:iCs/>
          <w:i/>
        </w:rPr>
        <w:t xml:space="preserve">et al.</w:t>
      </w:r>
      <w:r>
        <w:t xml:space="preserve">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w:t>
      </w:r>
      <w:r>
        <w:t xml:space="preserve">2015;</w:t>
      </w:r>
      <w:r>
        <w:rPr>
          <w:bCs/>
          <w:b/>
        </w:rPr>
        <w:t xml:space="preserve">473</w:t>
      </w:r>
      <w:r>
        <w:t xml:space="preserve">:453–9. doi:</w:t>
      </w:r>
      <w:hyperlink r:id="rId101">
        <w:r>
          <w:rPr>
            <w:rStyle w:val="Hyperlnk"/>
          </w:rPr>
          <w:t xml:space="preserve">10.1007/s11999-014-3780-x</w:t>
        </w:r>
      </w:hyperlink>
    </w:p>
    <w:bookmarkEnd w:id="102"/>
    <w:bookmarkStart w:id="104" w:name="ref-Haynes1995"/>
    <w:p>
      <w:pPr>
        <w:pStyle w:val="Litteraturfrteckning"/>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w:t>
      </w:r>
      <w:r>
        <w:t xml:space="preserve">1995;</w:t>
      </w:r>
      <w:r>
        <w:rPr>
          <w:bCs/>
          <w:b/>
        </w:rPr>
        <w:t xml:space="preserve">50</w:t>
      </w:r>
      <w:r>
        <w:t xml:space="preserve">:195–9.</w:t>
      </w:r>
      <w:hyperlink r:id="rId103">
        <w:r>
          <w:rPr>
            <w:rStyle w:val="Hyperlnk"/>
          </w:rPr>
          <w:t xml:space="preserve">http://www.ncbi.nlm.nih.gov/pubmed/7717481</w:t>
        </w:r>
      </w:hyperlink>
    </w:p>
    <w:bookmarkEnd w:id="104"/>
    <w:bookmarkStart w:id="106" w:name="ref-Berbari2012"/>
    <w:p>
      <w:pPr>
        <w:pStyle w:val="Litteraturfrteckning"/>
      </w:pPr>
      <w:r>
        <w:t xml:space="preserve">14</w:t>
      </w:r>
      <w:r>
        <w:t xml:space="preserve"> </w:t>
      </w:r>
      <w:r>
        <w:t xml:space="preserve">	</w:t>
      </w:r>
      <w:r>
        <w:t xml:space="preserve">Berbari EF, Osmon DR, Lahr B,</w:t>
      </w:r>
      <w:r>
        <w:t xml:space="preserve"> </w:t>
      </w:r>
      <w:r>
        <w:rPr>
          <w:iCs/>
          <w:i/>
        </w:rPr>
        <w:t xml:space="preserve">et al.</w:t>
      </w:r>
      <w:r>
        <w:t xml:space="preserve">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w:t>
      </w:r>
      <w:r>
        <w:t xml:space="preserve">2012;</w:t>
      </w:r>
      <w:r>
        <w:rPr>
          <w:bCs/>
          <w:b/>
        </w:rPr>
        <w:t xml:space="preserve">33</w:t>
      </w:r>
      <w:r>
        <w:t xml:space="preserve">:774–81. doi:</w:t>
      </w:r>
      <w:hyperlink r:id="rId105">
        <w:r>
          <w:rPr>
            <w:rStyle w:val="Hyperlnk"/>
          </w:rPr>
          <w:t xml:space="preserve">10.1086/666641</w:t>
        </w:r>
      </w:hyperlink>
    </w:p>
    <w:bookmarkEnd w:id="106"/>
    <w:bookmarkStart w:id="108" w:name="ref-Charlson1987"/>
    <w:p>
      <w:pPr>
        <w:pStyle w:val="Litteraturfrteckning"/>
      </w:pPr>
      <w:r>
        <w:t xml:space="preserve">15</w:t>
      </w:r>
      <w:r>
        <w:t xml:space="preserve"> </w:t>
      </w:r>
      <w:r>
        <w:t xml:space="preserve">	</w:t>
      </w:r>
      <w:r>
        <w:t xml:space="preserve">Charlson ME, Pompei P, Ales KL,</w:t>
      </w:r>
      <w:r>
        <w:t xml:space="preserve"> </w:t>
      </w:r>
      <w:r>
        <w:rPr>
          <w:iCs/>
          <w:i/>
        </w:rPr>
        <w:t xml:space="preserve">et al.</w:t>
      </w:r>
      <w:r>
        <w:t xml:space="preserve">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w:t>
      </w:r>
      <w:r>
        <w:t xml:space="preserve">1987;</w:t>
      </w:r>
      <w:r>
        <w:rPr>
          <w:bCs/>
          <w:b/>
        </w:rPr>
        <w:t xml:space="preserve">40</w:t>
      </w:r>
      <w:r>
        <w:t xml:space="preserve">:373–83. doi:</w:t>
      </w:r>
      <w:hyperlink r:id="rId107">
        <w:r>
          <w:rPr>
            <w:rStyle w:val="Hyperlnk"/>
          </w:rPr>
          <w:t xml:space="preserve">10.1016/0021-9681(87)90171-8</w:t>
        </w:r>
      </w:hyperlink>
    </w:p>
    <w:bookmarkEnd w:id="108"/>
    <w:bookmarkStart w:id="109" w:name="ref-Elixhauser1998"/>
    <w:p>
      <w:pPr>
        <w:pStyle w:val="Litteraturfrteckning"/>
      </w:pPr>
      <w:r>
        <w:t xml:space="preserve">16</w:t>
      </w:r>
      <w:r>
        <w:t xml:space="preserve"> </w:t>
      </w:r>
      <w:r>
        <w:t xml:space="preserve">	</w:t>
      </w:r>
      <w:r>
        <w:t xml:space="preserve">Elixhauser A, Steiner C, Harris DR,</w:t>
      </w:r>
      <w:r>
        <w:t xml:space="preserve"> </w:t>
      </w:r>
      <w:r>
        <w:rPr>
          <w:iCs/>
          <w:i/>
        </w:rPr>
        <w:t xml:space="preserve">et al.</w:t>
      </w:r>
      <w:r>
        <w:t xml:space="preserve"> Comorbidity measures for use with administrative data.</w:t>
      </w:r>
      <w:r>
        <w:t xml:space="preserve"> </w:t>
      </w:r>
      <w:r>
        <w:rPr>
          <w:iCs/>
          <w:i/>
        </w:rPr>
        <w:t xml:space="preserve">Medical care</w:t>
      </w:r>
      <w:r>
        <w:t xml:space="preserve"> </w:t>
      </w:r>
      <w:r>
        <w:t xml:space="preserve">1998;</w:t>
      </w:r>
      <w:r>
        <w:rPr>
          <w:bCs/>
          <w:b/>
        </w:rPr>
        <w:t xml:space="preserve">36</w:t>
      </w:r>
      <w:r>
        <w:t xml:space="preserve">:8–27.</w:t>
      </w:r>
    </w:p>
    <w:bookmarkEnd w:id="109"/>
    <w:bookmarkStart w:id="111" w:name="ref-Sloan2003"/>
    <w:p>
      <w:pPr>
        <w:pStyle w:val="Litteraturfrteckning"/>
      </w:pPr>
      <w:r>
        <w:t xml:space="preserve">17</w:t>
      </w:r>
      <w:r>
        <w:t xml:space="preserve"> </w:t>
      </w:r>
      <w:r>
        <w:t xml:space="preserve">	</w:t>
      </w:r>
      <w:r>
        <w:t xml:space="preserve">Sloan KL, Sales AE, Liu C-F,</w:t>
      </w:r>
      <w:r>
        <w:t xml:space="preserve"> </w:t>
      </w:r>
      <w:r>
        <w:rPr>
          <w:iCs/>
          <w:i/>
        </w:rPr>
        <w:t xml:space="preserve">et al.</w:t>
      </w:r>
      <w:r>
        <w:t xml:space="preserve">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w:t>
      </w:r>
      <w:r>
        <w:t xml:space="preserve">2003;</w:t>
      </w:r>
      <w:r>
        <w:rPr>
          <w:bCs/>
          <w:b/>
        </w:rPr>
        <w:t xml:space="preserve">41</w:t>
      </w:r>
      <w:r>
        <w:t xml:space="preserve">:761–74. doi:</w:t>
      </w:r>
      <w:hyperlink r:id="rId110">
        <w:r>
          <w:rPr>
            <w:rStyle w:val="Hyperlnk"/>
          </w:rPr>
          <w:t xml:space="preserve">10.1097/01.MLR.0000064641.84967.B7</w:t>
        </w:r>
      </w:hyperlink>
    </w:p>
    <w:bookmarkEnd w:id="111"/>
    <w:bookmarkStart w:id="113" w:name="ref-Pratt2018"/>
    <w:p>
      <w:pPr>
        <w:pStyle w:val="Litteraturfrteckning"/>
      </w:pPr>
      <w:r>
        <w:t xml:space="preserve">18</w:t>
      </w:r>
      <w:r>
        <w:t xml:space="preserve"> </w:t>
      </w:r>
      <w:r>
        <w:t xml:space="preserve">	</w:t>
      </w:r>
      <w:r>
        <w:t xml:space="preserve">Pratt NL, Kerr M, Barratt JD,</w:t>
      </w:r>
      <w:r>
        <w:t xml:space="preserve"> </w:t>
      </w:r>
      <w:r>
        <w:rPr>
          <w:iCs/>
          <w:i/>
        </w:rPr>
        <w:t xml:space="preserve">et al.</w:t>
      </w:r>
      <w:r>
        <w:t xml:space="preserve">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w:t>
      </w:r>
      <w:r>
        <w:t xml:space="preserve">2018;</w:t>
      </w:r>
      <w:r>
        <w:rPr>
          <w:bCs/>
          <w:b/>
        </w:rPr>
        <w:t xml:space="preserve">8</w:t>
      </w:r>
      <w:r>
        <w:t xml:space="preserve">. doi:</w:t>
      </w:r>
      <w:hyperlink r:id="rId112">
        <w:r>
          <w:rPr>
            <w:rStyle w:val="Hyperlnk"/>
          </w:rPr>
          <w:t xml:space="preserve">10.1136/bmjopen-2017-021122</w:t>
        </w:r>
      </w:hyperlink>
    </w:p>
    <w:bookmarkEnd w:id="113"/>
    <w:bookmarkStart w:id="115" w:name="ref-Edelstein2015"/>
    <w:p>
      <w:pPr>
        <w:pStyle w:val="Litteraturfrteckning"/>
      </w:pPr>
      <w:r>
        <w:t xml:space="preserve">19</w:t>
      </w:r>
      <w:r>
        <w:t xml:space="preserve"> </w:t>
      </w:r>
      <w:r>
        <w:t xml:space="preserve">	</w:t>
      </w:r>
      <w:r>
        <w:t xml:space="preserve">Edelstein AI, Kwasny MJ, Suleiman LI,</w:t>
      </w:r>
      <w:r>
        <w:t xml:space="preserve"> </w:t>
      </w:r>
      <w:r>
        <w:rPr>
          <w:iCs/>
          <w:i/>
        </w:rPr>
        <w:t xml:space="preserve">et al.</w:t>
      </w:r>
      <w:r>
        <w:t xml:space="preserve">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w:t>
      </w:r>
      <w:r>
        <w:t xml:space="preserve">2015;</w:t>
      </w:r>
      <w:r>
        <w:rPr>
          <w:bCs/>
          <w:b/>
        </w:rPr>
        <w:t xml:space="preserve">30</w:t>
      </w:r>
      <w:r>
        <w:t xml:space="preserve">:5–10. doi:</w:t>
      </w:r>
      <w:hyperlink r:id="rId114">
        <w:r>
          <w:rPr>
            <w:rStyle w:val="Hyperlnk"/>
          </w:rPr>
          <w:t xml:space="preserve">10.1016/j.arth.2015.01.057</w:t>
        </w:r>
      </w:hyperlink>
    </w:p>
    <w:bookmarkEnd w:id="115"/>
    <w:bookmarkStart w:id="117" w:name="ref-Wingert2016a"/>
    <w:p>
      <w:pPr>
        <w:pStyle w:val="Litteraturfrteckning"/>
      </w:pPr>
      <w:r>
        <w:t xml:space="preserve">20</w:t>
      </w:r>
      <w:r>
        <w:t xml:space="preserve"> </w:t>
      </w:r>
      <w:r>
        <w:t xml:space="preserve">	</w:t>
      </w:r>
      <w:r>
        <w:t xml:space="preserve">Wingert NC, Gotoff J, Parrilla E,</w:t>
      </w:r>
      <w:r>
        <w:t xml:space="preserve"> </w:t>
      </w:r>
      <w:r>
        <w:rPr>
          <w:iCs/>
          <w:i/>
        </w:rPr>
        <w:t xml:space="preserve">et al.</w:t>
      </w:r>
      <w:r>
        <w:t xml:space="preserv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w:t>
      </w:r>
      <w:r>
        <w:t xml:space="preserve">2016;</w:t>
      </w:r>
      <w:r>
        <w:rPr>
          <w:bCs/>
          <w:b/>
        </w:rPr>
        <w:t xml:space="preserve">474</w:t>
      </w:r>
      <w:r>
        <w:t xml:space="preserve">:1643–8. doi:</w:t>
      </w:r>
      <w:hyperlink r:id="rId116">
        <w:r>
          <w:rPr>
            <w:rStyle w:val="Hyperlnk"/>
          </w:rPr>
          <w:t xml:space="preserve">10.1007/s11999-016-4717-3</w:t>
        </w:r>
      </w:hyperlink>
    </w:p>
    <w:bookmarkEnd w:id="117"/>
    <w:bookmarkStart w:id="119" w:name="ref-Bozic2013a"/>
    <w:p>
      <w:pPr>
        <w:pStyle w:val="Litteraturfrteckning"/>
      </w:pPr>
      <w:r>
        <w:t xml:space="preserve">21</w:t>
      </w:r>
      <w:r>
        <w:t xml:space="preserve"> </w:t>
      </w:r>
      <w:r>
        <w:t xml:space="preserve">	</w:t>
      </w:r>
      <w:r>
        <w:t xml:space="preserve">Bozic KJ, Ong K, Lau E,</w:t>
      </w:r>
      <w:r>
        <w:t xml:space="preserve"> </w:t>
      </w:r>
      <w:r>
        <w:rPr>
          <w:iCs/>
          <w:i/>
        </w:rPr>
        <w:t xml:space="preserve">et al.</w:t>
      </w:r>
      <w:r>
        <w:t xml:space="preserve">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w:t>
      </w:r>
      <w:r>
        <w:t xml:space="preserve">2013;</w:t>
      </w:r>
      <w:r>
        <w:rPr>
          <w:bCs/>
          <w:b/>
        </w:rPr>
        <w:t xml:space="preserve">471</w:t>
      </w:r>
      <w:r>
        <w:t xml:space="preserve">:574–83. doi:</w:t>
      </w:r>
      <w:hyperlink r:id="rId118">
        <w:r>
          <w:rPr>
            <w:rStyle w:val="Hyperlnk"/>
          </w:rPr>
          <w:t xml:space="preserve">10.1007/s11999-012-2605-z</w:t>
        </w:r>
      </w:hyperlink>
    </w:p>
    <w:bookmarkEnd w:id="119"/>
    <w:bookmarkStart w:id="121" w:name="ref-Inacio2015a"/>
    <w:p>
      <w:pPr>
        <w:pStyle w:val="Litteraturfrteckning"/>
      </w:pPr>
      <w:r>
        <w:t xml:space="preserve">22</w:t>
      </w:r>
      <w:r>
        <w:t xml:space="preserve"> </w:t>
      </w:r>
      <w:r>
        <w:t xml:space="preserve">	</w:t>
      </w:r>
      <w:r>
        <w:t xml:space="preserve">Inacio MCS, Pratt NL, Roughead EE,</w:t>
      </w:r>
      <w:r>
        <w:t xml:space="preserve"> </w:t>
      </w:r>
      <w:r>
        <w:rPr>
          <w:iCs/>
          <w:i/>
        </w:rPr>
        <w:t xml:space="preserve">et al.</w:t>
      </w:r>
      <w:r>
        <w:t xml:space="preserv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w:t>
      </w:r>
      <w:r>
        <w:t xml:space="preserve">2015;</w:t>
      </w:r>
      <w:r>
        <w:rPr>
          <w:bCs/>
          <w:b/>
        </w:rPr>
        <w:t xml:space="preserve">30</w:t>
      </w:r>
      <w:r>
        <w:t xml:space="preserve">:1692–8. doi:</w:t>
      </w:r>
      <w:hyperlink r:id="rId120">
        <w:r>
          <w:rPr>
            <w:rStyle w:val="Hyperlnk"/>
          </w:rPr>
          <w:t xml:space="preserve">10.1016/j.arth.2015.05.004</w:t>
        </w:r>
      </w:hyperlink>
    </w:p>
    <w:bookmarkEnd w:id="121"/>
    <w:bookmarkStart w:id="123" w:name="ref-Ludvigsson2009"/>
    <w:p>
      <w:pPr>
        <w:pStyle w:val="Litteraturfrteckning"/>
      </w:pPr>
      <w:r>
        <w:t xml:space="preserve">23</w:t>
      </w:r>
      <w:r>
        <w:t xml:space="preserve"> </w:t>
      </w:r>
      <w:r>
        <w:t xml:space="preserve">	</w:t>
      </w:r>
      <w:r>
        <w:t xml:space="preserve">Ludvigsson JF, Otterblad-Olausson P, Pettersson BU,</w:t>
      </w:r>
      <w:r>
        <w:t xml:space="preserve"> </w:t>
      </w:r>
      <w:r>
        <w:rPr>
          <w:iCs/>
          <w:i/>
        </w:rPr>
        <w:t xml:space="preserve">et al.</w:t>
      </w:r>
      <w:r>
        <w:t xml:space="preserve">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w:t>
      </w:r>
      <w:r>
        <w:t xml:space="preserve">2009;</w:t>
      </w:r>
      <w:r>
        <w:rPr>
          <w:bCs/>
          <w:b/>
        </w:rPr>
        <w:t xml:space="preserve">24</w:t>
      </w:r>
      <w:r>
        <w:t xml:space="preserve">:659–67. doi:</w:t>
      </w:r>
      <w:hyperlink r:id="rId122">
        <w:r>
          <w:rPr>
            <w:rStyle w:val="Hyperlnk"/>
          </w:rPr>
          <w:t xml:space="preserve">10.1007/s10654-009-9350-y</w:t>
        </w:r>
      </w:hyperlink>
    </w:p>
    <w:bookmarkEnd w:id="123"/>
    <w:bookmarkStart w:id="125" w:name="ref-Cnudde2016"/>
    <w:p>
      <w:pPr>
        <w:pStyle w:val="Litteraturfrteckning"/>
      </w:pPr>
      <w:r>
        <w:t xml:space="preserve">24</w:t>
      </w:r>
      <w:r>
        <w:t xml:space="preserve"> </w:t>
      </w:r>
      <w:r>
        <w:t xml:space="preserve">	</w:t>
      </w:r>
      <w:r>
        <w:t xml:space="preserve">Cnudde P, Rolfson O, Nemes S,</w:t>
      </w:r>
      <w:r>
        <w:t xml:space="preserve"> </w:t>
      </w:r>
      <w:r>
        <w:rPr>
          <w:iCs/>
          <w:i/>
        </w:rPr>
        <w:t xml:space="preserve">et al.</w:t>
      </w:r>
      <w:r>
        <w:t xml:space="preserve">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w:t>
      </w:r>
      <w:r>
        <w:t xml:space="preserve">2016;</w:t>
      </w:r>
      <w:r>
        <w:rPr>
          <w:bCs/>
          <w:b/>
        </w:rPr>
        <w:t xml:space="preserve">17</w:t>
      </w:r>
      <w:r>
        <w:t xml:space="preserve">:414. doi:</w:t>
      </w:r>
      <w:hyperlink r:id="rId124">
        <w:r>
          <w:rPr>
            <w:rStyle w:val="Hyperlnk"/>
          </w:rPr>
          <w:t xml:space="preserve">10.1186/s12891-016-1262-x</w:t>
        </w:r>
      </w:hyperlink>
    </w:p>
    <w:bookmarkEnd w:id="125"/>
    <w:bookmarkStart w:id="127" w:name="ref-Karrholm2018"/>
    <w:p>
      <w:pPr>
        <w:pStyle w:val="Litteraturfrteckning"/>
      </w:pPr>
      <w:r>
        <w:t xml:space="preserve">25</w:t>
      </w:r>
      <w:r>
        <w:t xml:space="preserve"> </w:t>
      </w:r>
      <w:r>
        <w:t xml:space="preserve">	</w:t>
      </w:r>
      <w:r>
        <w:t xml:space="preserve">Kärrholm J, Mohaddes M, Odin D,</w:t>
      </w:r>
      <w:r>
        <w:t xml:space="preserve"> </w:t>
      </w:r>
      <w:r>
        <w:rPr>
          <w:iCs/>
          <w:i/>
        </w:rPr>
        <w:t xml:space="preserve">et al.</w:t>
      </w:r>
      <w:r>
        <w:t xml:space="preserve"> Svenska höftprotesregistret årsrapport 2017. 2018.</w:t>
      </w:r>
      <w:r>
        <w:t xml:space="preserve"> </w:t>
      </w:r>
      <w:hyperlink r:id="rId126">
        <w:r>
          <w:rPr>
            <w:rStyle w:val="Hyperlnk"/>
          </w:rPr>
          <w:t xml:space="preserve">https://doi.org/10.18158/ryAO-C4pW</w:t>
        </w:r>
      </w:hyperlink>
    </w:p>
    <w:bookmarkEnd w:id="127"/>
    <w:bookmarkStart w:id="129" w:name="ref-Ludvigsson2011"/>
    <w:p>
      <w:pPr>
        <w:pStyle w:val="Litteraturfrteckning"/>
      </w:pPr>
      <w:r>
        <w:t xml:space="preserve">26</w:t>
      </w:r>
      <w:r>
        <w:t xml:space="preserve"> </w:t>
      </w:r>
      <w:r>
        <w:t xml:space="preserve">	</w:t>
      </w:r>
      <w:r>
        <w:t xml:space="preserve">Ludvigsson JF, Andersson E, Ekbom A,</w:t>
      </w:r>
      <w:r>
        <w:t xml:space="preserve"> </w:t>
      </w:r>
      <w:r>
        <w:rPr>
          <w:iCs/>
          <w:i/>
        </w:rPr>
        <w:t xml:space="preserve">et al.</w:t>
      </w:r>
      <w:r>
        <w:t xml:space="preserve">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w:t>
      </w:r>
      <w:r>
        <w:t xml:space="preserve">2011;</w:t>
      </w:r>
      <w:r>
        <w:rPr>
          <w:bCs/>
          <w:b/>
        </w:rPr>
        <w:t xml:space="preserve">11</w:t>
      </w:r>
      <w:r>
        <w:t xml:space="preserve">:450. doi:</w:t>
      </w:r>
      <w:hyperlink r:id="rId128">
        <w:r>
          <w:rPr>
            <w:rStyle w:val="Hyperlnk"/>
          </w:rPr>
          <w:t xml:space="preserve">10.1186/1471-2458-11-450</w:t>
        </w:r>
      </w:hyperlink>
    </w:p>
    <w:bookmarkEnd w:id="129"/>
    <w:bookmarkStart w:id="131" w:name="ref-Bulow2020"/>
    <w:p>
      <w:pPr>
        <w:pStyle w:val="Litteraturfrteckning"/>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w:t>
      </w:r>
      <w:r>
        <w:t xml:space="preserve">2020;</w:t>
      </w:r>
      <w:r>
        <w:rPr>
          <w:bCs/>
          <w:b/>
        </w:rPr>
        <w:t xml:space="preserve">2020</w:t>
      </w:r>
      <w:r>
        <w:t xml:space="preserve">:11262–70. doi:</w:t>
      </w:r>
      <w:hyperlink r:id="rId130">
        <w:r>
          <w:rPr>
            <w:rStyle w:val="Hyperlnk"/>
          </w:rPr>
          <w:t xml:space="preserve">10.1097/CORR.0000000000001210</w:t>
        </w:r>
      </w:hyperlink>
    </w:p>
    <w:bookmarkEnd w:id="131"/>
    <w:bookmarkStart w:id="133" w:name="ref-Gundtoft2016"/>
    <w:p>
      <w:pPr>
        <w:pStyle w:val="Litteraturfrteckning"/>
      </w:pPr>
      <w:r>
        <w:t xml:space="preserve">28</w:t>
      </w:r>
      <w:r>
        <w:t xml:space="preserve"> </w:t>
      </w:r>
      <w:r>
        <w:t xml:space="preserve">	</w:t>
      </w:r>
      <w:r>
        <w:t xml:space="preserve">Gundtoft PH, Varnum C, Pedersen AB,</w:t>
      </w:r>
      <w:r>
        <w:t xml:space="preserve"> </w:t>
      </w:r>
      <w:r>
        <w:rPr>
          <w:iCs/>
          <w:i/>
        </w:rPr>
        <w:t xml:space="preserve">et al.</w:t>
      </w:r>
      <w:r>
        <w:t xml:space="preserve"> The</w:t>
      </w:r>
      <w:r>
        <w:t xml:space="preserve"> </w:t>
      </w:r>
      <w:r>
        <w:t xml:space="preserve">Danish Hip Arthroplasty Register</w:t>
      </w:r>
      <w:r>
        <w:t xml:space="preserve">.</w:t>
      </w:r>
      <w:r>
        <w:t xml:space="preserve"> </w:t>
      </w:r>
      <w:r>
        <w:rPr>
          <w:iCs/>
          <w:i/>
        </w:rPr>
        <w:t xml:space="preserve">CLEP</w:t>
      </w:r>
      <w:r>
        <w:t xml:space="preserve"> </w:t>
      </w:r>
      <w:r>
        <w:t xml:space="preserve">2016;</w:t>
      </w:r>
      <w:r>
        <w:rPr>
          <w:bCs/>
          <w:b/>
        </w:rPr>
        <w:t xml:space="preserve">8</w:t>
      </w:r>
      <w:r>
        <w:t xml:space="preserve">:509–14. doi:</w:t>
      </w:r>
      <w:hyperlink r:id="rId132">
        <w:r>
          <w:rPr>
            <w:rStyle w:val="Hyperlnk"/>
          </w:rPr>
          <w:t xml:space="preserve">10.2147/CLEP.S99498</w:t>
        </w:r>
      </w:hyperlink>
    </w:p>
    <w:bookmarkEnd w:id="133"/>
    <w:bookmarkStart w:id="135" w:name="ref-Schmidt2015"/>
    <w:p>
      <w:pPr>
        <w:pStyle w:val="Litteraturfrteckning"/>
      </w:pPr>
      <w:r>
        <w:t xml:space="preserve">29</w:t>
      </w:r>
      <w:r>
        <w:t xml:space="preserve"> </w:t>
      </w:r>
      <w:r>
        <w:t xml:space="preserve">	</w:t>
      </w:r>
      <w:r>
        <w:t xml:space="preserve">Schmidt M, Schmidt SAJ, Sandegaard JL,</w:t>
      </w:r>
      <w:r>
        <w:t xml:space="preserve"> </w:t>
      </w:r>
      <w:r>
        <w:rPr>
          <w:iCs/>
          <w:i/>
        </w:rPr>
        <w:t xml:space="preserve">et al.</w:t>
      </w:r>
      <w:r>
        <w:t xml:space="preserve">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w:t>
      </w:r>
      <w:r>
        <w:t xml:space="preserve">2015;</w:t>
      </w:r>
      <w:r>
        <w:rPr>
          <w:bCs/>
          <w:b/>
        </w:rPr>
        <w:t xml:space="preserve">7</w:t>
      </w:r>
      <w:r>
        <w:t xml:space="preserve">:449–90. doi:</w:t>
      </w:r>
      <w:hyperlink r:id="rId134">
        <w:r>
          <w:rPr>
            <w:rStyle w:val="Hyperlnk"/>
          </w:rPr>
          <w:t xml:space="preserve">10.2147/CLEP.S91125</w:t>
        </w:r>
      </w:hyperlink>
    </w:p>
    <w:bookmarkEnd w:id="135"/>
    <w:bookmarkStart w:id="137" w:name="ref-zotero-2587"/>
    <w:p>
      <w:pPr>
        <w:pStyle w:val="Litteraturfrteckning"/>
      </w:pPr>
      <w:r>
        <w:t xml:space="preserve">30</w:t>
      </w:r>
      <w:r>
        <w:t xml:space="preserve"> </w:t>
      </w:r>
      <w:r>
        <w:t xml:space="preserve">	</w:t>
      </w:r>
      <w:r>
        <w:t xml:space="preserve">Data for research.</w:t>
      </w:r>
      <w:r>
        <w:t xml:space="preserve"> </w:t>
      </w:r>
      <w:hyperlink r:id="rId136">
        <w:r>
          <w:rPr>
            <w:rStyle w:val="Hyperlnk"/>
          </w:rPr>
          <w:t xml:space="preserve">https://www.dst.dk/en/TilSalg/Forskningsservice</w:t>
        </w:r>
      </w:hyperlink>
      <w:r>
        <w:t xml:space="preserve"> </w:t>
      </w:r>
      <w:r>
        <w:t xml:space="preserve">(accessed 17 Jun 2021).</w:t>
      </w:r>
    </w:p>
    <w:bookmarkEnd w:id="137"/>
    <w:bookmarkStart w:id="139" w:name="ref-Quan2005"/>
    <w:p>
      <w:pPr>
        <w:pStyle w:val="Litteraturfrteckning"/>
      </w:pPr>
      <w:r>
        <w:t xml:space="preserve">31</w:t>
      </w:r>
      <w:r>
        <w:t xml:space="preserve"> </w:t>
      </w:r>
      <w:r>
        <w:t xml:space="preserve">	</w:t>
      </w:r>
      <w:r>
        <w:t xml:space="preserve">Quan H, Sundararajan V, Halfon P,</w:t>
      </w:r>
      <w:r>
        <w:t xml:space="preserve"> </w:t>
      </w:r>
      <w:r>
        <w:rPr>
          <w:iCs/>
          <w:i/>
        </w:rPr>
        <w:t xml:space="preserve">et al.</w:t>
      </w:r>
      <w:r>
        <w:t xml:space="preserve">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w:t>
      </w:r>
      <w:r>
        <w:t xml:space="preserve">2005;</w:t>
      </w:r>
      <w:r>
        <w:rPr>
          <w:bCs/>
          <w:b/>
        </w:rPr>
        <w:t xml:space="preserve">43</w:t>
      </w:r>
      <w:r>
        <w:t xml:space="preserve">:1130–9. doi:</w:t>
      </w:r>
      <w:hyperlink r:id="rId138">
        <w:r>
          <w:rPr>
            <w:rStyle w:val="Hyperlnk"/>
          </w:rPr>
          <w:t xml:space="preserve">10.1097/01.mlr.0000182534.19832.83</w:t>
        </w:r>
      </w:hyperlink>
    </w:p>
    <w:bookmarkEnd w:id="139"/>
    <w:bookmarkStart w:id="141" w:name="ref-Guo2015"/>
    <w:p>
      <w:pPr>
        <w:pStyle w:val="Litteraturfrteckning"/>
      </w:pPr>
      <w:r>
        <w:t xml:space="preserve">32</w:t>
      </w:r>
      <w:r>
        <w:t xml:space="preserve"> </w:t>
      </w:r>
      <w:r>
        <w:t xml:space="preserve">	</w:t>
      </w:r>
      <w:r>
        <w:t xml:space="preserve">Guo P, Zeng F, Hu X,</w:t>
      </w:r>
      <w:r>
        <w:t xml:space="preserve"> </w:t>
      </w:r>
      <w:r>
        <w:rPr>
          <w:iCs/>
          <w:i/>
        </w:rPr>
        <w:t xml:space="preserve">et al.</w:t>
      </w:r>
      <w:r>
        <w:t xml:space="preserve">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w:t>
      </w:r>
      <w:r>
        <w:t xml:space="preserve"> </w:t>
      </w:r>
      <w:r>
        <w:rPr>
          <w:iCs/>
          <w:i/>
        </w:rPr>
        <w:t xml:space="preserve">PLOS ONE</w:t>
      </w:r>
      <w:r>
        <w:t xml:space="preserve"> </w:t>
      </w:r>
      <w:r>
        <w:t xml:space="preserve">2015;</w:t>
      </w:r>
      <w:r>
        <w:rPr>
          <w:bCs/>
          <w:b/>
        </w:rPr>
        <w:t xml:space="preserve">10</w:t>
      </w:r>
      <w:r>
        <w:t xml:space="preserve">:e0134151. doi:</w:t>
      </w:r>
      <w:hyperlink r:id="rId140">
        <w:r>
          <w:rPr>
            <w:rStyle w:val="Hyperlnk"/>
          </w:rPr>
          <w:t xml:space="preserve">10.1371/journal.pone.0134151</w:t>
        </w:r>
      </w:hyperlink>
    </w:p>
    <w:bookmarkEnd w:id="141"/>
    <w:bookmarkStart w:id="143" w:name="ref-Baranowski2020"/>
    <w:p>
      <w:pPr>
        <w:pStyle w:val="Litteraturfrteckning"/>
      </w:pPr>
      <w:r>
        <w:t xml:space="preserve">33</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w:t>
      </w:r>
      <w:r>
        <w:t xml:space="preserve">Published Online First: 2020. doi:</w:t>
      </w:r>
      <w:hyperlink r:id="rId142">
        <w:r>
          <w:rPr>
            <w:rStyle w:val="Hyperlnk"/>
          </w:rPr>
          <w:t xml:space="preserve">10.5705/ss.202017.0139</w:t>
        </w:r>
      </w:hyperlink>
    </w:p>
    <w:bookmarkEnd w:id="143"/>
    <w:bookmarkStart w:id="145" w:name="ref-Garland2021"/>
    <w:p>
      <w:pPr>
        <w:pStyle w:val="Litteraturfrteckning"/>
      </w:pPr>
      <w:r>
        <w:t xml:space="preserve">34</w:t>
      </w:r>
      <w:r>
        <w:t xml:space="preserve"> </w:t>
      </w:r>
      <w:r>
        <w:t xml:space="preserve">	</w:t>
      </w:r>
      <w:r>
        <w:t xml:space="preserve">Garland A, Bülow E, Lenguerrand E,</w:t>
      </w:r>
      <w:r>
        <w:t xml:space="preserve"> </w:t>
      </w:r>
      <w:r>
        <w:rPr>
          <w:iCs/>
          <w:i/>
        </w:rPr>
        <w:t xml:space="preserve">et al.</w:t>
      </w:r>
      <w:r>
        <w:t xml:space="preserve"> Prediction of 90-day mortality after total hip arthroplasty.</w:t>
      </w:r>
      <w:r>
        <w:t xml:space="preserve"> </w:t>
      </w:r>
      <w:r>
        <w:rPr>
          <w:iCs/>
          <w:i/>
        </w:rPr>
        <w:t xml:space="preserve">The Bone &amp; Joint Journal</w:t>
      </w:r>
      <w:r>
        <w:t xml:space="preserve"> </w:t>
      </w:r>
      <w:r>
        <w:t xml:space="preserve">2021;</w:t>
      </w:r>
      <w:r>
        <w:rPr>
          <w:bCs/>
          <w:b/>
        </w:rPr>
        <w:t xml:space="preserve">103-B</w:t>
      </w:r>
      <w:r>
        <w:t xml:space="preserve">:469–78. doi:</w:t>
      </w:r>
      <w:hyperlink r:id="rId144">
        <w:r>
          <w:rPr>
            <w:rStyle w:val="Hyperlnk"/>
          </w:rPr>
          <w:t xml:space="preserve">10.1302/0301-620X.103B3.BJJ-2020-1249.R1</w:t>
        </w:r>
      </w:hyperlink>
    </w:p>
    <w:bookmarkEnd w:id="145"/>
    <w:bookmarkStart w:id="147" w:name="ref-Austin2004"/>
    <w:p>
      <w:pPr>
        <w:pStyle w:val="Litteraturfrteckning"/>
      </w:pPr>
      <w:r>
        <w:t xml:space="preserve">35</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w:t>
      </w:r>
      <w:r>
        <w:t xml:space="preserve">2004;</w:t>
      </w:r>
      <w:r>
        <w:rPr>
          <w:bCs/>
          <w:b/>
        </w:rPr>
        <w:t xml:space="preserve">58</w:t>
      </w:r>
      <w:r>
        <w:t xml:space="preserve">:131–7. doi:</w:t>
      </w:r>
      <w:hyperlink r:id="rId146">
        <w:r>
          <w:rPr>
            <w:rStyle w:val="Hyperlnk"/>
          </w:rPr>
          <w:t xml:space="preserve">10.1198/0003130043277</w:t>
        </w:r>
      </w:hyperlink>
    </w:p>
    <w:bookmarkEnd w:id="147"/>
    <w:bookmarkStart w:id="149" w:name="ref-Kildemoes2011"/>
    <w:p>
      <w:pPr>
        <w:pStyle w:val="Litteraturfrteckning"/>
      </w:pPr>
      <w:r>
        <w:t xml:space="preserve">36</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w:t>
      </w:r>
      <w:r>
        <w:t xml:space="preserve">2011;</w:t>
      </w:r>
      <w:r>
        <w:rPr>
          <w:bCs/>
          <w:b/>
        </w:rPr>
        <w:t xml:space="preserve">39</w:t>
      </w:r>
      <w:r>
        <w:t xml:space="preserve">:38–41. doi:</w:t>
      </w:r>
      <w:hyperlink r:id="rId148">
        <w:r>
          <w:rPr>
            <w:rStyle w:val="Hyperlnk"/>
          </w:rPr>
          <w:t xml:space="preserve">10.1177/1403494810394717</w:t>
        </w:r>
      </w:hyperlink>
    </w:p>
    <w:bookmarkEnd w:id="149"/>
    <w:bookmarkStart w:id="151" w:name="ref-DeLong1988"/>
    <w:p>
      <w:pPr>
        <w:pStyle w:val="Litteraturfrteckning"/>
      </w:pPr>
      <w:r>
        <w:t xml:space="preserve">37</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w:t>
      </w:r>
      <w:r>
        <w:t xml:space="preserve">1988;</w:t>
      </w:r>
      <w:r>
        <w:rPr>
          <w:bCs/>
          <w:b/>
        </w:rPr>
        <w:t xml:space="preserve">44</w:t>
      </w:r>
      <w:r>
        <w:t xml:space="preserve">:837–45. doi:</w:t>
      </w:r>
      <w:hyperlink r:id="rId150">
        <w:r>
          <w:rPr>
            <w:rStyle w:val="Hyperlnk"/>
          </w:rPr>
          <w:t xml:space="preserve">10.2307/2531595</w:t>
        </w:r>
      </w:hyperlink>
    </w:p>
    <w:bookmarkEnd w:id="151"/>
    <w:bookmarkStart w:id="153" w:name="ref-Nattino2016"/>
    <w:p>
      <w:pPr>
        <w:pStyle w:val="Litteraturfrteckning"/>
      </w:pPr>
      <w:r>
        <w:t xml:space="preserve">38</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w:t>
      </w:r>
      <w:r>
        <w:t xml:space="preserve">2016;</w:t>
      </w:r>
      <w:r>
        <w:rPr>
          <w:bCs/>
          <w:b/>
        </w:rPr>
        <w:t xml:space="preserve">35</w:t>
      </w:r>
      <w:r>
        <w:t xml:space="preserve">:709–20. doi:</w:t>
      </w:r>
      <w:hyperlink r:id="rId152">
        <w:r>
          <w:rPr>
            <w:rStyle w:val="Hyperlnk"/>
          </w:rPr>
          <w:t xml:space="preserve">10.1002/sim.6744</w:t>
        </w:r>
      </w:hyperlink>
    </w:p>
    <w:bookmarkEnd w:id="153"/>
    <w:bookmarkStart w:id="155" w:name="ref-Harrell2018"/>
    <w:p>
      <w:pPr>
        <w:pStyle w:val="Litteraturfrteckning"/>
      </w:pPr>
      <w:r>
        <w:t xml:space="preserve">39</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 Statistical Thinking. 2018.</w:t>
      </w:r>
      <w:hyperlink r:id="rId154">
        <w:r>
          <w:rPr>
            <w:rStyle w:val="Hyperlnk"/>
          </w:rPr>
          <w:t xml:space="preserve">https://www.fharrell.com/post/addvalue/</w:t>
        </w:r>
      </w:hyperlink>
      <w:r>
        <w:t xml:space="preserve"> </w:t>
      </w:r>
      <w:r>
        <w:t xml:space="preserve">(accessed 11 May 2021).</w:t>
      </w:r>
    </w:p>
    <w:bookmarkEnd w:id="155"/>
    <w:bookmarkStart w:id="157" w:name="ref-Bulow2020b"/>
    <w:p>
      <w:pPr>
        <w:pStyle w:val="Litteraturfrteckning"/>
      </w:pPr>
      <w:r>
        <w:t xml:space="preserve">40</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w:t>
      </w:r>
      <w:r>
        <w:t xml:space="preserve">2020;</w:t>
      </w:r>
      <w:r>
        <w:rPr>
          <w:bCs/>
          <w:b/>
        </w:rPr>
        <w:t xml:space="preserve">5</w:t>
      </w:r>
      <w:r>
        <w:t xml:space="preserve">:2916. doi:</w:t>
      </w:r>
      <w:hyperlink r:id="rId156">
        <w:r>
          <w:rPr>
            <w:rStyle w:val="Hyperlnk"/>
          </w:rPr>
          <w:t xml:space="preserve">10.21105/joss.02916</w:t>
        </w:r>
      </w:hyperlink>
    </w:p>
    <w:bookmarkEnd w:id="157"/>
    <w:bookmarkStart w:id="159" w:name="ref-Isopahkala-Bouret2018"/>
    <w:p>
      <w:pPr>
        <w:pStyle w:val="Litteraturfrteckning"/>
      </w:pPr>
      <w:r>
        <w:t xml:space="preserve">41</w:t>
      </w:r>
      <w:r>
        <w:t xml:space="preserve"> </w:t>
      </w:r>
      <w:r>
        <w:t xml:space="preserve">	</w:t>
      </w:r>
      <w:r>
        <w:t xml:space="preserve">Isopahkala-Bouret U, Börjesson M, Beach D,</w:t>
      </w:r>
      <w:r>
        <w:t xml:space="preserve"> </w:t>
      </w:r>
      <w:r>
        <w:rPr>
          <w:iCs/>
          <w:i/>
        </w:rPr>
        <w:t xml:space="preserve">et al.</w:t>
      </w:r>
      <w:r>
        <w:t xml:space="preserve"> Access and stratification in</w:t>
      </w:r>
      <w:r>
        <w:t xml:space="preserve"> </w:t>
      </w:r>
      <w:r>
        <w:t xml:space="preserve">Nordic</w:t>
      </w:r>
      <w:r>
        <w:t xml:space="preserve"> </w:t>
      </w:r>
      <w:r>
        <w:t xml:space="preserve">higher education.</w:t>
      </w:r>
      <w:r>
        <w:t xml:space="preserve"> </w:t>
      </w:r>
      <w:r>
        <w:t xml:space="preserve">A</w:t>
      </w:r>
      <w:r>
        <w:t xml:space="preserve"> </w:t>
      </w:r>
      <w:r>
        <w:t xml:space="preserve">review of cross-cutting research themes and issues*.</w:t>
      </w:r>
      <w:r>
        <w:t xml:space="preserve"> </w:t>
      </w:r>
      <w:r>
        <w:rPr>
          <w:iCs/>
          <w:i/>
        </w:rPr>
        <w:t xml:space="preserve">Education Inquiry</w:t>
      </w:r>
      <w:r>
        <w:t xml:space="preserve"> </w:t>
      </w:r>
      <w:r>
        <w:t xml:space="preserve">2018;</w:t>
      </w:r>
      <w:r>
        <w:rPr>
          <w:bCs/>
          <w:b/>
        </w:rPr>
        <w:t xml:space="preserve">9</w:t>
      </w:r>
      <w:r>
        <w:t xml:space="preserve">:142–54. doi:</w:t>
      </w:r>
      <w:hyperlink r:id="rId158">
        <w:r>
          <w:rPr>
            <w:rStyle w:val="Hyperlnk"/>
          </w:rPr>
          <w:t xml:space="preserve">10.1080/20004508.2018.1429769</w:t>
        </w:r>
      </w:hyperlink>
    </w:p>
    <w:bookmarkEnd w:id="159"/>
    <w:bookmarkStart w:id="160" w:name="ref-Kim2002"/>
    <w:p>
      <w:pPr>
        <w:pStyle w:val="Litteraturfrteckning"/>
      </w:pPr>
      <w:r>
        <w:t xml:space="preserve">42</w:t>
      </w:r>
      <w:r>
        <w:t xml:space="preserve"> </w:t>
      </w:r>
      <w:r>
        <w:t xml:space="preserve">	</w:t>
      </w:r>
      <w:r>
        <w:t xml:space="preserve">Kim L.</w:t>
      </w:r>
      <w:r>
        <w:t xml:space="preserve"> </w:t>
      </w:r>
      <w:r>
        <w:t xml:space="preserve">Lika olika: En jämförande studie av högre utbildning och forskning i de nordiska länderna</w:t>
      </w:r>
      <w:r>
        <w:t xml:space="preserve">.</w:t>
      </w:r>
      <w:r>
        <w:t xml:space="preserve"> </w:t>
      </w:r>
      <w:r>
        <w:t xml:space="preserve">Stockholm</w:t>
      </w:r>
      <w:r>
        <w:t xml:space="preserve">: :</w:t>
      </w:r>
      <w:r>
        <w:t xml:space="preserve"> </w:t>
      </w:r>
      <w:r>
        <w:t xml:space="preserve">Högskoleverket</w:t>
      </w:r>
      <w:r>
        <w:t xml:space="preserve"> 2002.</w:t>
      </w:r>
      <w:r>
        <w:t xml:space="preserve"> </w:t>
      </w:r>
    </w:p>
    <w:bookmarkEnd w:id="160"/>
    <w:bookmarkStart w:id="162" w:name="ref-zotero-2598"/>
    <w:p>
      <w:pPr>
        <w:pStyle w:val="Litteraturfrteckning"/>
      </w:pPr>
      <w:r>
        <w:t xml:space="preserve">43</w:t>
      </w:r>
      <w:r>
        <w:t xml:space="preserve"> </w:t>
      </w:r>
      <w:r>
        <w:t xml:space="preserve">	</w:t>
      </w:r>
      <w:r>
        <w:t xml:space="preserve">The</w:t>
      </w:r>
      <w:r>
        <w:t xml:space="preserve"> </w:t>
      </w:r>
      <w:r>
        <w:t xml:space="preserve">Student Registre</w:t>
      </w:r>
      <w:r>
        <w:t xml:space="preserve">:</w:t>
      </w:r>
      <w:r>
        <w:t xml:space="preserve"> </w:t>
      </w:r>
      <w:r>
        <w:t xml:space="preserve">Statistical</w:t>
      </w:r>
      <w:r>
        <w:t xml:space="preserve"> </w:t>
      </w:r>
      <w:r>
        <w:t xml:space="preserve">presentation.</w:t>
      </w:r>
      <w:r>
        <w:t xml:space="preserve"> </w:t>
      </w:r>
      <w:hyperlink r:id="rId161">
        <w:r>
          <w:rPr>
            <w:rStyle w:val="Hyperlnk"/>
          </w:rPr>
          <w:t xml:space="preserve">https://www.dst.dk/en/Statistik/dokumentation/documentationofstatistics/the-student-registre/statistical-presentation</w:t>
        </w:r>
      </w:hyperlink>
      <w:r>
        <w:t xml:space="preserve"> </w:t>
      </w:r>
      <w:r>
        <w:t xml:space="preserve">(accessed 22 Jun 2021).</w:t>
      </w:r>
    </w:p>
    <w:bookmarkEnd w:id="162"/>
    <w:bookmarkStart w:id="164" w:name="ref-Bunyoz2020"/>
    <w:p>
      <w:pPr>
        <w:pStyle w:val="Litteraturfrteckning"/>
      </w:pPr>
      <w:r>
        <w:t xml:space="preserve">44</w:t>
      </w:r>
      <w:r>
        <w:t xml:space="preserve"> </w:t>
      </w:r>
      <w:r>
        <w:t xml:space="preserve">	</w:t>
      </w:r>
      <w:r>
        <w:t xml:space="preserve">Bunyoz KI, Malchau E, Malchau H,</w:t>
      </w:r>
      <w:r>
        <w:t xml:space="preserve"> </w:t>
      </w:r>
      <w:r>
        <w:rPr>
          <w:iCs/>
          <w:i/>
        </w:rPr>
        <w:t xml:space="preserve">et al.</w:t>
      </w:r>
      <w:r>
        <w:t xml:space="preserve">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w:t>
      </w:r>
      <w:r>
        <w:t xml:space="preserve">2020;</w:t>
      </w:r>
      <w:r>
        <w:rPr>
          <w:bCs/>
          <w:b/>
        </w:rPr>
        <w:t xml:space="preserve">478</w:t>
      </w:r>
      <w:r>
        <w:t xml:space="preserve">:697–704. doi:</w:t>
      </w:r>
      <w:hyperlink r:id="rId163">
        <w:r>
          <w:rPr>
            <w:rStyle w:val="Hyperlnk"/>
          </w:rPr>
          <w:t xml:space="preserve">10.1097/CORR.0000000000001117</w:t>
        </w:r>
      </w:hyperlink>
    </w:p>
    <w:bookmarkEnd w:id="164"/>
    <w:bookmarkStart w:id="166" w:name="ref-Everhart2013"/>
    <w:p>
      <w:pPr>
        <w:pStyle w:val="Litteraturfrteckning"/>
      </w:pPr>
      <w:r>
        <w:t xml:space="preserve">45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w:t>
      </w:r>
      <w:r>
        <w:t xml:space="preserve">2013;</w:t>
      </w:r>
      <w:r>
        <w:rPr>
          <w:bCs/>
          <w:b/>
        </w:rPr>
        <w:t xml:space="preserve">471</w:t>
      </w:r>
      <w:r>
        <w:t xml:space="preserve">:3112–9. doi:</w:t>
      </w:r>
      <w:hyperlink r:id="rId165">
        <w:r>
          <w:rPr>
            <w:rStyle w:val="Hyperlnk"/>
          </w:rPr>
          <w:t xml:space="preserve">10.1007/s11999-013-2923-9</w:t>
        </w:r>
      </w:hyperlink>
    </w:p>
    <w:bookmarkEnd w:id="166"/>
    <w:bookmarkStart w:id="168" w:name="ref-Poultsides2013"/>
    <w:p>
      <w:pPr>
        <w:pStyle w:val="Litteraturfrteckning"/>
      </w:pPr>
      <w:r>
        <w:t xml:space="preserve">46</w:t>
      </w:r>
      <w:r>
        <w:t xml:space="preserve"> </w:t>
      </w:r>
      <w:r>
        <w:t xml:space="preserve">	</w:t>
      </w:r>
      <w:r>
        <w:t xml:space="preserve">Poultsides LA, Ma Y, Della Valle AG,</w:t>
      </w:r>
      <w:r>
        <w:t xml:space="preserve"> </w:t>
      </w:r>
      <w:r>
        <w:rPr>
          <w:iCs/>
          <w:i/>
        </w:rPr>
        <w:t xml:space="preserve">et al.</w:t>
      </w:r>
      <w:r>
        <w:t xml:space="preserve">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w:t>
      </w:r>
      <w:r>
        <w:t xml:space="preserve">2013;</w:t>
      </w:r>
      <w:r>
        <w:rPr>
          <w:bCs/>
          <w:b/>
        </w:rPr>
        <w:t xml:space="preserve">28</w:t>
      </w:r>
      <w:r>
        <w:t xml:space="preserve">:385–9. doi:</w:t>
      </w:r>
      <w:hyperlink r:id="rId167">
        <w:r>
          <w:rPr>
            <w:rStyle w:val="Hyperlnk"/>
          </w:rPr>
          <w:t xml:space="preserve">10.1016/j.arth.2012.06.027</w:t>
        </w:r>
      </w:hyperlink>
    </w:p>
    <w:bookmarkEnd w:id="168"/>
    <w:bookmarkStart w:id="170" w:name="ref-Tan2018"/>
    <w:p>
      <w:pPr>
        <w:pStyle w:val="Litteraturfrteckning"/>
      </w:pPr>
      <w:r>
        <w:t xml:space="preserve">47</w:t>
      </w:r>
      <w:r>
        <w:t xml:space="preserve"> </w:t>
      </w:r>
      <w:r>
        <w:t xml:space="preserve">	</w:t>
      </w:r>
      <w:r>
        <w:t xml:space="preserve">Tan TL, Maltenfort MG, Chen AF,</w:t>
      </w:r>
      <w:r>
        <w:t xml:space="preserve"> </w:t>
      </w:r>
      <w:r>
        <w:rPr>
          <w:iCs/>
          <w:i/>
        </w:rPr>
        <w:t xml:space="preserve">et al.</w:t>
      </w:r>
      <w:r>
        <w:t xml:space="preserve"> Development and evaluation of a preoperative risk calculator for periprosthetic joint infection following total joint arthroplasty.</w:t>
      </w:r>
      <w:r>
        <w:t xml:space="preserve"> </w:t>
      </w:r>
      <w:r>
        <w:rPr>
          <w:iCs/>
          <w:i/>
        </w:rPr>
        <w:t xml:space="preserve">The Journal of Bone and Joint Surgery</w:t>
      </w:r>
      <w:r>
        <w:t xml:space="preserve"> </w:t>
      </w:r>
      <w:r>
        <w:t xml:space="preserve">Published Online First: 2018. doi:</w:t>
      </w:r>
      <w:hyperlink r:id="rId169">
        <w:r>
          <w:rPr>
            <w:rStyle w:val="Hyperlnk"/>
          </w:rPr>
          <w:t xml:space="preserve">10.2106/JBJS.16.01435</w:t>
        </w:r>
      </w:hyperlink>
    </w:p>
    <w:bookmarkEnd w:id="170"/>
    <w:bookmarkStart w:id="172" w:name="ref-Inacio2015"/>
    <w:p>
      <w:pPr>
        <w:pStyle w:val="Litteraturfrteckning"/>
      </w:pPr>
      <w:r>
        <w:t xml:space="preserve">48</w:t>
      </w:r>
      <w:r>
        <w:t xml:space="preserve"> </w:t>
      </w:r>
      <w:r>
        <w:t xml:space="preserve">	</w:t>
      </w:r>
      <w:r>
        <w:t xml:space="preserve">Inacio MCS, Pratt NL, Roughead EE,</w:t>
      </w:r>
      <w:r>
        <w:t xml:space="preserve"> </w:t>
      </w:r>
      <w:r>
        <w:rPr>
          <w:iCs/>
          <w:i/>
        </w:rPr>
        <w:t xml:space="preserve">et al.</w:t>
      </w:r>
      <w:r>
        <w:t xml:space="preserv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w:t>
      </w:r>
      <w:r>
        <w:t xml:space="preserve">2015;</w:t>
      </w:r>
      <w:r>
        <w:rPr>
          <w:bCs/>
          <w:b/>
        </w:rPr>
        <w:t xml:space="preserve">16</w:t>
      </w:r>
      <w:r>
        <w:t xml:space="preserve">:385. doi:</w:t>
      </w:r>
      <w:hyperlink r:id="rId171">
        <w:r>
          <w:rPr>
            <w:rStyle w:val="Hyperlnk"/>
          </w:rPr>
          <w:t xml:space="preserve">10.1186/s12891-015-0835-4</w:t>
        </w:r>
      </w:hyperlink>
    </w:p>
    <w:bookmarkEnd w:id="172"/>
    <w:bookmarkStart w:id="174" w:name="ref-Namba2012"/>
    <w:p>
      <w:pPr>
        <w:pStyle w:val="Litteraturfrteckning"/>
      </w:pPr>
      <w:r>
        <w:t xml:space="preserve">49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w:t>
      </w:r>
      <w:r>
        <w:t xml:space="preserve">2012;</w:t>
      </w:r>
      <w:r>
        <w:rPr>
          <w:bCs/>
          <w:b/>
        </w:rPr>
        <w:t xml:space="preserve">94-B</w:t>
      </w:r>
      <w:r>
        <w:t xml:space="preserve">:1330–8. doi:</w:t>
      </w:r>
      <w:hyperlink r:id="rId173">
        <w:r>
          <w:rPr>
            <w:rStyle w:val="Hyperlnk"/>
          </w:rPr>
          <w:t xml:space="preserve">10.1302/0301-620X.94B10.29184</w:t>
        </w:r>
      </w:hyperlink>
    </w:p>
    <w:bookmarkEnd w:id="174"/>
    <w:bookmarkStart w:id="176" w:name="ref-Mraovic2011"/>
    <w:p>
      <w:pPr>
        <w:pStyle w:val="Litteraturfrteckning"/>
      </w:pPr>
      <w:r>
        <w:t xml:space="preserve">50</w:t>
      </w:r>
      <w:r>
        <w:t xml:space="preserve"> </w:t>
      </w:r>
      <w:r>
        <w:t xml:space="preserve">	</w:t>
      </w:r>
      <w:r>
        <w:t xml:space="preserve">Mraovic B, Suh D, Jacovides C,</w:t>
      </w:r>
      <w:r>
        <w:t xml:space="preserve"> </w:t>
      </w:r>
      <w:r>
        <w:rPr>
          <w:iCs/>
          <w:i/>
        </w:rPr>
        <w:t xml:space="preserve">et al.</w:t>
      </w:r>
      <w:r>
        <w:t xml:space="preserve">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w:t>
      </w:r>
      <w:r>
        <w:t xml:space="preserve">2011;</w:t>
      </w:r>
      <w:r>
        <w:rPr>
          <w:bCs/>
          <w:b/>
        </w:rPr>
        <w:t xml:space="preserve">5</w:t>
      </w:r>
      <w:r>
        <w:t xml:space="preserve">:412–8. doi:</w:t>
      </w:r>
      <w:hyperlink r:id="rId175">
        <w:r>
          <w:rPr>
            <w:rStyle w:val="Hyperlnk"/>
          </w:rPr>
          <w:t xml:space="preserve">10.1177/193229681100500231</w:t>
        </w:r>
      </w:hyperlink>
    </w:p>
    <w:bookmarkEnd w:id="176"/>
    <w:bookmarkStart w:id="178" w:name="ref-Iorio2012"/>
    <w:p>
      <w:pPr>
        <w:pStyle w:val="Litteraturfrteckning"/>
      </w:pPr>
      <w:r>
        <w:t xml:space="preserve">51</w:t>
      </w:r>
      <w:r>
        <w:t xml:space="preserve"> </w:t>
      </w:r>
      <w:r>
        <w:t xml:space="preserve">	</w:t>
      </w:r>
      <w:r>
        <w:t xml:space="preserve">Iorio R, Williams KM, Marcantonio AJ,</w:t>
      </w:r>
      <w:r>
        <w:t xml:space="preserve"> </w:t>
      </w:r>
      <w:r>
        <w:rPr>
          <w:iCs/>
          <w:i/>
        </w:rPr>
        <w:t xml:space="preserve">et al.</w:t>
      </w:r>
      <w:r>
        <w:t xml:space="preserve">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w:t>
      </w:r>
      <w:r>
        <w:t xml:space="preserve">2012;</w:t>
      </w:r>
      <w:r>
        <w:rPr>
          <w:bCs/>
          <w:b/>
        </w:rPr>
        <w:t xml:space="preserve">27</w:t>
      </w:r>
      <w:r>
        <w:t xml:space="preserve">:726–729.e1. doi:</w:t>
      </w:r>
      <w:hyperlink r:id="rId177">
        <w:r>
          <w:rPr>
            <w:rStyle w:val="Hyperlnk"/>
          </w:rPr>
          <w:t xml:space="preserve">10.1016/j.arth.2011.09.013</w:t>
        </w:r>
      </w:hyperlink>
    </w:p>
    <w:bookmarkEnd w:id="178"/>
    <w:bookmarkStart w:id="180" w:name="ref-Gilson2010"/>
    <w:p>
      <w:pPr>
        <w:pStyle w:val="Litteraturfrteckning"/>
      </w:pPr>
      <w:r>
        <w:t xml:space="preserve">52</w:t>
      </w:r>
      <w:r>
        <w:t xml:space="preserve"> </w:t>
      </w:r>
      <w:r>
        <w:t xml:space="preserve">	</w:t>
      </w:r>
      <w:r>
        <w:t xml:space="preserve">Gilson M, Gossec L, Mariette X,</w:t>
      </w:r>
      <w:r>
        <w:t xml:space="preserve"> </w:t>
      </w:r>
      <w:r>
        <w:rPr>
          <w:iCs/>
          <w:i/>
        </w:rPr>
        <w:t xml:space="preserve">et al.</w:t>
      </w:r>
      <w:r>
        <w:t xml:space="preserve">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w:t>
      </w:r>
      <w:r>
        <w:t xml:space="preserve">2010;</w:t>
      </w:r>
      <w:r>
        <w:rPr>
          <w:bCs/>
          <w:b/>
        </w:rPr>
        <w:t xml:space="preserve">12</w:t>
      </w:r>
      <w:r>
        <w:t xml:space="preserve">:R145. doi:</w:t>
      </w:r>
      <w:hyperlink r:id="rId179">
        <w:r>
          <w:rPr>
            <w:rStyle w:val="Hyperlnk"/>
          </w:rPr>
          <w:t xml:space="preserve">10.1186/ar3087</w:t>
        </w:r>
      </w:hyperlink>
    </w:p>
    <w:bookmarkEnd w:id="180"/>
    <w:bookmarkStart w:id="182" w:name="ref-Momohara2011"/>
    <w:p>
      <w:pPr>
        <w:pStyle w:val="Litteraturfrteckning"/>
      </w:pPr>
      <w:r>
        <w:t xml:space="preserve">53</w:t>
      </w:r>
      <w:r>
        <w:t xml:space="preserve"> </w:t>
      </w:r>
      <w:r>
        <w:t xml:space="preserve">	</w:t>
      </w:r>
      <w:r>
        <w:t xml:space="preserve">Momohara S, Kawakami K, Iwamoto T,</w:t>
      </w:r>
      <w:r>
        <w:t xml:space="preserve"> </w:t>
      </w:r>
      <w:r>
        <w:rPr>
          <w:iCs/>
          <w:i/>
        </w:rPr>
        <w:t xml:space="preserve">et al.</w:t>
      </w:r>
      <w:r>
        <w:t xml:space="preserve">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w:t>
      </w:r>
      <w:r>
        <w:t xml:space="preserve">2011;</w:t>
      </w:r>
      <w:r>
        <w:rPr>
          <w:bCs/>
          <w:b/>
        </w:rPr>
        <w:t xml:space="preserve">21</w:t>
      </w:r>
      <w:r>
        <w:t xml:space="preserve">:469–75. doi:</w:t>
      </w:r>
      <w:hyperlink r:id="rId181">
        <w:r>
          <w:rPr>
            <w:rStyle w:val="Hyperlnk"/>
          </w:rPr>
          <w:t xml:space="preserve">10.3109/s10165-011-0423-x</w:t>
        </w:r>
      </w:hyperlink>
    </w:p>
    <w:bookmarkEnd w:id="182"/>
    <w:bookmarkStart w:id="184" w:name="ref-Cancienne2015"/>
    <w:p>
      <w:pPr>
        <w:pStyle w:val="Litteraturfrteckning"/>
      </w:pPr>
      <w:r>
        <w:t xml:space="preserve">54</w:t>
      </w:r>
      <w:r>
        <w:t xml:space="preserve"> </w:t>
      </w:r>
      <w:r>
        <w:t xml:space="preserve">	</w:t>
      </w:r>
      <w:r>
        <w:t xml:space="preserve">Cancienne JM, Werner BC, Luetkemeyer LM,</w:t>
      </w:r>
      <w:r>
        <w:t xml:space="preserve"> </w:t>
      </w:r>
      <w:r>
        <w:rPr>
          <w:iCs/>
          <w:i/>
        </w:rPr>
        <w:t xml:space="preserve">et al.</w:t>
      </w:r>
      <w:r>
        <w:t xml:space="preserve">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w:t>
      </w:r>
      <w:r>
        <w:t xml:space="preserve">2015;</w:t>
      </w:r>
      <w:r>
        <w:rPr>
          <w:bCs/>
          <w:b/>
        </w:rPr>
        <w:t xml:space="preserve">30</w:t>
      </w:r>
      <w:r>
        <w:t xml:space="preserve">:1879–82. doi:</w:t>
      </w:r>
      <w:hyperlink r:id="rId183">
        <w:r>
          <w:rPr>
            <w:rStyle w:val="Hyperlnk"/>
          </w:rPr>
          <w:t xml:space="preserve">10.1016/j.arth.2015.05.027</w:t>
        </w:r>
      </w:hyperlink>
    </w:p>
    <w:bookmarkEnd w:id="184"/>
    <w:bookmarkStart w:id="186" w:name="ref-Willis-Owen2010"/>
    <w:p>
      <w:pPr>
        <w:pStyle w:val="Litteraturfrteckning"/>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w:t>
      </w:r>
      <w:r>
        <w:t xml:space="preserve">2010;</w:t>
      </w:r>
      <w:r>
        <w:rPr>
          <w:bCs/>
          <w:b/>
        </w:rPr>
        <w:t xml:space="preserve">92-B</w:t>
      </w:r>
      <w:r>
        <w:t xml:space="preserve">:1128–33. doi:</w:t>
      </w:r>
      <w:hyperlink r:id="rId185">
        <w:r>
          <w:rPr>
            <w:rStyle w:val="Hyperlnk"/>
          </w:rPr>
          <w:t xml:space="preserve">10.1302/0301-620X.92B8.24333</w:t>
        </w:r>
      </w:hyperlink>
    </w:p>
    <w:bookmarkEnd w:id="186"/>
    <w:bookmarkStart w:id="188" w:name="ref-Bulow2017"/>
    <w:p>
      <w:pPr>
        <w:pStyle w:val="Litteraturfrteckning"/>
      </w:pPr>
      <w:r>
        <w:t xml:space="preserve">56</w:t>
      </w:r>
      <w:r>
        <w:t xml:space="preserve"> </w:t>
      </w:r>
      <w:r>
        <w:t xml:space="preserve">	</w:t>
      </w:r>
      <w:r>
        <w:t xml:space="preserve">Bülow E, Rolfson O, Cnudde P,</w:t>
      </w:r>
      <w:r>
        <w:t xml:space="preserve"> </w:t>
      </w:r>
      <w:r>
        <w:rPr>
          <w:iCs/>
          <w:i/>
        </w:rPr>
        <w:t xml:space="preserve">et al.</w:t>
      </w:r>
      <w:r>
        <w:t xml:space="preserve"> Comorbidity does not predict long-term mortality after total hip arthroplasty.</w:t>
      </w:r>
      <w:r>
        <w:t xml:space="preserve"> </w:t>
      </w:r>
      <w:r>
        <w:rPr>
          <w:iCs/>
          <w:i/>
        </w:rPr>
        <w:t xml:space="preserve">Acta Orthopaedica</w:t>
      </w:r>
      <w:r>
        <w:t xml:space="preserve"> </w:t>
      </w:r>
      <w:r>
        <w:t xml:space="preserve">2017;</w:t>
      </w:r>
      <w:r>
        <w:rPr>
          <w:bCs/>
          <w:b/>
        </w:rPr>
        <w:t xml:space="preserve">88</w:t>
      </w:r>
      <w:r>
        <w:t xml:space="preserve">:1–6. doi:</w:t>
      </w:r>
      <w:hyperlink r:id="rId187">
        <w:r>
          <w:rPr>
            <w:rStyle w:val="Hyperlnk"/>
          </w:rPr>
          <w:t xml:space="preserve">10.1080/17453674.2017.1341243</w:t>
        </w:r>
      </w:hyperlink>
    </w:p>
    <w:bookmarkEnd w:id="188"/>
    <w:bookmarkStart w:id="190" w:name="ref-Bulow2019"/>
    <w:p>
      <w:pPr>
        <w:pStyle w:val="Litteraturfrteckning"/>
      </w:pPr>
      <w:r>
        <w:t xml:space="preserve">57</w:t>
      </w:r>
      <w:r>
        <w:t xml:space="preserve"> </w:t>
      </w:r>
      <w:r>
        <w:t xml:space="preserve">	</w:t>
      </w:r>
      <w:r>
        <w:t xml:space="preserve">Bülow E, Cnudde P, Rogmark C,</w:t>
      </w:r>
      <w:r>
        <w:t xml:space="preserve"> </w:t>
      </w:r>
      <w:r>
        <w:rPr>
          <w:iCs/>
          <w:i/>
        </w:rPr>
        <w:t xml:space="preserve">et al.</w:t>
      </w:r>
      <w:r>
        <w:t xml:space="preserve"> Low predictive power of comorbidity indices identified for mortality after acute arthroplasty surgery undertaken for femoral neck fracture.</w:t>
      </w:r>
      <w:r>
        <w:t xml:space="preserve"> </w:t>
      </w:r>
      <w:r>
        <w:rPr>
          <w:iCs/>
          <w:i/>
        </w:rPr>
        <w:t xml:space="preserve">The Bone &amp; Joint Journal</w:t>
      </w:r>
      <w:r>
        <w:t xml:space="preserve"> </w:t>
      </w:r>
      <w:r>
        <w:t xml:space="preserve">2019;</w:t>
      </w:r>
      <w:r>
        <w:rPr>
          <w:bCs/>
          <w:b/>
        </w:rPr>
        <w:t xml:space="preserve">101-B</w:t>
      </w:r>
      <w:r>
        <w:t xml:space="preserve">:104–12. doi:</w:t>
      </w:r>
      <w:hyperlink r:id="rId189">
        <w:r>
          <w:rPr>
            <w:rStyle w:val="Hyperlnk"/>
          </w:rPr>
          <w:t xml:space="preserve">10.1302/0301-620X.101B1.BJJ-2018-0894.R1</w:t>
        </w:r>
      </w:hyperlink>
    </w:p>
    <w:bookmarkEnd w:id="190"/>
    <w:bookmarkStart w:id="192" w:name="ref-Pedersen2010a"/>
    <w:p>
      <w:pPr>
        <w:pStyle w:val="Litteraturfrteckning"/>
      </w:pPr>
      <w:r>
        <w:t xml:space="preserve">58</w:t>
      </w:r>
      <w:r>
        <w:t xml:space="preserve"> </w:t>
      </w:r>
      <w:r>
        <w:t xml:space="preserve">	</w:t>
      </w:r>
      <w:r>
        <w:t xml:space="preserve">Pedersen AB, Svendsson JE, Johnsen SP,</w:t>
      </w:r>
      <w:r>
        <w:t xml:space="preserve"> </w:t>
      </w:r>
      <w:r>
        <w:rPr>
          <w:iCs/>
          <w:i/>
        </w:rPr>
        <w:t xml:space="preserve">et al.</w:t>
      </w:r>
      <w:r>
        <w:t xml:space="preserve">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w:t>
      </w:r>
      <w:r>
        <w:t xml:space="preserve">2010;</w:t>
      </w:r>
      <w:r>
        <w:rPr>
          <w:bCs/>
          <w:b/>
        </w:rPr>
        <w:t xml:space="preserve">81</w:t>
      </w:r>
      <w:r>
        <w:t xml:space="preserve">:542–7. doi:</w:t>
      </w:r>
      <w:hyperlink r:id="rId191">
        <w:r>
          <w:rPr>
            <w:rStyle w:val="Hyperlnk"/>
          </w:rPr>
          <w:t xml:space="preserve">10.3109/17453674.2010.519908</w:t>
        </w:r>
      </w:hyperlink>
    </w:p>
    <w:bookmarkEnd w:id="192"/>
    <w:bookmarkStart w:id="194" w:name="ref-Dale2012"/>
    <w:p>
      <w:pPr>
        <w:pStyle w:val="Litteraturfrteckning"/>
      </w:pPr>
      <w:r>
        <w:t xml:space="preserve">59</w:t>
      </w:r>
      <w:r>
        <w:t xml:space="preserve"> </w:t>
      </w:r>
      <w:r>
        <w:t xml:space="preserve">	</w:t>
      </w:r>
      <w:r>
        <w:t xml:space="preserve">Dale H, Fenstad AM, Hallan G,</w:t>
      </w:r>
      <w:r>
        <w:t xml:space="preserve"> </w:t>
      </w:r>
      <w:r>
        <w:rPr>
          <w:iCs/>
          <w:i/>
        </w:rPr>
        <w:t xml:space="preserve">et al.</w:t>
      </w:r>
      <w:r>
        <w:t xml:space="preserve">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w:t>
      </w:r>
      <w:r>
        <w:t xml:space="preserve">2012;</w:t>
      </w:r>
      <w:r>
        <w:rPr>
          <w:bCs/>
          <w:b/>
        </w:rPr>
        <w:t xml:space="preserve">83</w:t>
      </w:r>
      <w:r>
        <w:t xml:space="preserve">:449–58. doi:</w:t>
      </w:r>
      <w:hyperlink r:id="rId193">
        <w:r>
          <w:rPr>
            <w:rStyle w:val="Hyperlnk"/>
          </w:rPr>
          <w:t xml:space="preserve">10.3109/17453674.2012.733918</w:t>
        </w:r>
      </w:hyperlink>
    </w:p>
    <w:bookmarkEnd w:id="194"/>
    <w:bookmarkStart w:id="196" w:name="ref-Sayed-Noor2019"/>
    <w:p>
      <w:pPr>
        <w:pStyle w:val="Litteraturfrteckning"/>
      </w:pPr>
      <w:r>
        <w:t xml:space="preserve">60</w:t>
      </w:r>
      <w:r>
        <w:t xml:space="preserve"> </w:t>
      </w:r>
      <w:r>
        <w:t xml:space="preserve">	</w:t>
      </w:r>
      <w:r>
        <w:t xml:space="preserve">Sayed-Noor AS, Mukka S, Mohaddes M,</w:t>
      </w:r>
      <w:r>
        <w:t xml:space="preserve"> </w:t>
      </w:r>
      <w:r>
        <w:rPr>
          <w:iCs/>
          <w:i/>
        </w:rPr>
        <w:t xml:space="preserve">et al.</w:t>
      </w:r>
      <w:r>
        <w:t xml:space="preserve">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w:t>
      </w:r>
      <w:r>
        <w:t xml:space="preserve">2019;</w:t>
      </w:r>
      <w:r>
        <w:rPr>
          <w:bCs/>
          <w:b/>
        </w:rPr>
        <w:t xml:space="preserve">90</w:t>
      </w:r>
      <w:r>
        <w:t xml:space="preserve">:220–5. doi:</w:t>
      </w:r>
      <w:hyperlink r:id="rId195">
        <w:r>
          <w:rPr>
            <w:rStyle w:val="Hyperlnk"/>
          </w:rPr>
          <w:t xml:space="preserve">10.1080/17453674.2019.1594015</w:t>
        </w:r>
      </w:hyperlink>
    </w:p>
    <w:bookmarkEnd w:id="196"/>
    <w:bookmarkStart w:id="198" w:name="ref-Deleuran2015"/>
    <w:p>
      <w:pPr>
        <w:pStyle w:val="Litteraturfrteckning"/>
      </w:pPr>
      <w:r>
        <w:t xml:space="preserve">61</w:t>
      </w:r>
      <w:r>
        <w:t xml:space="preserve"> </w:t>
      </w:r>
      <w:r>
        <w:t xml:space="preserve">	</w:t>
      </w:r>
      <w:r>
        <w:t xml:space="preserve">Deleuran T, Vilstrup H, Overgaard S,</w:t>
      </w:r>
      <w:r>
        <w:t xml:space="preserve"> </w:t>
      </w:r>
      <w:r>
        <w:rPr>
          <w:iCs/>
          <w:i/>
        </w:rPr>
        <w:t xml:space="preserve">et al.</w:t>
      </w:r>
      <w:r>
        <w:t xml:space="preserve">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w:t>
      </w:r>
      <w:r>
        <w:t xml:space="preserve">2015;</w:t>
      </w:r>
      <w:r>
        <w:rPr>
          <w:bCs/>
          <w:b/>
        </w:rPr>
        <w:t xml:space="preserve">86</w:t>
      </w:r>
      <w:r>
        <w:t xml:space="preserve">:108–13. doi:</w:t>
      </w:r>
      <w:hyperlink r:id="rId197">
        <w:r>
          <w:rPr>
            <w:rStyle w:val="Hyperlnk"/>
          </w:rPr>
          <w:t xml:space="preserve">10.3109/17453674.2014.961397</w:t>
        </w:r>
      </w:hyperlink>
    </w:p>
    <w:bookmarkEnd w:id="198"/>
    <w:bookmarkStart w:id="200" w:name="ref-Pulido2008"/>
    <w:p>
      <w:pPr>
        <w:pStyle w:val="Litteraturfrteckning"/>
      </w:pPr>
      <w:r>
        <w:t xml:space="preserve">62</w:t>
      </w:r>
      <w:r>
        <w:t xml:space="preserve"> </w:t>
      </w:r>
      <w:r>
        <w:t xml:space="preserve">	</w:t>
      </w:r>
      <w:r>
        <w:t xml:space="preserve">Pulido L, Ghanem E, Joshi A,</w:t>
      </w:r>
      <w:r>
        <w:t xml:space="preserve"> </w:t>
      </w:r>
      <w:r>
        <w:rPr>
          <w:iCs/>
          <w:i/>
        </w:rPr>
        <w:t xml:space="preserve">et al.</w:t>
      </w:r>
      <w:r>
        <w:t xml:space="preserve">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w:t>
      </w:r>
      <w:r>
        <w:t xml:space="preserve">2008;</w:t>
      </w:r>
      <w:r>
        <w:rPr>
          <w:bCs/>
          <w:b/>
        </w:rPr>
        <w:t xml:space="preserve">466</w:t>
      </w:r>
      <w:r>
        <w:t xml:space="preserve">:1710–5. doi:</w:t>
      </w:r>
      <w:hyperlink r:id="rId199">
        <w:r>
          <w:rPr>
            <w:rStyle w:val="Hyperlnk"/>
          </w:rPr>
          <w:t xml:space="preserve">10.1007/s11999-008-0209-4</w:t>
        </w:r>
      </w:hyperlink>
    </w:p>
    <w:bookmarkEnd w:id="200"/>
    <w:bookmarkEnd w:id="201"/>
    <w:bookmarkEnd w:id="202"/>
    <w:sectPr w:rsidR="008113AE" w:rsidSect="00167439">
      <w:headerReference w:type="default" r:id="rId9"/>
      <w:pgSz w:w="12240" w:h="15840"/>
      <w:pgMar w:top="1417" w:right="1417" w:bottom="1417" w:left="1417"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89AA3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table" w:styleId="Tabellrutnt">
    <w:name w:val="Table Grid"/>
    <w:basedOn w:val="Normaltabell"/>
    <w:rsid w:val="000E58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63" Target="media/rId63.png" /><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_rels/footnotes.xml.rels><?xml version="1.0" encoding="UTF-8"?>
<Relationships xmlns="http://schemas.openxmlformats.org/package/2006/relationships"><Relationship Type="http://schemas.openxmlformats.org/officeDocument/2006/relationships/hyperlink" Id="rId61" Target="http://icmje.org/downloads/coi_disclosure.docx" TargetMode="External" /><Relationship Type="http://schemas.openxmlformats.org/officeDocument/2006/relationships/hyperlink" Id="rId103" Target="http://www.ncbi.nlm.nih.gov/pubmed/7717481" TargetMode="External" /><Relationship Type="http://schemas.openxmlformats.org/officeDocument/2006/relationships/hyperlink" Id="rId152" Target="https://doi.org/10.1002/sim.6744" TargetMode="External" /><Relationship Type="http://schemas.openxmlformats.org/officeDocument/2006/relationships/hyperlink" Id="rId122" Target="https://doi.org/10.1007/s10654-009-9350-y" TargetMode="External" /><Relationship Type="http://schemas.openxmlformats.org/officeDocument/2006/relationships/hyperlink" Id="rId199" Target="https://doi.org/10.1007/s11999-008-0209-4" TargetMode="External" /><Relationship Type="http://schemas.openxmlformats.org/officeDocument/2006/relationships/hyperlink" Id="rId118" Target="https://doi.org/10.1007/s11999-012-2605-z" TargetMode="External" /><Relationship Type="http://schemas.openxmlformats.org/officeDocument/2006/relationships/hyperlink" Id="rId165" Target="https://doi.org/10.1007/s11999-013-2923-9" TargetMode="External" /><Relationship Type="http://schemas.openxmlformats.org/officeDocument/2006/relationships/hyperlink" Id="rId101" Target="https://doi.org/10.1007/s11999-014-3780-x" TargetMode="External" /><Relationship Type="http://schemas.openxmlformats.org/officeDocument/2006/relationships/hyperlink" Id="rId116" Target="https://doi.org/10.1007/s11999-016-4717-3" TargetMode="External" /><Relationship Type="http://schemas.openxmlformats.org/officeDocument/2006/relationships/hyperlink" Id="rId107" Target="https://doi.org/10.1016/0021-9681(87)90171-8" TargetMode="External" /><Relationship Type="http://schemas.openxmlformats.org/officeDocument/2006/relationships/hyperlink" Id="rId81" Target="https://doi.org/10.1016/S0140-6736(14)61798-0" TargetMode="External" /><Relationship Type="http://schemas.openxmlformats.org/officeDocument/2006/relationships/hyperlink" Id="rId87" Target="https://doi.org/10.1016/j.arth.2006.09.002" TargetMode="External" /><Relationship Type="http://schemas.openxmlformats.org/officeDocument/2006/relationships/hyperlink" Id="rId91" Target="https://doi.org/10.1016/j.arth.2009.04.027" TargetMode="External" /><Relationship Type="http://schemas.openxmlformats.org/officeDocument/2006/relationships/hyperlink" Id="rId89" Target="https://doi.org/10.1016/j.arth.2009.05.016" TargetMode="External" /><Relationship Type="http://schemas.openxmlformats.org/officeDocument/2006/relationships/hyperlink" Id="rId177" Target="https://doi.org/10.1016/j.arth.2011.09.013" TargetMode="External" /><Relationship Type="http://schemas.openxmlformats.org/officeDocument/2006/relationships/hyperlink" Id="rId167" Target="https://doi.org/10.1016/j.arth.2012.06.027" TargetMode="External" /><Relationship Type="http://schemas.openxmlformats.org/officeDocument/2006/relationships/hyperlink" Id="rId114" Target="https://doi.org/10.1016/j.arth.2015.01.057" TargetMode="External" /><Relationship Type="http://schemas.openxmlformats.org/officeDocument/2006/relationships/hyperlink" Id="rId120" Target="https://doi.org/10.1016/j.arth.2015.05.004" TargetMode="External" /><Relationship Type="http://schemas.openxmlformats.org/officeDocument/2006/relationships/hyperlink" Id="rId183" Target="https://doi.org/10.1016/j.arth.2015.05.027" TargetMode="External" /><Relationship Type="http://schemas.openxmlformats.org/officeDocument/2006/relationships/hyperlink" Id="rId83" Target="https://doi.org/10.1016/j.arth.2018.09.045" TargetMode="External" /><Relationship Type="http://schemas.openxmlformats.org/officeDocument/2006/relationships/hyperlink" Id="rId79" Target="https://doi.org/10.1016/j.berh.2006.08.003" TargetMode="External" /><Relationship Type="http://schemas.openxmlformats.org/officeDocument/2006/relationships/hyperlink" Id="rId187" Target="https://doi.org/10.1080/17453674.2017.1341243" TargetMode="External" /><Relationship Type="http://schemas.openxmlformats.org/officeDocument/2006/relationships/hyperlink" Id="rId195" Target="https://doi.org/10.1080/17453674.2019.1594015" TargetMode="External" /><Relationship Type="http://schemas.openxmlformats.org/officeDocument/2006/relationships/hyperlink" Id="rId158" Target="https://doi.org/10.1080/20004508.2018.1429769" TargetMode="External" /><Relationship Type="http://schemas.openxmlformats.org/officeDocument/2006/relationships/hyperlink" Id="rId105" Target="https://doi.org/10.1086/666641" TargetMode="External" /><Relationship Type="http://schemas.openxmlformats.org/officeDocument/2006/relationships/hyperlink" Id="rId110" Target="https://doi.org/10.1097/01.MLR.0000064641.84967.B7" TargetMode="External" /><Relationship Type="http://schemas.openxmlformats.org/officeDocument/2006/relationships/hyperlink" Id="rId138" Target="https://doi.org/10.1097/01.mlr.0000182534.19832.83" TargetMode="External" /><Relationship Type="http://schemas.openxmlformats.org/officeDocument/2006/relationships/hyperlink" Id="rId163" Target="https://doi.org/10.1097/CORR.0000000000001117" TargetMode="External" /><Relationship Type="http://schemas.openxmlformats.org/officeDocument/2006/relationships/hyperlink" Id="rId130" Target="https://doi.org/10.1097/CORR.0000000000001210" TargetMode="External" /><Relationship Type="http://schemas.openxmlformats.org/officeDocument/2006/relationships/hyperlink" Id="rId112" Target="https://doi.org/10.1136/bmjopen-2017-021122" TargetMode="External" /><Relationship Type="http://schemas.openxmlformats.org/officeDocument/2006/relationships/hyperlink" Id="rId148" Target="https://doi.org/10.1177/1403494810394717" TargetMode="External" /><Relationship Type="http://schemas.openxmlformats.org/officeDocument/2006/relationships/hyperlink" Id="rId175" Target="https://doi.org/10.1177/193229681100500231" TargetMode="External" /><Relationship Type="http://schemas.openxmlformats.org/officeDocument/2006/relationships/hyperlink" Id="rId128" Target="https://doi.org/10.1186/1471-2458-11-450" TargetMode="External" /><Relationship Type="http://schemas.openxmlformats.org/officeDocument/2006/relationships/hyperlink" Id="rId179" Target="https://doi.org/10.1186/ar3087" TargetMode="External" /><Relationship Type="http://schemas.openxmlformats.org/officeDocument/2006/relationships/hyperlink" Id="rId171" Target="https://doi.org/10.1186/s12891-015-0835-4" TargetMode="External" /><Relationship Type="http://schemas.openxmlformats.org/officeDocument/2006/relationships/hyperlink" Id="rId124" Target="https://doi.org/10.1186/s12891-016-1262-x" TargetMode="External" /><Relationship Type="http://schemas.openxmlformats.org/officeDocument/2006/relationships/hyperlink" Id="rId146" Target="https://doi.org/10.1198/0003130043277" TargetMode="External" /><Relationship Type="http://schemas.openxmlformats.org/officeDocument/2006/relationships/hyperlink" Id="rId189" Target="https://doi.org/10.1302/0301-620X.101B1.BJJ-2018-0894.R1" TargetMode="External" /><Relationship Type="http://schemas.openxmlformats.org/officeDocument/2006/relationships/hyperlink" Id="rId144" Target="https://doi.org/10.1302/0301-620X.103B3.BJJ-2020-1249.R1" TargetMode="External" /><Relationship Type="http://schemas.openxmlformats.org/officeDocument/2006/relationships/hyperlink" Id="rId85" Target="https://doi.org/10.1302/0301-620X.87B6.15121" TargetMode="External" /><Relationship Type="http://schemas.openxmlformats.org/officeDocument/2006/relationships/hyperlink" Id="rId93" Target="https://doi.org/10.1302/0301-620X.92B7.24461" TargetMode="External" /><Relationship Type="http://schemas.openxmlformats.org/officeDocument/2006/relationships/hyperlink" Id="rId185" Target="https://doi.org/10.1302/0301-620X.92B8.24333" TargetMode="External" /><Relationship Type="http://schemas.openxmlformats.org/officeDocument/2006/relationships/hyperlink" Id="rId173" Target="https://doi.org/10.1302/0301-620X.94B10.29184" TargetMode="External" /><Relationship Type="http://schemas.openxmlformats.org/officeDocument/2006/relationships/hyperlink" Id="rId140" Target="https://doi.org/10.1371/journal.pone.0134151" TargetMode="External" /><Relationship Type="http://schemas.openxmlformats.org/officeDocument/2006/relationships/hyperlink" Id="rId126" Target="https://doi.org/10.18158/ryAO-C4pW" TargetMode="External" /><Relationship Type="http://schemas.openxmlformats.org/officeDocument/2006/relationships/hyperlink" Id="rId169" Target="https://doi.org/10.2106/JBJS.16.01435" TargetMode="External" /><Relationship Type="http://schemas.openxmlformats.org/officeDocument/2006/relationships/hyperlink" Id="rId97" Target="https://doi.org/10.2106/JBJS.J.01935" TargetMode="External" /><Relationship Type="http://schemas.openxmlformats.org/officeDocument/2006/relationships/hyperlink" Id="rId95" Target="https://doi.org/10.2106/JBJS.K.00072" TargetMode="External" /><Relationship Type="http://schemas.openxmlformats.org/officeDocument/2006/relationships/hyperlink" Id="rId99" Target="https://doi.org/10.2106/JBJS.M.01363" TargetMode="External" /><Relationship Type="http://schemas.openxmlformats.org/officeDocument/2006/relationships/hyperlink" Id="rId156" Target="https://doi.org/10.21105/joss.02916" TargetMode="External" /><Relationship Type="http://schemas.openxmlformats.org/officeDocument/2006/relationships/hyperlink" Id="rId134" Target="https://doi.org/10.2147/CLEP.S91125" TargetMode="External" /><Relationship Type="http://schemas.openxmlformats.org/officeDocument/2006/relationships/hyperlink" Id="rId132" Target="https://doi.org/10.2147/CLEP.S99498" TargetMode="External" /><Relationship Type="http://schemas.openxmlformats.org/officeDocument/2006/relationships/hyperlink" Id="rId150" Target="https://doi.org/10.2307/2531595" TargetMode="External" /><Relationship Type="http://schemas.openxmlformats.org/officeDocument/2006/relationships/hyperlink" Id="rId191" Target="https://doi.org/10.3109/17453674.2010.519908" TargetMode="External" /><Relationship Type="http://schemas.openxmlformats.org/officeDocument/2006/relationships/hyperlink" Id="rId193" Target="https://doi.org/10.3109/17453674.2012.733918" TargetMode="External" /><Relationship Type="http://schemas.openxmlformats.org/officeDocument/2006/relationships/hyperlink" Id="rId197" Target="https://doi.org/10.3109/17453674.2014.961397" TargetMode="External" /><Relationship Type="http://schemas.openxmlformats.org/officeDocument/2006/relationships/hyperlink" Id="rId181" Target="https://doi.org/10.3109/s10165-011-0423-x" TargetMode="External" /><Relationship Type="http://schemas.openxmlformats.org/officeDocument/2006/relationships/hyperlink" Id="rId142"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59" Target="https://registercentrum.se/vara-tjaenster/datauttag/p/B1eeV66QE" TargetMode="External" /><Relationship Type="http://schemas.openxmlformats.org/officeDocument/2006/relationships/hyperlink" Id="rId161" Target="https://www.dst.dk/en/Statistik/dokumentation/documentationofstatistics/the-student-registre/statistical-presentation" TargetMode="External" /><Relationship Type="http://schemas.openxmlformats.org/officeDocument/2006/relationships/hyperlink" Id="rId136" Target="https://www.dst.dk/en/TilSalg/Forskningsservice" TargetMode="External" /><Relationship Type="http://schemas.openxmlformats.org/officeDocument/2006/relationships/hyperlink" Id="rId154"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dcterms:created xsi:type="dcterms:W3CDTF">2021-06-29T14:36:53Z</dcterms:created>
  <dcterms:modified xsi:type="dcterms:W3CDTF">2021-06-29T14:36:53Z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bmj.csl</vt:lpwstr>
  </property>
  <property fmtid="{D5CDD505-2E9C-101B-9397-08002B2CF9AE}" pid="4" name="date">
    <vt:lpwstr>2021-06-29</vt:lpwstr>
  </property>
  <property fmtid="{D5CDD505-2E9C-101B-9397-08002B2CF9AE}" pid="5" name="output">
    <vt:lpwstr/>
  </property>
</Properties>
</file>