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5.png" ContentType="image/png"/>
  <Override PartName="/word/media/rId59.png" ContentType="image/png"/>
  <Override PartName="/word/media/rId51.png" ContentType="image/png"/>
  <Override PartName="/word/media/rId53.png" ContentType="image/png"/>
  <Override PartName="/word/media/rId57.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w:t>
      </w:r>
    </w:p>
    <w:p>
      <w:pPr>
        <w:pStyle w:val="Author"/>
      </w:pPr>
      <w:r>
        <w:t xml:space="preserve">Erik</w:t>
      </w:r>
      <w:r>
        <w:t xml:space="preserve"> </w:t>
      </w:r>
      <w:r>
        <w:t xml:space="preserve">Bulow</w:t>
      </w:r>
      <w:r>
        <w:rPr>
          <w:vertAlign w:val="superscript"/>
        </w:rPr>
        <w:t xml:space="preserve">1,2,3</w:t>
      </w:r>
      <w:r>
        <w:t xml:space="preserve">,</w:t>
      </w:r>
      <w:r>
        <w:t xml:space="preserve"> </w:t>
      </w:r>
      <w:r>
        <w:t xml:space="preserve">Ola</w:t>
      </w:r>
      <w:r>
        <w:t xml:space="preserve"> </w:t>
      </w:r>
      <w:r>
        <w:t xml:space="preserve">Rolfson</w:t>
      </w:r>
      <w:r>
        <w:rPr>
          <w:vertAlign w:val="superscript"/>
        </w:rPr>
        <w:t xml:space="preserve">1,2,3</w:t>
      </w:r>
      <w:r>
        <w:t xml:space="preserve">,</w:t>
      </w:r>
      <w:r>
        <w:t xml:space="preserve"> </w:t>
      </w:r>
      <w:r>
        <w:t xml:space="preserve">…,</w:t>
      </w:r>
      <w:r>
        <w:t xml:space="preserve"> </w:t>
      </w:r>
      <w:r>
        <w:t xml:space="preserve">Nils</w:t>
      </w:r>
      <w:r>
        <w:t xml:space="preserve"> </w:t>
      </w:r>
      <w:r>
        <w:t xml:space="preserve">P.</w:t>
      </w:r>
      <w:r>
        <w:t xml:space="preserve"> </w:t>
      </w:r>
      <w:r>
        <w:t xml:space="preserve">Hailer</w:t>
      </w:r>
      <w:r>
        <w:rPr>
          <w:vertAlign w:val="superscript"/>
        </w:rPr>
        <w:t xml:space="preserve">1,3</w:t>
      </w:r>
    </w:p>
    <w:p>
      <w:pPr>
        <w:pStyle w:val="Date"/>
      </w:pPr>
      <w:r>
        <w:t xml:space="preserve">2020-05-22</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5"/>
      </w:pPr>
      <w:bookmarkStart w:id="21" w:name="page-break"/>
      <w:r>
        <w:t xml:space="preserve">PAGE BREAK</w:t>
      </w:r>
      <w:bookmarkEnd w:id="21"/>
    </w:p>
    <w:p>
      <w:pPr>
        <w:pStyle w:val="Heading1"/>
      </w:pPr>
      <w:bookmarkStart w:id="22" w:name="abstract"/>
      <w:r>
        <w:t xml:space="preserve">Abstract</w:t>
      </w:r>
      <w:bookmarkEnd w:id="22"/>
    </w:p>
    <w:p>
      <w:pPr>
        <w:pStyle w:val="FirstParagraph"/>
      </w:pPr>
      <w:r>
        <w:rPr>
          <w:b/>
        </w:rPr>
        <w:t xml:space="preserve">OJECTIVE:</w:t>
      </w:r>
      <w:r>
        <w:rPr>
          <w:b/>
        </w:rPr>
        <w:t xml:space="preserve"> </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rPr>
          <w:b/>
        </w:rPr>
        <w:t xml:space="preserve"> </w:t>
      </w:r>
      <w:r>
        <w:t xml:space="preserve"> </w:t>
      </w:r>
      <w:r>
        <w:t xml:space="preserve">We analysed 86,427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rPr>
          <w:b/>
        </w:rPr>
        <w:t xml:space="preserve"> </w:t>
      </w:r>
      <w:r>
        <w:t xml:space="preserve"> </w:t>
      </w:r>
      <w:r>
        <w:t xml:space="preserve">The crude incidence rate of PJI after THA was 1.04 % within 90, days and 1.41 % within two years in the Swedish derivation cohort. A prediction model for PJI within 90 days combined the underlaying diagnosis for THA, body mass index, gender, and the precense of psoriasis, resulting in an AUC = 0.63 (95 % CI: 0.62 to 0.65) internally and</w:t>
      </w:r>
      <w:r>
        <w:t xml:space="preserve"> </w:t>
      </w:r>
      <w:r>
        <w:rPr>
          <w:b/>
        </w:rPr>
        <w:t xml:space="preserve">(AUC=XXX, 95% CI: XXX to XXX)</w:t>
      </w:r>
      <w:r>
        <w:t xml:space="preserve"> </w:t>
      </w:r>
      <w:r>
        <w:t xml:space="preserve">externally. A model for PJI within two years had similar performance internally (AUC = 0.65, 95 % CI: 0.63 to 0.66) and externally</w:t>
      </w:r>
      <w:r>
        <w:t xml:space="preserve"> </w:t>
      </w:r>
      <w:r>
        <w:rPr>
          <w:b/>
        </w:rPr>
        <w:t xml:space="preserve">XXX (95% CI: XXX to XXX)</w:t>
      </w:r>
      <w:r>
        <w:t xml:space="preserve">. These models were superior to traditional models based on the American Society for Anesthesiologists (ASA) classification (AUC = 0.60, 95 % CI: 0.58 to 0.61), Charlson (AUC = 0.54, 95 % CI: 0.53 to 0.56), Elixhauser (AUC = 0.57, 95 % CI: 0.55 to 0.59), and the Rx Risk V (AUC = 0.58, 95 % CI: 0.57 to 0.60) co-morbidity indices.</w:t>
      </w:r>
    </w:p>
    <w:p>
      <w:pPr>
        <w:pStyle w:val="BodyText"/>
      </w:pPr>
      <w:r>
        <w:rPr>
          <w:b/>
        </w:rPr>
        <w:t xml:space="preserve">CONCLUSION:</w:t>
      </w:r>
      <w:r>
        <w:rPr>
          <w:b/>
        </w:rPr>
        <w:t xml:space="preserve"> </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risk assessment prior to THA surgery.</w:t>
      </w:r>
    </w:p>
    <w:p>
      <w:pPr>
        <w:pStyle w:val="Heading5"/>
      </w:pPr>
      <w:bookmarkStart w:id="23" w:name="page-break-1"/>
      <w:r>
        <w:t xml:space="preserve">PAGE BREAK</w:t>
      </w:r>
      <w:bookmarkEnd w:id="23"/>
    </w:p>
    <w:p>
      <w:pPr>
        <w:pStyle w:val="Heading1"/>
      </w:pPr>
      <w:bookmarkStart w:id="24" w:name="introduction"/>
      <w:r>
        <w:t xml:space="preserve">Introduction</w:t>
      </w:r>
      <w:bookmarkEnd w:id="24"/>
    </w:p>
    <w:p>
      <w:pPr>
        <w:pStyle w:val="FirstParagraph"/>
      </w:pPr>
      <w:r>
        <w:t xml:space="preserve">Periprosthetic joint infection (PJI) is the most devastating of all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the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coded by the International Classification of Diseases (ICD), respectively, but they are cumbersome to use in a clinical setting, and they were also not designed for prediction of specific adverse events after THA. The same is true for the Rx Risk V-classification with 46 conditions codified by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w:t>
      </w:r>
      <w:r>
        <w:t xml:space="preserve"> </w:t>
      </w:r>
      <w:r>
        <w:t xml:space="preserve">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5" w:name="patients-and-methods"/>
      <w:r>
        <w:t xml:space="preserve">Patients and Methods</w:t>
      </w:r>
      <w:bookmarkEnd w:id="25"/>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6" w:name="derivation-cohort-sweden"/>
      <w:r>
        <w:t xml:space="preserve">Derivation cohort (Sweden)</w:t>
      </w:r>
      <w:bookmarkEnd w:id="26"/>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w:t>
      </w:r>
      <w:r>
        <w:t xml:space="preserve">and only patients who survivied at least two years aftert surgery. Patients with missing information on, or an ASA class of IV and above, were excluded, as were patients with missing information on BMI or a BMI above 50. Patients with missing information on educational levels or the type of hospital performing index surgery were also excluded.</w:t>
      </w:r>
    </w:p>
    <w:p>
      <w:pPr>
        <w:pStyle w:val="Heading2"/>
      </w:pPr>
      <w:bookmarkStart w:id="27" w:name="external-validation-cohort-xxx"/>
      <w:r>
        <w:t xml:space="preserve">External validation cohort (XXX)</w:t>
      </w:r>
      <w:bookmarkEnd w:id="27"/>
    </w:p>
    <w:p>
      <w:pPr>
        <w:pStyle w:val="Heading2"/>
      </w:pPr>
      <w:bookmarkStart w:id="28" w:name="definitions-of-co-morbidity-and-outcomes"/>
      <w:r>
        <w:t xml:space="preserve">Definitions of co-morbidity and outcomes</w:t>
      </w:r>
      <w:bookmarkEnd w:id="28"/>
    </w:p>
    <w:p>
      <w:pPr>
        <w:pStyle w:val="FirstParagraph"/>
      </w:pPr>
      <w:r>
        <w:t xml:space="preserve">The Charlson, Elixhauser and Rx Risk V co-morbidity indices are based on the presence of ICD-10 and ATC codes grouped into main categories (17, 31 and 46 respectively).</w:t>
      </w:r>
      <w:r>
        <w:rPr>
          <w:vertAlign w:val="superscript"/>
        </w:rPr>
        <w:t xml:space="preserve">18,28</w:t>
      </w:r>
      <w:r>
        <w:t xml:space="preserve"> </w:t>
      </w:r>
      <w:r>
        <w:t xml:space="preserve">Diagnostic categories from all indices were combined to define 34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These diagnoses were not considered as potential predictors to reduce the risk of overfitting to spurious events. PJI was defined by the occurrence of relevant ICD-10 or procedural NOMESCO-code recorded in NPR within 90 days or 2 years (Tab.</w:t>
      </w:r>
      <w:r>
        <w:t xml:space="preserve"> </w:t>
      </w:r>
      <w:r>
        <w:t xml:space="preserve">2</w:t>
      </w:r>
      <w:r>
        <w:t xml:space="preserve">), or if the patient was reported to SHAR, within the same time frame, as reoperated due to infection.</w:t>
      </w:r>
    </w:p>
    <w:p>
      <w:pPr>
        <w:pStyle w:val="Heading2"/>
      </w:pPr>
      <w:bookmarkStart w:id="29" w:name="model-development"/>
      <w:r>
        <w:t xml:space="preserve">Model development</w:t>
      </w:r>
      <w:bookmarkEnd w:id="29"/>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In order to account for the potentially U-shaped risk of developing PJI associated with either low or high BMI, this variable was treated as a categorical variable divided into four BMI intervals based on the six intervals propsed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1,000 bootstrap samples were drawn from the observed data set.</w:t>
      </w:r>
      <w:r>
        <w:rPr>
          <w:vertAlign w:val="superscript"/>
        </w:rPr>
        <w:t xml:space="preserve">31</w:t>
      </w:r>
      <w:r>
        <w:t xml:space="preserve"> </w:t>
      </w:r>
      <w:r>
        <w:t xml:space="preserve">Ten-fold cross validation was performed for every bootstrap sample with a range of potential penalty values (</w:t>
      </w:r>
      <m:oMath>
        <m:r>
          <m:t>λ</m:t>
        </m:r>
      </m:oMath>
      <w:r>
        <w:t xml:space="preserve">:s) in a logistic LASSO model, keeping only</w:t>
      </w:r>
      <w:r>
        <w:t xml:space="preserve"> </w:t>
      </w:r>
      <m:oMath>
        <m:r>
          <m:t>λ</m:t>
        </m:r>
      </m:oMath>
      <w:r>
        <w:t xml:space="preserve">:s that minimized the mean cross-validated deviances in each sample and using these</w:t>
      </w:r>
      <w:r>
        <w:t xml:space="preserve"> </w:t>
      </w:r>
      <m:oMath>
        <m:r>
          <m:t>λ</m:t>
        </m:r>
      </m:oMath>
      <w:r>
        <w:t xml:space="preserve">:s to estimate model coefficients for each potential predictor. Those coefficients were ranked based on their absolute values as a measure of variable importance. Piece-wise linear regression was applied to find a break-point, and influential predictors with absolute coefficients value above this pointm, scored a point. The whole process was repeated 100 times. Potential predictors that were selected at least once were used in main effects multivariable logistic regression models without penalty and without pre-normalization of numeric variables. Even more parsimonious models with potential predictors chosen at least 33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0" w:name="model-validation"/>
      <w:r>
        <w:t xml:space="preserve">Model validation</w:t>
      </w:r>
      <w:bookmarkEnd w:id="30"/>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w:t>
      </w:r>
      <w:r>
        <w:t xml:space="preserve"> </w:t>
      </w:r>
      <w:r>
        <w:t xml:space="preserve">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1" w:name="statistical-tools"/>
      <w:r>
        <w:t xml:space="preserve">Statistical tools</w:t>
      </w:r>
      <w:bookmarkEnd w:id="31"/>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2" w:name="ethical-approval"/>
      <w:r>
        <w:t xml:space="preserve">Ethical approval</w:t>
      </w:r>
      <w:bookmarkEnd w:id="32"/>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3" w:name="results"/>
      <w:r>
        <w:t xml:space="preserve">Results</w:t>
      </w:r>
      <w:bookmarkEnd w:id="33"/>
    </w:p>
    <w:p>
      <w:pPr>
        <w:pStyle w:val="Heading2"/>
      </w:pPr>
      <w:bookmarkStart w:id="34" w:name="study-participants"/>
      <w:r>
        <w:t xml:space="preserve">Study participants</w:t>
      </w:r>
      <w:bookmarkEnd w:id="34"/>
    </w:p>
    <w:p>
      <w:pPr>
        <w:pStyle w:val="FirstParagraph"/>
      </w:pPr>
      <w:r>
        <w:t xml:space="preserve">We included 86,427 patients (43.36 % males) with a mean age of 68 (SD = 11) years in the derivation cohort from the SHAR (Fig.</w:t>
      </w:r>
      <w:r>
        <w:t xml:space="preserve"> </w:t>
      </w:r>
      <w:r>
        <w:t xml:space="preserve">1</w:t>
      </w:r>
      <w:r>
        <w:t xml:space="preserve">, left panel).</w:t>
      </w:r>
      <w:r>
        <w:t xml:space="preserve"> </w:t>
      </w:r>
      <w:r>
        <w:t xml:space="preserve">1.04 % (n = 895) of the patients developed a PJI within 90 days, and 1.41 % (n = 1217) within 2 years (Tab.</w:t>
      </w:r>
      <w:r>
        <w:t xml:space="preserve"> </w:t>
      </w:r>
      <w:r>
        <w:t xml:space="preserve">3</w:t>
      </w:r>
      <w:r>
        <w:t xml:space="preserve">). The proportion of patients with ASA class III was</w:t>
      </w:r>
      <w:r>
        <w:t xml:space="preserve"> </w:t>
      </w:r>
      <w:r>
        <w:t xml:space="preserve">16 % (n = 13,863); 23 % (n = 20,076) had at least one comorbidity according to the Charlson co-morbidity index, 43 % (n = 36,917) according to Elixhauser, and 70 % (n = 60,820)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5" w:name="X97f55da61655794c4500bb5dee5b0e7e0a00da4"/>
      <w:r>
        <w:t xml:space="preserve">Model development and internal validation</w:t>
      </w:r>
      <w:bookmarkEnd w:id="35"/>
    </w:p>
    <w:p>
      <w:pPr>
        <w:pStyle w:val="FirstParagraph"/>
      </w:pPr>
      <w:r>
        <w:t xml:space="preserve">Patients with Coagulopathy, Hyperkalaemia, Malnutrition, Pancreatiinsufficiency, Transplant and Weight loss were uncommon, wherefore those co-morbidities were excluded as potentisl predictors prioir to further modeling. ROC-curves (Fig.</w:t>
      </w:r>
      <w:r>
        <w:t xml:space="preserve"> </w:t>
      </w:r>
      <w:r>
        <w:t xml:space="preserve">2</w:t>
      </w:r>
      <w:r>
        <w:t xml:space="preserve">) and AUC-values (Fig.</w:t>
      </w:r>
      <w:r>
        <w:t xml:space="preserve"> </w:t>
      </w:r>
      <w:r>
        <w:t xml:space="preserve">3</w:t>
      </w:r>
      <w:r>
        <w:t xml:space="preserve">) for the main and reduced models were no different. For simplicity, we therefore focus on the reduced models. Estimated probability density curves for patients with and without PJI were partially overlapping, although patients with PJI had on average higher predicted probabilites for such event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gender, and the precense of psoriasis (Tab.</w:t>
      </w:r>
      <w:r>
        <w:t xml:space="preserve"> </w:t>
      </w:r>
      <w:r>
        <w:t xml:space="preserve">5</w:t>
      </w:r>
      <w:r>
        <w:t xml:space="preserve">). Predictors associated with a statistically significant risk increase were</w:t>
      </w:r>
      <w:r>
        <w:t xml:space="preserve"> </w:t>
      </w:r>
      <w:r>
        <w:rPr>
          <w:b/>
        </w:rPr>
        <w:t xml:space="preserve">secondary osteoarthritis as the underlying reason for THA surgery, male gender, obesity, and the presence of psoriasis, osteoporosis, Paget’s or liver disease</w:t>
      </w:r>
      <w:r>
        <w:t xml:space="preserve">. This reduced model for the predicition of PJI within 90 days had an AUC = 0.63 (95 % CI: 0.62 to 0.65), whereas ASA class (AUC = 0.60, 95 % CI: 0.58 to 0.61), the Charlson co-morbidity index (AUC = 0.54, 95 % CI: 0.53 to 0.56), the Elixhauser co-morbidity index (AUC = 0.57, 95 % CI: 0.55 to 0.59), and Rx Risk V (AUC = 0.58, 95 % CI: 0.57 to 0.60)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seen by the calibration plot (Fig.</w:t>
      </w:r>
      <w:r>
        <w:t xml:space="preserve"> </w:t>
      </w:r>
      <w:r>
        <w:t xml:space="preserve">5</w:t>
      </w:r>
      <w:r>
        <w:t xml:space="preserve">, left panel).</w:t>
      </w:r>
    </w:p>
    <w:p>
      <w:pPr>
        <w:pStyle w:val="BodyText"/>
      </w:pPr>
      <w:r>
        <w:t xml:space="preserve">The reduced model for PJI within two years included the same predictors, with the addition of gender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0.65 (95 % CI: 0.63 to 0.66), whereas ASA class (AUC = 0.58, 95 % CI: 0.57 to 0.60), the Charlson co-morbidity index (AUC = 0.54, 95 % CI: 0.53 to 0.56), the Elixhauser co-morbidity index (AUC = 0.57, 95 % CI: 0.55 to 0.59), and Rx Risk V (AUC = 0.58, 95 % CI: 0.57 to 0.60) again had less discriminative ability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6" w:name="external-validation"/>
      <w:r>
        <w:t xml:space="preserve">External validation</w:t>
      </w:r>
      <w:bookmarkEnd w:id="36"/>
    </w:p>
    <w:p>
      <w:pPr>
        <w:pStyle w:val="FirstParagraph"/>
      </w:pPr>
      <w:r>
        <w:t xml:space="preserve">XXX</w:t>
      </w:r>
    </w:p>
    <w:p>
      <w:pPr>
        <w:pStyle w:val="Heading1"/>
      </w:pPr>
      <w:bookmarkStart w:id="37" w:name="discussion"/>
      <w:r>
        <w:t xml:space="preserve">Discussion</w:t>
      </w:r>
      <w:bookmarkEnd w:id="37"/>
    </w:p>
    <w:p>
      <w:pPr>
        <w:pStyle w:val="Heading2"/>
      </w:pPr>
      <w:bookmarkStart w:id="38" w:name="principal-findings"/>
      <w:r>
        <w:t xml:space="preserve">Principal findings</w:t>
      </w:r>
      <w:bookmarkEnd w:id="38"/>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gender to the list of predictor variables. This model also performed better than the established co-morbidity measures in terms of AUC and calibration.</w:t>
      </w:r>
    </w:p>
    <w:p>
      <w:pPr>
        <w:pStyle w:val="Heading2"/>
      </w:pPr>
      <w:bookmarkStart w:id="39" w:name="clinical-usage"/>
      <w:r>
        <w:t xml:space="preserve">Clinical usage</w:t>
      </w:r>
      <w:bookmarkEnd w:id="39"/>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of normal weigth with primary osteoarthritis and no co-morbidities would have a probability of 0.6 % for PJI within 90 days; a male with overweight, secondary osteoarthritis and proriasis would have a probability of 7.2 %.</w:t>
      </w:r>
    </w:p>
    <w:p>
      <w:pPr>
        <w:pStyle w:val="Heading2"/>
      </w:pPr>
      <w:bookmarkStart w:id="40" w:name="model-predictors"/>
      <w:r>
        <w:t xml:space="preserve">Model predictors</w:t>
      </w:r>
      <w:bookmarkEnd w:id="40"/>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1" w:name="strengths-and-limitations"/>
      <w:r>
        <w:t xml:space="preserve">Strengths and limitations</w:t>
      </w:r>
      <w:bookmarkEnd w:id="41"/>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w:t>
      </w:r>
      <w:r>
        <w:t xml:space="preserve"> </w:t>
      </w:r>
      <w:r>
        <w:t xml:space="preserve">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2" w:name="conclusion"/>
      <w:r>
        <w:t xml:space="preserve">Conclusion</w:t>
      </w:r>
      <w:bookmarkEnd w:id="42"/>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3" w:name="page-break-2"/>
      <w:r>
        <w:t xml:space="preserve">Page break</w:t>
      </w:r>
      <w:bookmarkEnd w:id="43"/>
    </w:p>
    <w:p>
      <w:pPr>
        <w:pStyle w:val="Heading1"/>
      </w:pPr>
      <w:bookmarkStart w:id="44" w:name="contribution-of-authors"/>
      <w:r>
        <w:t xml:space="preserve">Contribution of authors</w:t>
      </w:r>
      <w:bookmarkEnd w:id="44"/>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5" w:name="competing-interest-statement"/>
      <w:r>
        <w:t xml:space="preserve">Competing interest statement</w:t>
      </w:r>
      <w:bookmarkEnd w:id="45"/>
    </w:p>
    <w:p>
      <w:pPr>
        <w:pStyle w:val="FirstParagraph"/>
      </w:pPr>
      <w:r>
        <w:t xml:space="preserve">All authors have completed the ICMJE uniform disclosure form at www.icmje.org/coi_disclosure.pdf and declare …</w:t>
      </w:r>
    </w:p>
    <w:p>
      <w:pPr>
        <w:pStyle w:val="Heading1"/>
      </w:pPr>
      <w:bookmarkStart w:id="46" w:name="transparency-statement"/>
      <w:r>
        <w:t xml:space="preserve">Transparency Statement</w:t>
      </w:r>
      <w:bookmarkEnd w:id="46"/>
    </w:p>
    <w:p>
      <w:pPr>
        <w:pStyle w:val="FirstParagraph"/>
      </w:pPr>
      <w:r>
        <w:t xml:space="preserve">NH, the principal investigator of this study, affirms that this is an accurate report with no relevant data or aspects omitted.</w:t>
      </w:r>
    </w:p>
    <w:p>
      <w:pPr>
        <w:pStyle w:val="Heading1"/>
      </w:pPr>
      <w:bookmarkStart w:id="47" w:name="public-and-patient-involvement-statement"/>
      <w:r>
        <w:t xml:space="preserve">Public and patient involvement statement</w:t>
      </w:r>
      <w:bookmarkEnd w:id="47"/>
    </w:p>
    <w:p>
      <w:pPr>
        <w:pStyle w:val="FirstParagraph"/>
      </w:pPr>
      <w:r>
        <w:t xml:space="preserve">There is a patient representative at SHAR to ensure the patients’ interests are respected in planned research.</w:t>
      </w:r>
    </w:p>
    <w:p>
      <w:pPr>
        <w:pStyle w:val="Heading1"/>
      </w:pPr>
      <w:bookmarkStart w:id="48" w:name="data-sharing-statement"/>
      <w:r>
        <w:t xml:space="preserve">Data sharing statement</w:t>
      </w:r>
      <w:bookmarkEnd w:id="48"/>
    </w:p>
    <w:p>
      <w:pPr>
        <w:pStyle w:val="FirstParagraph"/>
      </w:pPr>
      <w:r>
        <w:t xml:space="preserve">Data is available upon reasonable request to the principal investigator.</w:t>
      </w:r>
    </w:p>
    <w:p>
      <w:pPr>
        <w:pStyle w:val="Heading1"/>
      </w:pPr>
      <w:bookmarkStart w:id="49" w:name="acknowledgement"/>
      <w:r>
        <w:t xml:space="preserve">Acknowledgement</w:t>
      </w:r>
      <w:bookmarkEnd w:id="49"/>
    </w:p>
    <w:p>
      <w:pPr>
        <w:pStyle w:val="FirstParagraph"/>
      </w:pPr>
      <w:r>
        <w:t xml:space="preserve">We would like to thank .</w:t>
      </w:r>
    </w:p>
    <w:p>
      <w:pPr>
        <w:pStyle w:val="Heading5"/>
      </w:pPr>
      <w:bookmarkStart w:id="50" w:name="page-break-3"/>
      <w:r>
        <w:t xml:space="preserve">PAGE BREAK</w:t>
      </w:r>
      <w:bookmarkEnd w:id="50"/>
    </w:p>
    <w:p>
      <w:pPr>
        <w:pStyle w:val="CaptionedFigure"/>
      </w:pPr>
      <w:r>
        <w:drawing>
          <wp:inline>
            <wp:extent cx="5969000" cy="5537646"/>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1"/>
                    <a:stretch>
                      <a:fillRect/>
                    </a:stretch>
                  </pic:blipFill>
                  <pic:spPr bwMode="auto">
                    <a:xfrm>
                      <a:off x="0" y="0"/>
                      <a:ext cx="5969000" cy="5537646"/>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2" w:name="page-break-4"/>
      <w:r>
        <w:t xml:space="preserve">PAGE BREAK</w:t>
      </w:r>
      <w:bookmarkEnd w:id="52"/>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3"/>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4" w:name="page-break-5"/>
      <w:r>
        <w:t xml:space="preserve">PAGE BREAK</w:t>
      </w:r>
      <w:bookmarkEnd w:id="54"/>
    </w:p>
    <w:p>
      <w:pPr>
        <w:pStyle w:val="CaptionedFigure"/>
      </w:pPr>
      <w:r>
        <w:drawing>
          <wp:inline>
            <wp:extent cx="5969000" cy="2984500"/>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6" w:name="page-break-6"/>
      <w:r>
        <w:t xml:space="preserve">PAGE BREAK</w:t>
      </w:r>
      <w:bookmarkEnd w:id="56"/>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7"/>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8" w:name="page-break-7"/>
      <w:r>
        <w:t xml:space="preserve">PAGE BREAK</w:t>
      </w:r>
      <w:bookmarkEnd w:id="58"/>
    </w:p>
    <w:p>
      <w:pPr>
        <w:pStyle w:val="CaptionedFigure"/>
      </w:pPr>
      <w:r>
        <w:drawing>
          <wp:inline>
            <wp:extent cx="5969000" cy="2984500"/>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0" w:name="page-break-8"/>
      <w:r>
        <w:t xml:space="preserve">PAGE BREAK</w:t>
      </w:r>
      <w:bookmarkEnd w:id="60"/>
    </w:p>
    <w:p>
      <w:pPr>
        <w:pStyle w:val="TableCaption"/>
      </w:pPr>
      <w:r>
        <w:t xml:space="preserve">Table 1: Categorization of co-morbidities from the Charlson, Elixhauser and Rx RIsk V co-morbidities. (CNS = central nervous system.)</w:t>
      </w:r>
    </w:p>
    <w:tbl>
      <w:tblPr>
        <w:tblStyle w:val="Table"/>
        <w:tblW w:type="pct" w:w="0.0"/>
        <w:tblLook w:firstRow="1"/>
        <w:tblCaption w:val="Table 1: Categorization of co-morbidities from the Charlson, Elixhauser and Rx RIsk V co-morbidities.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Rx</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c>
          <w:p>
            <w:pPr>
              <w:pStyle w:val="Compact"/>
              <w:jc w:val="left"/>
            </w:pPr>
            <w:r>
              <w:t xml:space="preserve">Hiv</w:t>
            </w:r>
          </w:p>
        </w:tc>
      </w:tr>
      <w:tr>
        <w:tc>
          <w:p>
            <w:pPr>
              <w:pStyle w:val="Compact"/>
              <w:jc w:val="left"/>
            </w:pPr>
            <w:r>
              <w:t xml:space="preserve">Allergies</w:t>
            </w:r>
          </w:p>
        </w:tc>
        <w:tc>
          <w:p/>
        </w:tc>
        <w:tc>
          <w:p/>
        </w:tc>
        <w:tc>
          <w:p>
            <w:pPr>
              <w:pStyle w:val="Compact"/>
              <w:jc w:val="left"/>
            </w:pPr>
            <w:r>
              <w:t xml:space="preserve">Allergies</w:t>
            </w:r>
          </w:p>
        </w:tc>
      </w:tr>
      <w:tr>
        <w:tc>
          <w:p>
            <w:pPr>
              <w:pStyle w:val="Compact"/>
              <w:jc w:val="left"/>
            </w:pPr>
            <w:r>
              <w:t xml:space="preserve">Anemia</w:t>
            </w:r>
          </w:p>
        </w:tc>
        <w:tc>
          <w:p/>
        </w:tc>
        <w:tc>
          <w:p>
            <w:pPr>
              <w:pStyle w:val="Compact"/>
              <w:jc w:val="left"/>
            </w:pPr>
            <w:r>
              <w:t xml:space="preserve">Blood loss anemia, Deficiency anemia</w:t>
            </w:r>
          </w:p>
        </w:tc>
        <w:tc>
          <w:p/>
        </w:tc>
      </w:tr>
      <w:tr>
        <w:tc>
          <w:p>
            <w:pPr>
              <w:pStyle w:val="Compact"/>
              <w:jc w:val="left"/>
            </w:pPr>
            <w:r>
              <w:t xml:space="preserve">Arrhythmia</w:t>
            </w:r>
          </w:p>
        </w:tc>
        <w:tc>
          <w:p/>
        </w:tc>
        <w:tc>
          <w:p>
            <w:pPr>
              <w:pStyle w:val="Compact"/>
              <w:jc w:val="left"/>
            </w:pPr>
            <w:r>
              <w:t xml:space="preserve">Cardiac arrhythmias</w:t>
            </w:r>
          </w:p>
        </w:tc>
        <w:tc>
          <w:p>
            <w:pPr>
              <w:pStyle w:val="Compact"/>
              <w:jc w:val="left"/>
            </w:pPr>
            <w:r>
              <w:t xml:space="preserve">Arrhythmia</w:t>
            </w:r>
          </w:p>
        </w:tc>
      </w:tr>
      <w:tr>
        <w:tc>
          <w:p>
            <w:pPr>
              <w:pStyle w:val="Compact"/>
              <w:jc w:val="left"/>
            </w:pPr>
            <w:r>
              <w:t xml:space="preserve">Arterial hypertension</w:t>
            </w:r>
          </w:p>
        </w:tc>
        <w:tc>
          <w:p/>
        </w:tc>
        <w:tc>
          <w:p>
            <w:pPr>
              <w:pStyle w:val="Compact"/>
              <w:jc w:val="left"/>
            </w:pPr>
            <w:r>
              <w:t xml:space="preserve">Hypertension uncomplicated, Hypertension complicated</w:t>
            </w:r>
          </w:p>
        </w:tc>
        <w:tc>
          <w:p>
            <w:pPr>
              <w:pStyle w:val="Compact"/>
              <w:jc w:val="left"/>
            </w:pPr>
            <w:r>
              <w:t xml:space="preserve">Hypertension</w:t>
            </w:r>
          </w:p>
        </w:tc>
      </w:tr>
      <w:tr>
        <w:tc>
          <w:p>
            <w:pPr>
              <w:pStyle w:val="Compact"/>
              <w:jc w:val="left"/>
            </w:pPr>
            <w:r>
              <w:t xml:space="preserve">Benign prostatic hyperplasia</w:t>
            </w:r>
          </w:p>
        </w:tc>
        <w:tc>
          <w:p/>
        </w:tc>
        <w:tc>
          <w:p/>
        </w:tc>
        <w:tc>
          <w:p>
            <w:pPr>
              <w:pStyle w:val="Compact"/>
              <w:jc w:val="left"/>
            </w:pPr>
            <w:r>
              <w:t xml:space="preserve">Benign prostatic hyperplasia</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c>
          <w:p>
            <w:pPr>
              <w:pStyle w:val="Compact"/>
              <w:jc w:val="left"/>
            </w:pPr>
            <w:r>
              <w:t xml:space="preserve">Malignancies</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c>
          <w:p>
            <w:pPr>
              <w:pStyle w:val="Compact"/>
              <w:jc w:val="left"/>
            </w:pPr>
            <w:r>
              <w:t xml:space="preserve">Dementia, Depression, Anxiety, Bipolar disorder, Epilepsy, Migraine, Parkinson s disease, Psychotic illness</w:t>
            </w:r>
          </w:p>
        </w:tc>
      </w:tr>
      <w:tr>
        <w:tc>
          <w:p>
            <w:pPr>
              <w:pStyle w:val="Compact"/>
              <w:jc w:val="left"/>
            </w:pPr>
            <w:r>
              <w:t xml:space="preserve">Coagulopathy</w:t>
            </w:r>
          </w:p>
        </w:tc>
        <w:tc>
          <w:p/>
        </w:tc>
        <w:tc>
          <w:p>
            <w:pPr>
              <w:pStyle w:val="Compact"/>
              <w:jc w:val="left"/>
            </w:pPr>
            <w:r>
              <w:t xml:space="preserve">Coagulopathy</w:t>
            </w:r>
          </w:p>
        </w:tc>
        <w:tc>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c>
          <w:p>
            <w:pPr>
              <w:pStyle w:val="Compact"/>
              <w:jc w:val="left"/>
            </w:pPr>
            <w:r>
              <w:t xml:space="preserve">Diabetes</w:t>
            </w:r>
          </w:p>
        </w:tc>
      </w:tr>
      <w:tr>
        <w:tc>
          <w:p>
            <w:pPr>
              <w:pStyle w:val="Compact"/>
              <w:jc w:val="left"/>
            </w:pPr>
            <w:r>
              <w:t xml:space="preserve">Drug alcohol abuse</w:t>
            </w:r>
          </w:p>
        </w:tc>
        <w:tc>
          <w:p/>
        </w:tc>
        <w:tc>
          <w:p>
            <w:pPr>
              <w:pStyle w:val="Compact"/>
              <w:jc w:val="left"/>
            </w:pPr>
            <w:r>
              <w:t xml:space="preserve">Alcohol abuse, Drug abuse</w:t>
            </w:r>
          </w:p>
        </w:tc>
        <w:tc>
          <w:p>
            <w:pPr>
              <w:pStyle w:val="Compact"/>
              <w:jc w:val="left"/>
            </w:pPr>
            <w:r>
              <w:t xml:space="preserve">Alcohol dependence</w:t>
            </w:r>
          </w:p>
        </w:tc>
      </w:tr>
      <w:tr>
        <w:tc>
          <w:p>
            <w:pPr>
              <w:pStyle w:val="Compact"/>
              <w:jc w:val="left"/>
            </w:pPr>
            <w:r>
              <w:t xml:space="preserve">Fluid electrolyte disorders</w:t>
            </w:r>
          </w:p>
        </w:tc>
        <w:tc>
          <w:p/>
        </w:tc>
        <w:tc>
          <w:p>
            <w:pPr>
              <w:pStyle w:val="Compact"/>
              <w:jc w:val="left"/>
            </w:pPr>
            <w:r>
              <w:t xml:space="preserve">Fluid electrolyte disorders</w:t>
            </w:r>
          </w:p>
        </w:tc>
        <w:tc>
          <w:p/>
        </w:tc>
      </w:tr>
      <w:tr>
        <w:tc>
          <w:p>
            <w:pPr>
              <w:pStyle w:val="Compact"/>
              <w:jc w:val="left"/>
            </w:pPr>
            <w:r>
              <w:t xml:space="preserve">Glaucoma</w:t>
            </w:r>
          </w:p>
        </w:tc>
        <w:tc>
          <w:p/>
        </w:tc>
        <w:tc>
          <w:p/>
        </w:tc>
        <w:tc>
          <w:p>
            <w:pPr>
              <w:pStyle w:val="Compact"/>
              <w:jc w:val="left"/>
            </w:pPr>
            <w:r>
              <w:t xml:space="preserve">Glaucoma</w:t>
            </w:r>
          </w:p>
        </w:tc>
      </w:tr>
      <w:tr>
        <w:tc>
          <w:p>
            <w:pPr>
              <w:pStyle w:val="Compact"/>
              <w:jc w:val="left"/>
            </w:pPr>
            <w:r>
              <w:t xml:space="preserve">Gout</w:t>
            </w:r>
          </w:p>
        </w:tc>
        <w:tc>
          <w:p/>
        </w:tc>
        <w:tc>
          <w:p/>
        </w:tc>
        <w:tc>
          <w:p>
            <w:pPr>
              <w:pStyle w:val="Compact"/>
              <w:jc w:val="left"/>
            </w:pPr>
            <w:r>
              <w:t xml:space="preserve">Gout</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c>
          <w:p>
            <w:pPr>
              <w:pStyle w:val="Compact"/>
              <w:jc w:val="left"/>
            </w:pPr>
            <w:r>
              <w:t xml:space="preserve">Congestive heart failure</w:t>
            </w:r>
          </w:p>
        </w:tc>
      </w:tr>
      <w:tr>
        <w:tc>
          <w:p>
            <w:pPr>
              <w:pStyle w:val="Compact"/>
              <w:jc w:val="left"/>
            </w:pPr>
            <w:r>
              <w:t xml:space="preserve">Myocardial infarction</w:t>
            </w:r>
          </w:p>
        </w:tc>
        <w:tc>
          <w:p>
            <w:pPr>
              <w:pStyle w:val="Compact"/>
              <w:jc w:val="left"/>
            </w:pPr>
            <w:r>
              <w:t xml:space="preserve">Myocardial infarction</w:t>
            </w:r>
          </w:p>
        </w:tc>
        <w:tc>
          <w:p/>
        </w:tc>
        <w:tc>
          <w:p>
            <w:pPr>
              <w:pStyle w:val="Compact"/>
              <w:jc w:val="left"/>
            </w:pPr>
            <w:r>
              <w:t xml:space="preserve">Ischemic heart disease angina, Ischaemic heart disease hypertension</w:t>
            </w:r>
          </w:p>
        </w:tc>
      </w:tr>
      <w:tr>
        <w:tc>
          <w:p>
            <w:pPr>
              <w:pStyle w:val="Compact"/>
              <w:jc w:val="left"/>
            </w:pPr>
            <w:r>
              <w:t xml:space="preserve">Hyperkalaemia</w:t>
            </w:r>
          </w:p>
        </w:tc>
        <w:tc>
          <w:p/>
        </w:tc>
        <w:tc>
          <w:p/>
        </w:tc>
        <w:tc>
          <w:p>
            <w:pPr>
              <w:pStyle w:val="Compact"/>
              <w:jc w:val="left"/>
            </w:pPr>
            <w:r>
              <w:t xml:space="preserve">Hyperkalaemia</w:t>
            </w:r>
          </w:p>
        </w:tc>
      </w:tr>
      <w:tr>
        <w:tc>
          <w:p>
            <w:pPr>
              <w:pStyle w:val="Compact"/>
              <w:jc w:val="left"/>
            </w:pPr>
            <w:r>
              <w:t xml:space="preserve">Hyperlipidaemia</w:t>
            </w:r>
          </w:p>
        </w:tc>
        <w:tc>
          <w:p/>
        </w:tc>
        <w:tc>
          <w:p/>
        </w:tc>
        <w:tc>
          <w:p>
            <w:pPr>
              <w:pStyle w:val="Compact"/>
              <w:jc w:val="left"/>
            </w:pPr>
            <w:r>
              <w:t xml:space="preserve">Hyperlipidaemia</w:t>
            </w:r>
          </w:p>
        </w:tc>
      </w:tr>
      <w:tr>
        <w:tc>
          <w:p>
            <w:pPr>
              <w:pStyle w:val="Compact"/>
              <w:jc w:val="left"/>
            </w:pPr>
            <w:r>
              <w:t xml:space="preserve">Hypothyroidism</w:t>
            </w:r>
          </w:p>
        </w:tc>
        <w:tc>
          <w:p/>
        </w:tc>
        <w:tc>
          <w:p>
            <w:pPr>
              <w:pStyle w:val="Compact"/>
              <w:jc w:val="left"/>
            </w:pPr>
            <w:r>
              <w:t xml:space="preserve">Hypothyroidism</w:t>
            </w:r>
          </w:p>
        </w:tc>
        <w:tc>
          <w:p>
            <w:pPr>
              <w:pStyle w:val="Compact"/>
              <w:jc w:val="left"/>
            </w:pPr>
            <w:r>
              <w:t xml:space="preserve">Hyperthyroidism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c>
          <w:p>
            <w:pPr>
              <w:pStyle w:val="Compact"/>
              <w:jc w:val="left"/>
            </w:pPr>
            <w:r>
              <w:t xml:space="preserve">Renal disease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c>
          <w:p>
            <w:pPr>
              <w:pStyle w:val="Compact"/>
              <w:jc w:val="left"/>
            </w:pPr>
            <w:r>
              <w:t xml:space="preserve">Liver failure, Hepatitis c</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c>
          <w:p>
            <w:pPr>
              <w:pStyle w:val="Compact"/>
              <w:jc w:val="left"/>
            </w:pPr>
            <w:r>
              <w:t xml:space="preserve">Smoking cessation, Chronic airways disease, Tuberculosis</w:t>
            </w:r>
          </w:p>
        </w:tc>
      </w:tr>
      <w:tr>
        <w:tc>
          <w:p>
            <w:pPr>
              <w:pStyle w:val="Compact"/>
              <w:jc w:val="left"/>
            </w:pPr>
            <w:r>
              <w:t xml:space="preserve">Malnutrition</w:t>
            </w:r>
          </w:p>
        </w:tc>
        <w:tc>
          <w:p/>
        </w:tc>
        <w:tc>
          <w:p/>
        </w:tc>
        <w:tc>
          <w:p>
            <w:pPr>
              <w:pStyle w:val="Compact"/>
              <w:jc w:val="left"/>
            </w:pPr>
            <w:r>
              <w:t xml:space="preserve">Malnutrition</w:t>
            </w:r>
          </w:p>
        </w:tc>
      </w:tr>
      <w:tr>
        <w:tc>
          <w:p>
            <w:pPr>
              <w:pStyle w:val="Compact"/>
              <w:jc w:val="left"/>
            </w:pPr>
            <w:r>
              <w:t xml:space="preserve">Obesity</w:t>
            </w:r>
          </w:p>
        </w:tc>
        <w:tc>
          <w:p/>
        </w:tc>
        <w:tc>
          <w:p>
            <w:pPr>
              <w:pStyle w:val="Compact"/>
              <w:jc w:val="left"/>
            </w:pPr>
            <w:r>
              <w:t xml:space="preserve">Obesity</w:t>
            </w:r>
          </w:p>
        </w:tc>
        <w:tc>
          <w:p/>
        </w:tc>
      </w:tr>
      <w:tr>
        <w:tc>
          <w:p>
            <w:pPr>
              <w:pStyle w:val="Compact"/>
              <w:jc w:val="left"/>
            </w:pPr>
            <w:r>
              <w:t xml:space="preserve">Osteoporosis pagets</w:t>
            </w:r>
          </w:p>
        </w:tc>
        <w:tc>
          <w:p/>
        </w:tc>
        <w:tc>
          <w:p/>
        </w:tc>
        <w:tc>
          <w:p>
            <w:pPr>
              <w:pStyle w:val="Compact"/>
              <w:jc w:val="left"/>
            </w:pPr>
            <w:r>
              <w:t xml:space="preserve">Osteoporosis paget s</w:t>
            </w:r>
          </w:p>
        </w:tc>
      </w:tr>
      <w:tr>
        <w:tc>
          <w:p>
            <w:pPr>
              <w:pStyle w:val="Compact"/>
              <w:jc w:val="left"/>
            </w:pPr>
            <w:r>
              <w:t xml:space="preserve">Pain</w:t>
            </w:r>
          </w:p>
        </w:tc>
        <w:tc>
          <w:p/>
        </w:tc>
        <w:tc>
          <w:p/>
        </w:tc>
        <w:tc>
          <w:p>
            <w:pPr>
              <w:pStyle w:val="Compact"/>
              <w:jc w:val="left"/>
            </w:pPr>
            <w:r>
              <w:t xml:space="preserve">Pain</w:t>
            </w:r>
          </w:p>
        </w:tc>
      </w:tr>
      <w:tr>
        <w:tc>
          <w:p>
            <w:pPr>
              <w:pStyle w:val="Compact"/>
              <w:jc w:val="left"/>
            </w:pPr>
            <w:r>
              <w:t xml:space="preserve">Pancreatic insufficiency</w:t>
            </w:r>
          </w:p>
        </w:tc>
        <w:tc>
          <w:p/>
        </w:tc>
        <w:tc>
          <w:p/>
        </w:tc>
        <w:tc>
          <w:p>
            <w:pPr>
              <w:pStyle w:val="Compact"/>
              <w:jc w:val="left"/>
            </w:pPr>
            <w:r>
              <w:t xml:space="preserve">Pancreatic insufficiency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c>
          <w:p>
            <w:pPr>
              <w:pStyle w:val="Compact"/>
              <w:jc w:val="left"/>
            </w:pPr>
            <w:r>
              <w:t xml:space="preserve">Gastrooesophageal reflux disease, Irritable bowel syndrome</w:t>
            </w:r>
          </w:p>
        </w:tc>
      </w:tr>
      <w:tr>
        <w:tc>
          <w:p>
            <w:pPr>
              <w:pStyle w:val="Compact"/>
              <w:jc w:val="left"/>
            </w:pPr>
            <w:r>
              <w:t xml:space="preserve">Psoriasis</w:t>
            </w:r>
          </w:p>
        </w:tc>
        <w:tc>
          <w:p/>
        </w:tc>
        <w:tc>
          <w:p/>
        </w:tc>
        <w:tc>
          <w:p>
            <w:pPr>
              <w:pStyle w:val="Compact"/>
              <w:jc w:val="left"/>
            </w:pPr>
            <w:r>
              <w:t xml:space="preserve">Psoriasis</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c>
          <w:p/>
        </w:tc>
      </w:tr>
      <w:tr>
        <w:tc>
          <w:p>
            <w:pPr>
              <w:pStyle w:val="Compact"/>
              <w:jc w:val="left"/>
            </w:pPr>
            <w:r>
              <w:t xml:space="preserve">Steroid responsive diseases</w:t>
            </w:r>
          </w:p>
        </w:tc>
        <w:tc>
          <w:p/>
        </w:tc>
        <w:tc>
          <w:p/>
        </w:tc>
        <w:tc>
          <w:p>
            <w:pPr>
              <w:pStyle w:val="Compact"/>
              <w:jc w:val="left"/>
            </w:pPr>
            <w:r>
              <w:t xml:space="preserve">Steroid responsive disease</w:t>
            </w:r>
          </w:p>
        </w:tc>
      </w:tr>
      <w:tr>
        <w:tc>
          <w:p>
            <w:pPr>
              <w:pStyle w:val="Compact"/>
              <w:jc w:val="left"/>
            </w:pPr>
            <w:r>
              <w:t xml:space="preserve">Transplant</w:t>
            </w:r>
          </w:p>
        </w:tc>
        <w:tc>
          <w:p/>
        </w:tc>
        <w:tc>
          <w:p/>
        </w:tc>
        <w:tc>
          <w:p>
            <w:pPr>
              <w:pStyle w:val="Compact"/>
              <w:jc w:val="left"/>
            </w:pPr>
            <w:r>
              <w:t xml:space="preserve">Transplant</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c>
          <w:p>
            <w:pPr>
              <w:pStyle w:val="Compact"/>
              <w:jc w:val="left"/>
            </w:pPr>
            <w:r>
              <w:t xml:space="preserve">Anticoagulants, Antiplatelets</w:t>
            </w:r>
          </w:p>
        </w:tc>
      </w:tr>
      <w:tr>
        <w:tc>
          <w:p>
            <w:pPr>
              <w:pStyle w:val="Compact"/>
              <w:jc w:val="left"/>
            </w:pPr>
            <w:r>
              <w:t xml:space="preserve">Weight loss</w:t>
            </w:r>
          </w:p>
        </w:tc>
        <w:tc>
          <w:p/>
        </w:tc>
        <w:tc>
          <w:p>
            <w:pPr>
              <w:pStyle w:val="Compact"/>
              <w:jc w:val="left"/>
            </w:pPr>
            <w:r>
              <w:t xml:space="preserve">Weight loss</w:t>
            </w:r>
          </w:p>
        </w:tc>
        <w:tc>
          <w:p/>
        </w:tc>
      </w:tr>
    </w:tbl>
    <w:p>
      <w:pPr>
        <w:pStyle w:val="Heading5"/>
      </w:pPr>
      <w:bookmarkStart w:id="61" w:name="page-break-9"/>
      <w:r>
        <w:t xml:space="preserve">PAGE BREAK</w:t>
      </w:r>
      <w:bookmarkEnd w:id="61"/>
    </w:p>
    <w:p>
      <w:pPr>
        <w:pStyle w:val="TableCaption"/>
      </w:pPr>
      <w:r>
        <w:t xml:space="preserve">Table 2: Codes identifying infection if recorded in the national patient register within 90 days or 2 years after THA respectively.</w:t>
      </w:r>
    </w:p>
    <w:tbl>
      <w:tblPr>
        <w:tblStyle w:val="Table"/>
        <w:tblW w:type="pct" w:w="0.0"/>
        <w:tblLook w:firstRow="1"/>
        <w:tblCaption w:val="Table 2: Codes identifying infection if recorded in the national patient register within 90 days or 2 years after THA respectively."/>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M860F, M861F, M866, M866F, T814, T845, T845F, T845X, T847, T847F</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2" w:name="page-break-10"/>
      <w:r>
        <w:t xml:space="preserve">PAGE BREAK</w:t>
      </w:r>
      <w:bookmarkEnd w:id="62"/>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0.0"/>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895</w:t>
            </w:r>
          </w:p>
        </w:tc>
        <w:tc>
          <w:p>
            <w:pPr>
              <w:pStyle w:val="Compact"/>
              <w:jc w:val="left"/>
            </w:pPr>
            <w:r>
              <w:t xml:space="preserve">85532</w:t>
            </w:r>
          </w:p>
        </w:tc>
        <w:tc>
          <w:p>
            <w:pPr>
              <w:pStyle w:val="Compact"/>
              <w:jc w:val="left"/>
            </w:pPr>
            <w:r>
              <w:t xml:space="preserve">1217</w:t>
            </w:r>
          </w:p>
        </w:tc>
        <w:tc>
          <w:p>
            <w:pPr>
              <w:pStyle w:val="Compact"/>
              <w:jc w:val="left"/>
            </w:pPr>
            <w:r>
              <w:t xml:space="preserve">85210</w:t>
            </w:r>
          </w:p>
        </w:tc>
        <w:tc>
          <w:p>
            <w:pPr>
              <w:pStyle w:val="Compact"/>
              <w:jc w:val="left"/>
            </w:pPr>
            <w:r>
              <w:t xml:space="preserve">86427</w:t>
            </w:r>
          </w:p>
        </w:tc>
      </w:tr>
      <w:tr>
        <w:tc>
          <w:p>
            <w:pPr>
              <w:pStyle w:val="Compact"/>
              <w:jc w:val="left"/>
            </w:pPr>
            <w:r>
              <w:t xml:space="preserve">Age (mean (SD))</w:t>
            </w:r>
          </w:p>
        </w:tc>
        <w:tc>
          <w:p/>
        </w:tc>
        <w:tc>
          <w:p>
            <w:pPr>
              <w:pStyle w:val="Compact"/>
              <w:jc w:val="left"/>
            </w:pPr>
            <w:r>
              <w:t xml:space="preserve">70.04 (10.84)</w:t>
            </w:r>
          </w:p>
        </w:tc>
        <w:tc>
          <w:p>
            <w:pPr>
              <w:pStyle w:val="Compact"/>
              <w:jc w:val="left"/>
            </w:pPr>
            <w:r>
              <w:t xml:space="preserve">68.21 (10.68)</w:t>
            </w:r>
          </w:p>
        </w:tc>
        <w:tc>
          <w:p>
            <w:pPr>
              <w:pStyle w:val="Compact"/>
              <w:jc w:val="left"/>
            </w:pPr>
            <w:r>
              <w:t xml:space="preserve">69.05 (10.90)</w:t>
            </w:r>
          </w:p>
        </w:tc>
        <w:tc>
          <w:p>
            <w:pPr>
              <w:pStyle w:val="Compact"/>
              <w:jc w:val="left"/>
            </w:pPr>
            <w:r>
              <w:t xml:space="preserve">68.21 (10.68)</w:t>
            </w:r>
          </w:p>
        </w:tc>
        <w:tc>
          <w:p>
            <w:pPr>
              <w:pStyle w:val="Compact"/>
              <w:jc w:val="left"/>
            </w:pPr>
            <w:r>
              <w:t xml:space="preserve">68.23 (10.68)</w:t>
            </w:r>
          </w:p>
        </w:tc>
      </w:tr>
      <w:tr>
        <w:tc>
          <w:p>
            <w:pPr>
              <w:pStyle w:val="Compact"/>
              <w:jc w:val="left"/>
            </w:pPr>
            <w:r>
              <w:t xml:space="preserve">Sex = Male (%)</w:t>
            </w:r>
          </w:p>
        </w:tc>
        <w:tc>
          <w:p/>
        </w:tc>
        <w:tc>
          <w:p>
            <w:pPr>
              <w:pStyle w:val="Compact"/>
              <w:jc w:val="left"/>
            </w:pPr>
            <w:r>
              <w:t xml:space="preserve">481 (53.7)</w:t>
            </w:r>
          </w:p>
        </w:tc>
        <w:tc>
          <w:p>
            <w:pPr>
              <w:pStyle w:val="Compact"/>
              <w:jc w:val="left"/>
            </w:pPr>
            <w:r>
              <w:t xml:space="preserve">36997 (43.3)</w:t>
            </w:r>
          </w:p>
        </w:tc>
        <w:tc>
          <w:p>
            <w:pPr>
              <w:pStyle w:val="Compact"/>
              <w:jc w:val="left"/>
            </w:pPr>
            <w:r>
              <w:t xml:space="preserve">676 (55.5)</w:t>
            </w:r>
          </w:p>
        </w:tc>
        <w:tc>
          <w:p>
            <w:pPr>
              <w:pStyle w:val="Compact"/>
              <w:jc w:val="left"/>
            </w:pPr>
            <w:r>
              <w:t xml:space="preserve">36802 (43.2)</w:t>
            </w:r>
          </w:p>
        </w:tc>
        <w:tc>
          <w:p>
            <w:pPr>
              <w:pStyle w:val="Compact"/>
              <w:jc w:val="left"/>
            </w:pPr>
            <w:r>
              <w:t xml:space="preserve">37478 (43.4)</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176 (19.7)</w:t>
            </w:r>
          </w:p>
        </w:tc>
        <w:tc>
          <w:p>
            <w:pPr>
              <w:pStyle w:val="Compact"/>
              <w:jc w:val="left"/>
            </w:pPr>
            <w:r>
              <w:t xml:space="preserve">28216 (33.0)</w:t>
            </w:r>
          </w:p>
        </w:tc>
        <w:tc>
          <w:p>
            <w:pPr>
              <w:pStyle w:val="Compact"/>
              <w:jc w:val="left"/>
            </w:pPr>
            <w:r>
              <w:t xml:space="preserve">254 (20.9)</w:t>
            </w:r>
          </w:p>
        </w:tc>
        <w:tc>
          <w:p>
            <w:pPr>
              <w:pStyle w:val="Compact"/>
              <w:jc w:val="left"/>
            </w:pPr>
            <w:r>
              <w:t xml:space="preserve">28138 (33.0)</w:t>
            </w:r>
          </w:p>
        </w:tc>
        <w:tc>
          <w:p>
            <w:pPr>
              <w:pStyle w:val="Compact"/>
              <w:jc w:val="left"/>
            </w:pPr>
            <w:r>
              <w:t xml:space="preserve">28392 (32.9)</w:t>
            </w:r>
          </w:p>
        </w:tc>
      </w:tr>
      <w:tr>
        <w:tc>
          <w:p/>
        </w:tc>
        <w:tc>
          <w:p>
            <w:pPr>
              <w:pStyle w:val="Compact"/>
              <w:jc w:val="left"/>
            </w:pPr>
            <w:r>
              <w:t xml:space="preserve">Overweight</w:t>
            </w:r>
          </w:p>
        </w:tc>
        <w:tc>
          <w:p>
            <w:pPr>
              <w:pStyle w:val="Compact"/>
              <w:jc w:val="left"/>
            </w:pPr>
            <w:r>
              <w:t xml:space="preserve">359 (40.1)</w:t>
            </w:r>
          </w:p>
        </w:tc>
        <w:tc>
          <w:p>
            <w:pPr>
              <w:pStyle w:val="Compact"/>
              <w:jc w:val="left"/>
            </w:pPr>
            <w:r>
              <w:t xml:space="preserve">36878 (43.1)</w:t>
            </w:r>
          </w:p>
        </w:tc>
        <w:tc>
          <w:p>
            <w:pPr>
              <w:pStyle w:val="Compact"/>
              <w:jc w:val="left"/>
            </w:pPr>
            <w:r>
              <w:t xml:space="preserve">486 (39.9)</w:t>
            </w:r>
          </w:p>
        </w:tc>
        <w:tc>
          <w:p>
            <w:pPr>
              <w:pStyle w:val="Compact"/>
              <w:jc w:val="left"/>
            </w:pPr>
            <w:r>
              <w:t xml:space="preserve">36751 (43.1)</w:t>
            </w:r>
          </w:p>
        </w:tc>
        <w:tc>
          <w:p>
            <w:pPr>
              <w:pStyle w:val="Compact"/>
              <w:jc w:val="left"/>
            </w:pPr>
            <w:r>
              <w:t xml:space="preserve">37237 (43.1)</w:t>
            </w:r>
          </w:p>
        </w:tc>
      </w:tr>
      <w:tr>
        <w:tc>
          <w:p/>
        </w:tc>
        <w:tc>
          <w:p>
            <w:pPr>
              <w:pStyle w:val="Compact"/>
              <w:jc w:val="left"/>
            </w:pPr>
            <w:r>
              <w:t xml:space="preserve">Class I obesity</w:t>
            </w:r>
          </w:p>
        </w:tc>
        <w:tc>
          <w:p>
            <w:pPr>
              <w:pStyle w:val="Compact"/>
              <w:jc w:val="left"/>
            </w:pPr>
            <w:r>
              <w:t xml:space="preserve">228 (25.5)</w:t>
            </w:r>
          </w:p>
        </w:tc>
        <w:tc>
          <w:p>
            <w:pPr>
              <w:pStyle w:val="Compact"/>
              <w:jc w:val="left"/>
            </w:pPr>
            <w:r>
              <w:t xml:space="preserve">15643 (18.3)</w:t>
            </w:r>
          </w:p>
        </w:tc>
        <w:tc>
          <w:p>
            <w:pPr>
              <w:pStyle w:val="Compact"/>
              <w:jc w:val="left"/>
            </w:pPr>
            <w:r>
              <w:t xml:space="preserve">313 (25.7)</w:t>
            </w:r>
          </w:p>
        </w:tc>
        <w:tc>
          <w:p>
            <w:pPr>
              <w:pStyle w:val="Compact"/>
              <w:jc w:val="left"/>
            </w:pPr>
            <w:r>
              <w:t xml:space="preserve">15558 (18.3)</w:t>
            </w:r>
          </w:p>
        </w:tc>
        <w:tc>
          <w:p>
            <w:pPr>
              <w:pStyle w:val="Compact"/>
              <w:jc w:val="left"/>
            </w:pPr>
            <w:r>
              <w:t xml:space="preserve">15871 (18.4)</w:t>
            </w:r>
          </w:p>
        </w:tc>
      </w:tr>
      <w:tr>
        <w:tc>
          <w:p/>
        </w:tc>
        <w:tc>
          <w:p>
            <w:pPr>
              <w:pStyle w:val="Compact"/>
              <w:jc w:val="left"/>
            </w:pPr>
            <w:r>
              <w:t xml:space="preserve">Class II-III obesity</w:t>
            </w:r>
          </w:p>
        </w:tc>
        <w:tc>
          <w:p>
            <w:pPr>
              <w:pStyle w:val="Compact"/>
              <w:jc w:val="left"/>
            </w:pPr>
            <w:r>
              <w:t xml:space="preserve">132 (14.7)</w:t>
            </w:r>
          </w:p>
        </w:tc>
        <w:tc>
          <w:p>
            <w:pPr>
              <w:pStyle w:val="Compact"/>
              <w:jc w:val="left"/>
            </w:pPr>
            <w:r>
              <w:t xml:space="preserve">4795 ( 5.6)</w:t>
            </w:r>
          </w:p>
        </w:tc>
        <w:tc>
          <w:p>
            <w:pPr>
              <w:pStyle w:val="Compact"/>
              <w:jc w:val="left"/>
            </w:pPr>
            <w:r>
              <w:t xml:space="preserve">164 (13.5)</w:t>
            </w:r>
          </w:p>
        </w:tc>
        <w:tc>
          <w:p>
            <w:pPr>
              <w:pStyle w:val="Compact"/>
              <w:jc w:val="left"/>
            </w:pPr>
            <w:r>
              <w:t xml:space="preserve">4763 ( 5.6)</w:t>
            </w:r>
          </w:p>
        </w:tc>
        <w:tc>
          <w:p>
            <w:pPr>
              <w:pStyle w:val="Compact"/>
              <w:jc w:val="left"/>
            </w:pPr>
            <w:r>
              <w:t xml:space="preserve">4927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115 (12.8)</w:t>
            </w:r>
          </w:p>
        </w:tc>
        <w:tc>
          <w:p>
            <w:pPr>
              <w:pStyle w:val="Compact"/>
              <w:jc w:val="left"/>
            </w:pPr>
            <w:r>
              <w:t xml:space="preserve">20800 (24.3)</w:t>
            </w:r>
          </w:p>
        </w:tc>
        <w:tc>
          <w:p>
            <w:pPr>
              <w:pStyle w:val="Compact"/>
              <w:jc w:val="left"/>
            </w:pPr>
            <w:r>
              <w:t xml:space="preserve">180 (14.8)</w:t>
            </w:r>
          </w:p>
        </w:tc>
        <w:tc>
          <w:p>
            <w:pPr>
              <w:pStyle w:val="Compact"/>
              <w:jc w:val="left"/>
            </w:pPr>
            <w:r>
              <w:t xml:space="preserve">20735 (24.3)</w:t>
            </w:r>
          </w:p>
        </w:tc>
        <w:tc>
          <w:p>
            <w:pPr>
              <w:pStyle w:val="Compact"/>
              <w:jc w:val="left"/>
            </w:pPr>
            <w:r>
              <w:t xml:space="preserve">20915 (24.2)</w:t>
            </w:r>
          </w:p>
        </w:tc>
      </w:tr>
      <w:tr>
        <w:tc>
          <w:p/>
        </w:tc>
        <w:tc>
          <w:p>
            <w:pPr>
              <w:pStyle w:val="Compact"/>
              <w:jc w:val="left"/>
            </w:pPr>
            <w:r>
              <w:t xml:space="preserve">II</w:t>
            </w:r>
          </w:p>
        </w:tc>
        <w:tc>
          <w:p>
            <w:pPr>
              <w:pStyle w:val="Compact"/>
              <w:jc w:val="left"/>
            </w:pPr>
            <w:r>
              <w:t xml:space="preserve">520 (58.1)</w:t>
            </w:r>
          </w:p>
        </w:tc>
        <w:tc>
          <w:p>
            <w:pPr>
              <w:pStyle w:val="Compact"/>
              <w:jc w:val="left"/>
            </w:pPr>
            <w:r>
              <w:t xml:space="preserve">51129 (59.8)</w:t>
            </w:r>
          </w:p>
        </w:tc>
        <w:tc>
          <w:p>
            <w:pPr>
              <w:pStyle w:val="Compact"/>
              <w:jc w:val="left"/>
            </w:pPr>
            <w:r>
              <w:t xml:space="preserve">703 (57.8)</w:t>
            </w:r>
          </w:p>
        </w:tc>
        <w:tc>
          <w:p>
            <w:pPr>
              <w:pStyle w:val="Compact"/>
              <w:jc w:val="left"/>
            </w:pPr>
            <w:r>
              <w:t xml:space="preserve">50946 (59.8)</w:t>
            </w:r>
          </w:p>
        </w:tc>
        <w:tc>
          <w:p>
            <w:pPr>
              <w:pStyle w:val="Compact"/>
              <w:jc w:val="left"/>
            </w:pPr>
            <w:r>
              <w:t xml:space="preserve">51649 (59.8)</w:t>
            </w:r>
          </w:p>
        </w:tc>
      </w:tr>
      <w:tr>
        <w:tc>
          <w:p/>
        </w:tc>
        <w:tc>
          <w:p>
            <w:pPr>
              <w:pStyle w:val="Compact"/>
              <w:jc w:val="left"/>
            </w:pPr>
            <w:r>
              <w:t xml:space="preserve">III</w:t>
            </w:r>
          </w:p>
        </w:tc>
        <w:tc>
          <w:p>
            <w:pPr>
              <w:pStyle w:val="Compact"/>
              <w:jc w:val="left"/>
            </w:pPr>
            <w:r>
              <w:t xml:space="preserve">260 (29.1)</w:t>
            </w:r>
          </w:p>
        </w:tc>
        <w:tc>
          <w:p>
            <w:pPr>
              <w:pStyle w:val="Compact"/>
              <w:jc w:val="left"/>
            </w:pPr>
            <w:r>
              <w:t xml:space="preserve">13603 (15.9)</w:t>
            </w:r>
          </w:p>
        </w:tc>
        <w:tc>
          <w:p>
            <w:pPr>
              <w:pStyle w:val="Compact"/>
              <w:jc w:val="left"/>
            </w:pPr>
            <w:r>
              <w:t xml:space="preserve">334 (27.4)</w:t>
            </w:r>
          </w:p>
        </w:tc>
        <w:tc>
          <w:p>
            <w:pPr>
              <w:pStyle w:val="Compact"/>
              <w:jc w:val="left"/>
            </w:pPr>
            <w:r>
              <w:t xml:space="preserve">13529 (15.9)</w:t>
            </w:r>
          </w:p>
        </w:tc>
        <w:tc>
          <w:p>
            <w:pPr>
              <w:pStyle w:val="Compact"/>
              <w:jc w:val="left"/>
            </w:pPr>
            <w:r>
              <w:t xml:space="preserve">13863 (16.0)</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734 (82.0)</w:t>
            </w:r>
          </w:p>
        </w:tc>
        <w:tc>
          <w:p>
            <w:pPr>
              <w:pStyle w:val="Compact"/>
              <w:jc w:val="left"/>
            </w:pPr>
            <w:r>
              <w:t xml:space="preserve">76023 (88.9)</w:t>
            </w:r>
          </w:p>
        </w:tc>
        <w:tc>
          <w:p>
            <w:pPr>
              <w:pStyle w:val="Compact"/>
              <w:jc w:val="left"/>
            </w:pPr>
            <w:r>
              <w:t xml:space="preserve">997 (81.9)</w:t>
            </w:r>
          </w:p>
        </w:tc>
        <w:tc>
          <w:p>
            <w:pPr>
              <w:pStyle w:val="Compact"/>
              <w:jc w:val="left"/>
            </w:pPr>
            <w:r>
              <w:t xml:space="preserve">75760 (88.9)</w:t>
            </w:r>
          </w:p>
        </w:tc>
        <w:tc>
          <w:p>
            <w:pPr>
              <w:pStyle w:val="Compact"/>
              <w:jc w:val="left"/>
            </w:pPr>
            <w:r>
              <w:t xml:space="preserve">76757 (88.8)</w:t>
            </w:r>
          </w:p>
        </w:tc>
      </w:tr>
      <w:tr>
        <w:tc>
          <w:p/>
        </w:tc>
        <w:tc>
          <w:p>
            <w:pPr>
              <w:pStyle w:val="Compact"/>
              <w:jc w:val="left"/>
            </w:pPr>
            <w:r>
              <w:t xml:space="preserve">Secondary osteoarthritis</w:t>
            </w:r>
          </w:p>
        </w:tc>
        <w:tc>
          <w:p>
            <w:pPr>
              <w:pStyle w:val="Compact"/>
              <w:jc w:val="left"/>
            </w:pPr>
            <w:r>
              <w:t xml:space="preserve">95 (10.6)</w:t>
            </w:r>
          </w:p>
        </w:tc>
        <w:tc>
          <w:p>
            <w:pPr>
              <w:pStyle w:val="Compact"/>
              <w:jc w:val="left"/>
            </w:pPr>
            <w:r>
              <w:t xml:space="preserve">4770 ( 5.6)</w:t>
            </w:r>
          </w:p>
        </w:tc>
        <w:tc>
          <w:p>
            <w:pPr>
              <w:pStyle w:val="Compact"/>
              <w:jc w:val="left"/>
            </w:pPr>
            <w:r>
              <w:t xml:space="preserve">123 (10.1)</w:t>
            </w:r>
          </w:p>
        </w:tc>
        <w:tc>
          <w:p>
            <w:pPr>
              <w:pStyle w:val="Compact"/>
              <w:jc w:val="left"/>
            </w:pPr>
            <w:r>
              <w:t xml:space="preserve">4742 ( 5.6)</w:t>
            </w:r>
          </w:p>
        </w:tc>
        <w:tc>
          <w:p>
            <w:pPr>
              <w:pStyle w:val="Compact"/>
              <w:jc w:val="left"/>
            </w:pPr>
            <w:r>
              <w:t xml:space="preserve">4865 ( 5.6)</w:t>
            </w:r>
          </w:p>
        </w:tc>
      </w:tr>
      <w:tr>
        <w:tc>
          <w:p/>
        </w:tc>
        <w:tc>
          <w:p>
            <w:pPr>
              <w:pStyle w:val="Compact"/>
              <w:jc w:val="left"/>
            </w:pPr>
            <w:r>
              <w:t xml:space="preserve">Sequelae after childhood hip disease</w:t>
            </w:r>
          </w:p>
        </w:tc>
        <w:tc>
          <w:p>
            <w:pPr>
              <w:pStyle w:val="Compact"/>
              <w:jc w:val="left"/>
            </w:pPr>
            <w:r>
              <w:t xml:space="preserve">20 ( 2.2)</w:t>
            </w:r>
          </w:p>
        </w:tc>
        <w:tc>
          <w:p>
            <w:pPr>
              <w:pStyle w:val="Compact"/>
              <w:jc w:val="left"/>
            </w:pPr>
            <w:r>
              <w:t xml:space="preserve">1823 ( 2.1)</w:t>
            </w:r>
          </w:p>
        </w:tc>
        <w:tc>
          <w:p>
            <w:pPr>
              <w:pStyle w:val="Compact"/>
              <w:jc w:val="left"/>
            </w:pPr>
            <w:r>
              <w:t xml:space="preserve">25 ( 2.1)</w:t>
            </w:r>
          </w:p>
        </w:tc>
        <w:tc>
          <w:p>
            <w:pPr>
              <w:pStyle w:val="Compact"/>
              <w:jc w:val="left"/>
            </w:pPr>
            <w:r>
              <w:t xml:space="preserve">1818 ( 2.1)</w:t>
            </w:r>
          </w:p>
        </w:tc>
        <w:tc>
          <w:p>
            <w:pPr>
              <w:pStyle w:val="Compact"/>
              <w:jc w:val="left"/>
            </w:pPr>
            <w:r>
              <w:t xml:space="preserve">1843 ( 2.1)</w:t>
            </w:r>
          </w:p>
        </w:tc>
      </w:tr>
      <w:tr>
        <w:tc>
          <w:p/>
        </w:tc>
        <w:tc>
          <w:p>
            <w:pPr>
              <w:pStyle w:val="Compact"/>
              <w:jc w:val="left"/>
            </w:pPr>
            <w:r>
              <w:t xml:space="preserve">Avascular necrosis of the femoral head (AVN)</w:t>
            </w:r>
          </w:p>
        </w:tc>
        <w:tc>
          <w:p>
            <w:pPr>
              <w:pStyle w:val="Compact"/>
              <w:jc w:val="left"/>
            </w:pPr>
            <w:r>
              <w:t xml:space="preserve">29 ( 3.2)</w:t>
            </w:r>
          </w:p>
        </w:tc>
        <w:tc>
          <w:p>
            <w:pPr>
              <w:pStyle w:val="Compact"/>
              <w:jc w:val="left"/>
            </w:pPr>
            <w:r>
              <w:t xml:space="preserve">1739 ( 2.0)</w:t>
            </w:r>
          </w:p>
        </w:tc>
        <w:tc>
          <w:p>
            <w:pPr>
              <w:pStyle w:val="Compact"/>
              <w:jc w:val="left"/>
            </w:pPr>
            <w:r>
              <w:t xml:space="preserve">42 ( 3.5)</w:t>
            </w:r>
          </w:p>
        </w:tc>
        <w:tc>
          <w:p>
            <w:pPr>
              <w:pStyle w:val="Compact"/>
              <w:jc w:val="left"/>
            </w:pPr>
            <w:r>
              <w:t xml:space="preserve">1726 ( 2.0)</w:t>
            </w:r>
          </w:p>
        </w:tc>
        <w:tc>
          <w:p>
            <w:pPr>
              <w:pStyle w:val="Compact"/>
              <w:jc w:val="left"/>
            </w:pPr>
            <w:r>
              <w:t xml:space="preserve">1768 ( 2.0)</w:t>
            </w:r>
          </w:p>
        </w:tc>
      </w:tr>
      <w:tr>
        <w:tc>
          <w:p/>
        </w:tc>
        <w:tc>
          <w:p>
            <w:pPr>
              <w:pStyle w:val="Compact"/>
              <w:jc w:val="left"/>
            </w:pPr>
            <w:r>
              <w:t xml:space="preserve">Inflammatory joint disease</w:t>
            </w:r>
          </w:p>
        </w:tc>
        <w:tc>
          <w:p>
            <w:pPr>
              <w:pStyle w:val="Compact"/>
              <w:jc w:val="left"/>
            </w:pPr>
            <w:r>
              <w:t xml:space="preserve">17 ( 1.9)</w:t>
            </w:r>
          </w:p>
        </w:tc>
        <w:tc>
          <w:p>
            <w:pPr>
              <w:pStyle w:val="Compact"/>
              <w:jc w:val="left"/>
            </w:pPr>
            <w:r>
              <w:t xml:space="preserve">1177 ( 1.4)</w:t>
            </w:r>
          </w:p>
        </w:tc>
        <w:tc>
          <w:p>
            <w:pPr>
              <w:pStyle w:val="Compact"/>
              <w:jc w:val="left"/>
            </w:pPr>
            <w:r>
              <w:t xml:space="preserve">30 ( 2.5)</w:t>
            </w:r>
          </w:p>
        </w:tc>
        <w:tc>
          <w:p>
            <w:pPr>
              <w:pStyle w:val="Compact"/>
              <w:jc w:val="left"/>
            </w:pPr>
            <w:r>
              <w:t xml:space="preserve">1164 ( 1.4)</w:t>
            </w:r>
          </w:p>
        </w:tc>
        <w:tc>
          <w:p>
            <w:pPr>
              <w:pStyle w:val="Compact"/>
              <w:jc w:val="left"/>
            </w:pPr>
            <w:r>
              <w:t xml:space="preserve">1194 ( 1.4)</w:t>
            </w:r>
          </w:p>
        </w:tc>
      </w:tr>
      <w:tr>
        <w:tc>
          <w:p>
            <w:pPr>
              <w:pStyle w:val="Compact"/>
              <w:jc w:val="left"/>
            </w:pPr>
            <w:r>
              <w:t xml:space="preserve">Cemented stem (%)</w:t>
            </w:r>
          </w:p>
        </w:tc>
        <w:tc>
          <w:p/>
        </w:tc>
        <w:tc>
          <w:p>
            <w:pPr>
              <w:pStyle w:val="Compact"/>
              <w:jc w:val="left"/>
            </w:pPr>
            <w:r>
              <w:t xml:space="preserve">621 (69.4)</w:t>
            </w:r>
          </w:p>
        </w:tc>
        <w:tc>
          <w:p>
            <w:pPr>
              <w:pStyle w:val="Compact"/>
              <w:jc w:val="left"/>
            </w:pPr>
            <w:r>
              <w:t xml:space="preserve">58667 (68.6)</w:t>
            </w:r>
          </w:p>
        </w:tc>
        <w:tc>
          <w:p>
            <w:pPr>
              <w:pStyle w:val="Compact"/>
              <w:jc w:val="left"/>
            </w:pPr>
            <w:r>
              <w:t xml:space="preserve">818 (67.2)</w:t>
            </w:r>
          </w:p>
        </w:tc>
        <w:tc>
          <w:p>
            <w:pPr>
              <w:pStyle w:val="Compact"/>
              <w:jc w:val="left"/>
            </w:pPr>
            <w:r>
              <w:t xml:space="preserve">58470 (68.6)</w:t>
            </w:r>
          </w:p>
        </w:tc>
        <w:tc>
          <w:p>
            <w:pPr>
              <w:pStyle w:val="Compact"/>
              <w:jc w:val="left"/>
            </w:pPr>
            <w:r>
              <w:t xml:space="preserve">59288 (68.6)</w:t>
            </w:r>
          </w:p>
        </w:tc>
      </w:tr>
      <w:tr>
        <w:tc>
          <w:p>
            <w:pPr>
              <w:pStyle w:val="Compact"/>
              <w:jc w:val="left"/>
            </w:pPr>
            <w:r>
              <w:t xml:space="preserve">Cemented cup (%)</w:t>
            </w:r>
          </w:p>
        </w:tc>
        <w:tc>
          <w:p/>
        </w:tc>
        <w:tc>
          <w:p>
            <w:pPr>
              <w:pStyle w:val="Compact"/>
              <w:jc w:val="left"/>
            </w:pPr>
            <w:r>
              <w:t xml:space="preserve">708 (79.1)</w:t>
            </w:r>
          </w:p>
        </w:tc>
        <w:tc>
          <w:p>
            <w:pPr>
              <w:pStyle w:val="Compact"/>
              <w:jc w:val="left"/>
            </w:pPr>
            <w:r>
              <w:t xml:space="preserve">66994 (78.3)</w:t>
            </w:r>
          </w:p>
        </w:tc>
        <w:tc>
          <w:p>
            <w:pPr>
              <w:pStyle w:val="Compact"/>
              <w:jc w:val="left"/>
            </w:pPr>
            <w:r>
              <w:t xml:space="preserve">937 (77.0)</w:t>
            </w:r>
          </w:p>
        </w:tc>
        <w:tc>
          <w:p>
            <w:pPr>
              <w:pStyle w:val="Compact"/>
              <w:jc w:val="left"/>
            </w:pPr>
            <w:r>
              <w:t xml:space="preserve">66765 (78.4)</w:t>
            </w:r>
          </w:p>
        </w:tc>
        <w:tc>
          <w:p>
            <w:pPr>
              <w:pStyle w:val="Compact"/>
              <w:jc w:val="left"/>
            </w:pPr>
            <w:r>
              <w:t xml:space="preserve">67702 (78.3)</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265 (29.6)</w:t>
            </w:r>
          </w:p>
        </w:tc>
        <w:tc>
          <w:p>
            <w:pPr>
              <w:pStyle w:val="Compact"/>
              <w:jc w:val="left"/>
            </w:pPr>
            <w:r>
              <w:t xml:space="preserve">32805 (38.4)</w:t>
            </w:r>
          </w:p>
        </w:tc>
        <w:tc>
          <w:p>
            <w:pPr>
              <w:pStyle w:val="Compact"/>
              <w:jc w:val="left"/>
            </w:pPr>
            <w:r>
              <w:t xml:space="preserve">376 (30.9)</w:t>
            </w:r>
          </w:p>
        </w:tc>
        <w:tc>
          <w:p>
            <w:pPr>
              <w:pStyle w:val="Compact"/>
              <w:jc w:val="left"/>
            </w:pPr>
            <w:r>
              <w:t xml:space="preserve">32694 (38.4)</w:t>
            </w:r>
          </w:p>
        </w:tc>
        <w:tc>
          <w:p>
            <w:pPr>
              <w:pStyle w:val="Compact"/>
              <w:jc w:val="left"/>
            </w:pPr>
            <w:r>
              <w:t xml:space="preserve">33070 (38.3)</w:t>
            </w:r>
          </w:p>
        </w:tc>
      </w:tr>
      <w:tr>
        <w:tc>
          <w:p/>
        </w:tc>
        <w:tc>
          <w:p>
            <w:pPr>
              <w:pStyle w:val="Compact"/>
              <w:jc w:val="left"/>
            </w:pPr>
            <w:r>
              <w:t xml:space="preserve">County</w:t>
            </w:r>
          </w:p>
        </w:tc>
        <w:tc>
          <w:p>
            <w:pPr>
              <w:pStyle w:val="Compact"/>
              <w:jc w:val="left"/>
            </w:pPr>
            <w:r>
              <w:t xml:space="preserve">364 (40.7)</w:t>
            </w:r>
          </w:p>
        </w:tc>
        <w:tc>
          <w:p>
            <w:pPr>
              <w:pStyle w:val="Compact"/>
              <w:jc w:val="left"/>
            </w:pPr>
            <w:r>
              <w:t xml:space="preserve">27922 (32.6)</w:t>
            </w:r>
          </w:p>
        </w:tc>
        <w:tc>
          <w:p>
            <w:pPr>
              <w:pStyle w:val="Compact"/>
              <w:jc w:val="left"/>
            </w:pPr>
            <w:r>
              <w:t xml:space="preserve">471 (38.7)</w:t>
            </w:r>
          </w:p>
        </w:tc>
        <w:tc>
          <w:p>
            <w:pPr>
              <w:pStyle w:val="Compact"/>
              <w:jc w:val="left"/>
            </w:pPr>
            <w:r>
              <w:t xml:space="preserve">27815 (32.6)</w:t>
            </w:r>
          </w:p>
        </w:tc>
        <w:tc>
          <w:p>
            <w:pPr>
              <w:pStyle w:val="Compact"/>
              <w:jc w:val="left"/>
            </w:pPr>
            <w:r>
              <w:t xml:space="preserve">28286 (32.7)</w:t>
            </w:r>
          </w:p>
        </w:tc>
      </w:tr>
      <w:tr>
        <w:tc>
          <w:p/>
        </w:tc>
        <w:tc>
          <w:p>
            <w:pPr>
              <w:pStyle w:val="Compact"/>
              <w:jc w:val="left"/>
            </w:pPr>
            <w:r>
              <w:t xml:space="preserve">Rural</w:t>
            </w:r>
          </w:p>
        </w:tc>
        <w:tc>
          <w:p>
            <w:pPr>
              <w:pStyle w:val="Compact"/>
              <w:jc w:val="left"/>
            </w:pPr>
            <w:r>
              <w:t xml:space="preserve">171 (19.1)</w:t>
            </w:r>
          </w:p>
        </w:tc>
        <w:tc>
          <w:p>
            <w:pPr>
              <w:pStyle w:val="Compact"/>
              <w:jc w:val="left"/>
            </w:pPr>
            <w:r>
              <w:t xml:space="preserve">17283 (20.2)</w:t>
            </w:r>
          </w:p>
        </w:tc>
        <w:tc>
          <w:p>
            <w:pPr>
              <w:pStyle w:val="Compact"/>
              <w:jc w:val="left"/>
            </w:pPr>
            <w:r>
              <w:t xml:space="preserve">243 (20.0)</w:t>
            </w:r>
          </w:p>
        </w:tc>
        <w:tc>
          <w:p>
            <w:pPr>
              <w:pStyle w:val="Compact"/>
              <w:jc w:val="left"/>
            </w:pPr>
            <w:r>
              <w:t xml:space="preserve">17211 (20.2)</w:t>
            </w:r>
          </w:p>
        </w:tc>
        <w:tc>
          <w:p>
            <w:pPr>
              <w:pStyle w:val="Compact"/>
              <w:jc w:val="left"/>
            </w:pPr>
            <w:r>
              <w:t xml:space="preserve">17454 (20.2)</w:t>
            </w:r>
          </w:p>
        </w:tc>
      </w:tr>
      <w:tr>
        <w:tc>
          <w:p/>
        </w:tc>
        <w:tc>
          <w:p>
            <w:pPr>
              <w:pStyle w:val="Compact"/>
              <w:jc w:val="left"/>
            </w:pPr>
            <w:r>
              <w:t xml:space="preserve">Private</w:t>
            </w:r>
          </w:p>
        </w:tc>
        <w:tc>
          <w:p>
            <w:pPr>
              <w:pStyle w:val="Compact"/>
              <w:jc w:val="left"/>
            </w:pPr>
            <w:r>
              <w:t xml:space="preserve">95 (10.6)</w:t>
            </w:r>
          </w:p>
        </w:tc>
        <w:tc>
          <w:p>
            <w:pPr>
              <w:pStyle w:val="Compact"/>
              <w:jc w:val="left"/>
            </w:pPr>
            <w:r>
              <w:t xml:space="preserve">7522 ( 8.8)</w:t>
            </w:r>
          </w:p>
        </w:tc>
        <w:tc>
          <w:p>
            <w:pPr>
              <w:pStyle w:val="Compact"/>
              <w:jc w:val="left"/>
            </w:pPr>
            <w:r>
              <w:t xml:space="preserve">127 (10.4)</w:t>
            </w:r>
          </w:p>
        </w:tc>
        <w:tc>
          <w:p>
            <w:pPr>
              <w:pStyle w:val="Compact"/>
              <w:jc w:val="left"/>
            </w:pPr>
            <w:r>
              <w:t xml:space="preserve">7490 ( 8.8)</w:t>
            </w:r>
          </w:p>
        </w:tc>
        <w:tc>
          <w:p>
            <w:pPr>
              <w:pStyle w:val="Compact"/>
              <w:jc w:val="left"/>
            </w:pPr>
            <w:r>
              <w:t xml:space="preserve">7617 ( 8.8)</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202 (22.6)</w:t>
            </w:r>
          </w:p>
        </w:tc>
        <w:tc>
          <w:p>
            <w:pPr>
              <w:pStyle w:val="Compact"/>
              <w:jc w:val="left"/>
            </w:pPr>
            <w:r>
              <w:t xml:space="preserve">22041 (25.8)</w:t>
            </w:r>
          </w:p>
        </w:tc>
        <w:tc>
          <w:p>
            <w:pPr>
              <w:pStyle w:val="Compact"/>
              <w:jc w:val="left"/>
            </w:pPr>
            <w:r>
              <w:t xml:space="preserve">270 (22.2)</w:t>
            </w:r>
          </w:p>
        </w:tc>
        <w:tc>
          <w:p>
            <w:pPr>
              <w:pStyle w:val="Compact"/>
              <w:jc w:val="left"/>
            </w:pPr>
            <w:r>
              <w:t xml:space="preserve">21973 (25.8)</w:t>
            </w:r>
          </w:p>
        </w:tc>
        <w:tc>
          <w:p>
            <w:pPr>
              <w:pStyle w:val="Compact"/>
              <w:jc w:val="left"/>
            </w:pPr>
            <w:r>
              <w:t xml:space="preserve">22243 (25.7)</w:t>
            </w:r>
          </w:p>
        </w:tc>
      </w:tr>
      <w:tr>
        <w:tc>
          <w:p/>
        </w:tc>
        <w:tc>
          <w:p>
            <w:pPr>
              <w:pStyle w:val="Compact"/>
              <w:jc w:val="left"/>
            </w:pPr>
            <w:r>
              <w:t xml:space="preserve">Middle</w:t>
            </w:r>
          </w:p>
        </w:tc>
        <w:tc>
          <w:p>
            <w:pPr>
              <w:pStyle w:val="Compact"/>
              <w:jc w:val="left"/>
            </w:pPr>
            <w:r>
              <w:t xml:space="preserve">327 (36.5)</w:t>
            </w:r>
          </w:p>
        </w:tc>
        <w:tc>
          <w:p>
            <w:pPr>
              <w:pStyle w:val="Compact"/>
              <w:jc w:val="left"/>
            </w:pPr>
            <w:r>
              <w:t xml:space="preserve">27898 (32.6)</w:t>
            </w:r>
          </w:p>
        </w:tc>
        <w:tc>
          <w:p>
            <w:pPr>
              <w:pStyle w:val="Compact"/>
              <w:jc w:val="left"/>
            </w:pPr>
            <w:r>
              <w:t xml:space="preserve">436 (35.8)</w:t>
            </w:r>
          </w:p>
        </w:tc>
        <w:tc>
          <w:p>
            <w:pPr>
              <w:pStyle w:val="Compact"/>
              <w:jc w:val="left"/>
            </w:pPr>
            <w:r>
              <w:t xml:space="preserve">27789 (32.6)</w:t>
            </w:r>
          </w:p>
        </w:tc>
        <w:tc>
          <w:p>
            <w:pPr>
              <w:pStyle w:val="Compact"/>
              <w:jc w:val="left"/>
            </w:pPr>
            <w:r>
              <w:t xml:space="preserve">28225 (32.7)</w:t>
            </w:r>
          </w:p>
        </w:tc>
      </w:tr>
      <w:tr>
        <w:tc>
          <w:p/>
        </w:tc>
        <w:tc>
          <w:p>
            <w:pPr>
              <w:pStyle w:val="Compact"/>
              <w:jc w:val="left"/>
            </w:pPr>
            <w:r>
              <w:t xml:space="preserve">High</w:t>
            </w:r>
          </w:p>
        </w:tc>
        <w:tc>
          <w:p>
            <w:pPr>
              <w:pStyle w:val="Compact"/>
              <w:jc w:val="left"/>
            </w:pPr>
            <w:r>
              <w:t xml:space="preserve">366 (40.9)</w:t>
            </w:r>
          </w:p>
        </w:tc>
        <w:tc>
          <w:p>
            <w:pPr>
              <w:pStyle w:val="Compact"/>
              <w:jc w:val="left"/>
            </w:pPr>
            <w:r>
              <w:t xml:space="preserve">35593 (41.6)</w:t>
            </w:r>
          </w:p>
        </w:tc>
        <w:tc>
          <w:p>
            <w:pPr>
              <w:pStyle w:val="Compact"/>
              <w:jc w:val="left"/>
            </w:pPr>
            <w:r>
              <w:t xml:space="preserve">511 (42.0)</w:t>
            </w:r>
          </w:p>
        </w:tc>
        <w:tc>
          <w:p>
            <w:pPr>
              <w:pStyle w:val="Compact"/>
              <w:jc w:val="left"/>
            </w:pPr>
            <w:r>
              <w:t xml:space="preserve">35448 (41.6)</w:t>
            </w:r>
          </w:p>
        </w:tc>
        <w:tc>
          <w:p>
            <w:pPr>
              <w:pStyle w:val="Compact"/>
              <w:jc w:val="left"/>
            </w:pPr>
            <w:r>
              <w:t xml:space="preserve">35959 (41.6)</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474 (53.0)</w:t>
            </w:r>
          </w:p>
        </w:tc>
        <w:tc>
          <w:p>
            <w:pPr>
              <w:pStyle w:val="Compact"/>
              <w:jc w:val="left"/>
            </w:pPr>
            <w:r>
              <w:t xml:space="preserve">47582 (55.6)</w:t>
            </w:r>
          </w:p>
        </w:tc>
        <w:tc>
          <w:p>
            <w:pPr>
              <w:pStyle w:val="Compact"/>
              <w:jc w:val="left"/>
            </w:pPr>
            <w:r>
              <w:t xml:space="preserve">646 (53.1)</w:t>
            </w:r>
          </w:p>
        </w:tc>
        <w:tc>
          <w:p>
            <w:pPr>
              <w:pStyle w:val="Compact"/>
              <w:jc w:val="left"/>
            </w:pPr>
            <w:r>
              <w:t xml:space="preserve">47410 (55.6)</w:t>
            </w:r>
          </w:p>
        </w:tc>
        <w:tc>
          <w:p>
            <w:pPr>
              <w:pStyle w:val="Compact"/>
              <w:jc w:val="left"/>
            </w:pPr>
            <w:r>
              <w:t xml:space="preserve">48056 (55.6)</w:t>
            </w:r>
          </w:p>
        </w:tc>
      </w:tr>
      <w:tr>
        <w:tc>
          <w:p/>
        </w:tc>
        <w:tc>
          <w:p>
            <w:pPr>
              <w:pStyle w:val="Compact"/>
              <w:jc w:val="left"/>
            </w:pPr>
            <w:r>
              <w:t xml:space="preserve">Single</w:t>
            </w:r>
          </w:p>
        </w:tc>
        <w:tc>
          <w:p>
            <w:pPr>
              <w:pStyle w:val="Compact"/>
              <w:jc w:val="left"/>
            </w:pPr>
            <w:r>
              <w:t xml:space="preserve">269 (30.1)</w:t>
            </w:r>
          </w:p>
        </w:tc>
        <w:tc>
          <w:p>
            <w:pPr>
              <w:pStyle w:val="Compact"/>
              <w:jc w:val="left"/>
            </w:pPr>
            <w:r>
              <w:t xml:space="preserve">25005 (29.2)</w:t>
            </w:r>
          </w:p>
        </w:tc>
        <w:tc>
          <w:p>
            <w:pPr>
              <w:pStyle w:val="Compact"/>
              <w:jc w:val="left"/>
            </w:pPr>
            <w:r>
              <w:t xml:space="preserve">375 (30.8)</w:t>
            </w:r>
          </w:p>
        </w:tc>
        <w:tc>
          <w:p>
            <w:pPr>
              <w:pStyle w:val="Compact"/>
              <w:jc w:val="left"/>
            </w:pPr>
            <w:r>
              <w:t xml:space="preserve">24899 (29.2)</w:t>
            </w:r>
          </w:p>
        </w:tc>
        <w:tc>
          <w:p>
            <w:pPr>
              <w:pStyle w:val="Compact"/>
              <w:jc w:val="left"/>
            </w:pPr>
            <w:r>
              <w:t xml:space="preserve">25274 (29.2)</w:t>
            </w:r>
          </w:p>
        </w:tc>
      </w:tr>
      <w:tr>
        <w:tc>
          <w:p/>
        </w:tc>
        <w:tc>
          <w:p>
            <w:pPr>
              <w:pStyle w:val="Compact"/>
              <w:jc w:val="left"/>
            </w:pPr>
            <w:r>
              <w:t xml:space="preserve">Widow/widower</w:t>
            </w:r>
          </w:p>
        </w:tc>
        <w:tc>
          <w:p>
            <w:pPr>
              <w:pStyle w:val="Compact"/>
              <w:jc w:val="left"/>
            </w:pPr>
            <w:r>
              <w:t xml:space="preserve">152 (17.0)</w:t>
            </w:r>
          </w:p>
        </w:tc>
        <w:tc>
          <w:p>
            <w:pPr>
              <w:pStyle w:val="Compact"/>
              <w:jc w:val="left"/>
            </w:pPr>
            <w:r>
              <w:t xml:space="preserve">12945 (15.1)</w:t>
            </w:r>
          </w:p>
        </w:tc>
        <w:tc>
          <w:p>
            <w:pPr>
              <w:pStyle w:val="Compact"/>
              <w:jc w:val="left"/>
            </w:pPr>
            <w:r>
              <w:t xml:space="preserve">196 (16.1)</w:t>
            </w:r>
          </w:p>
        </w:tc>
        <w:tc>
          <w:p>
            <w:pPr>
              <w:pStyle w:val="Compact"/>
              <w:jc w:val="left"/>
            </w:pPr>
            <w:r>
              <w:t xml:space="preserve">12901 (15.1)</w:t>
            </w:r>
          </w:p>
        </w:tc>
        <w:tc>
          <w:p>
            <w:pPr>
              <w:pStyle w:val="Compact"/>
              <w:jc w:val="left"/>
            </w:pPr>
            <w:r>
              <w:t xml:space="preserve">13097 (15.2)</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613 (68.5)</w:t>
            </w:r>
          </w:p>
        </w:tc>
        <w:tc>
          <w:p>
            <w:pPr>
              <w:pStyle w:val="Compact"/>
              <w:jc w:val="left"/>
            </w:pPr>
            <w:r>
              <w:t xml:space="preserve">65738 (76.9)</w:t>
            </w:r>
          </w:p>
        </w:tc>
        <w:tc>
          <w:p>
            <w:pPr>
              <w:pStyle w:val="Compact"/>
              <w:jc w:val="left"/>
            </w:pPr>
            <w:r>
              <w:t xml:space="preserve">834 (68.5)</w:t>
            </w:r>
          </w:p>
        </w:tc>
        <w:tc>
          <w:p>
            <w:pPr>
              <w:pStyle w:val="Compact"/>
              <w:jc w:val="left"/>
            </w:pPr>
            <w:r>
              <w:t xml:space="preserve">65517 (76.9)</w:t>
            </w:r>
          </w:p>
        </w:tc>
        <w:tc>
          <w:p>
            <w:pPr>
              <w:pStyle w:val="Compact"/>
              <w:jc w:val="left"/>
            </w:pPr>
            <w:r>
              <w:t xml:space="preserve">66351 (76.8)</w:t>
            </w:r>
          </w:p>
        </w:tc>
      </w:tr>
      <w:tr>
        <w:tc>
          <w:p/>
        </w:tc>
        <w:tc>
          <w:p>
            <w:pPr>
              <w:pStyle w:val="Compact"/>
              <w:jc w:val="left"/>
            </w:pPr>
            <w:r>
              <w:t xml:space="preserve">1</w:t>
            </w:r>
          </w:p>
        </w:tc>
        <w:tc>
          <w:p>
            <w:pPr>
              <w:pStyle w:val="Compact"/>
              <w:jc w:val="left"/>
            </w:pPr>
            <w:r>
              <w:t xml:space="preserve">162 (18.1)</w:t>
            </w:r>
          </w:p>
        </w:tc>
        <w:tc>
          <w:p>
            <w:pPr>
              <w:pStyle w:val="Compact"/>
              <w:jc w:val="left"/>
            </w:pPr>
            <w:r>
              <w:t xml:space="preserve">12041 (14.1)</w:t>
            </w:r>
          </w:p>
        </w:tc>
        <w:tc>
          <w:p>
            <w:pPr>
              <w:pStyle w:val="Compact"/>
              <w:jc w:val="left"/>
            </w:pPr>
            <w:r>
              <w:t xml:space="preserve">217 (17.8)</w:t>
            </w:r>
          </w:p>
        </w:tc>
        <w:tc>
          <w:p>
            <w:pPr>
              <w:pStyle w:val="Compact"/>
              <w:jc w:val="left"/>
            </w:pPr>
            <w:r>
              <w:t xml:space="preserve">11986 (14.1)</w:t>
            </w:r>
          </w:p>
        </w:tc>
        <w:tc>
          <w:p>
            <w:pPr>
              <w:pStyle w:val="Compact"/>
              <w:jc w:val="left"/>
            </w:pPr>
            <w:r>
              <w:t xml:space="preserve">12203 (14.1)</w:t>
            </w:r>
          </w:p>
        </w:tc>
      </w:tr>
      <w:tr>
        <w:tc>
          <w:p/>
        </w:tc>
        <w:tc>
          <w:p>
            <w:pPr>
              <w:pStyle w:val="Compact"/>
              <w:jc w:val="left"/>
            </w:pPr>
            <w:r>
              <w:t xml:space="preserve">2</w:t>
            </w:r>
          </w:p>
        </w:tc>
        <w:tc>
          <w:p>
            <w:pPr>
              <w:pStyle w:val="Compact"/>
              <w:jc w:val="left"/>
            </w:pPr>
            <w:r>
              <w:t xml:space="preserve">60 ( 6.7)</w:t>
            </w:r>
          </w:p>
        </w:tc>
        <w:tc>
          <w:p>
            <w:pPr>
              <w:pStyle w:val="Compact"/>
              <w:jc w:val="left"/>
            </w:pPr>
            <w:r>
              <w:t xml:space="preserve">5221 ( 6.1)</w:t>
            </w:r>
          </w:p>
        </w:tc>
        <w:tc>
          <w:p>
            <w:pPr>
              <w:pStyle w:val="Compact"/>
              <w:jc w:val="left"/>
            </w:pPr>
            <w:r>
              <w:t xml:space="preserve">85 ( 7.0)</w:t>
            </w:r>
          </w:p>
        </w:tc>
        <w:tc>
          <w:p>
            <w:pPr>
              <w:pStyle w:val="Compact"/>
              <w:jc w:val="left"/>
            </w:pPr>
            <w:r>
              <w:t xml:space="preserve">5196 ( 6.1)</w:t>
            </w:r>
          </w:p>
        </w:tc>
        <w:tc>
          <w:p>
            <w:pPr>
              <w:pStyle w:val="Compact"/>
              <w:jc w:val="left"/>
            </w:pPr>
            <w:r>
              <w:t xml:space="preserve">5281 ( 6.1)</w:t>
            </w:r>
          </w:p>
        </w:tc>
      </w:tr>
      <w:tr>
        <w:tc>
          <w:p/>
        </w:tc>
        <w:tc>
          <w:p>
            <w:pPr>
              <w:pStyle w:val="Compact"/>
              <w:jc w:val="left"/>
            </w:pPr>
            <w:r>
              <w:t xml:space="preserve">3</w:t>
            </w:r>
          </w:p>
        </w:tc>
        <w:tc>
          <w:p>
            <w:pPr>
              <w:pStyle w:val="Compact"/>
              <w:jc w:val="left"/>
            </w:pPr>
            <w:r>
              <w:t xml:space="preserve">39 ( 4.4)</w:t>
            </w:r>
          </w:p>
        </w:tc>
        <w:tc>
          <w:p>
            <w:pPr>
              <w:pStyle w:val="Compact"/>
              <w:jc w:val="left"/>
            </w:pPr>
            <w:r>
              <w:t xml:space="preserve">1557 ( 1.8)</w:t>
            </w:r>
          </w:p>
        </w:tc>
        <w:tc>
          <w:p>
            <w:pPr>
              <w:pStyle w:val="Compact"/>
              <w:jc w:val="left"/>
            </w:pPr>
            <w:r>
              <w:t xml:space="preserve">46 ( 3.8)</w:t>
            </w:r>
          </w:p>
        </w:tc>
        <w:tc>
          <w:p>
            <w:pPr>
              <w:pStyle w:val="Compact"/>
              <w:jc w:val="left"/>
            </w:pPr>
            <w:r>
              <w:t xml:space="preserve">1550 ( 1.8)</w:t>
            </w:r>
          </w:p>
        </w:tc>
        <w:tc>
          <w:p>
            <w:pPr>
              <w:pStyle w:val="Compact"/>
              <w:jc w:val="left"/>
            </w:pPr>
            <w:r>
              <w:t xml:space="preserve">1596 ( 1.8)</w:t>
            </w:r>
          </w:p>
        </w:tc>
      </w:tr>
      <w:tr>
        <w:tc>
          <w:p/>
        </w:tc>
        <w:tc>
          <w:p>
            <w:pPr>
              <w:pStyle w:val="Compact"/>
              <w:jc w:val="left"/>
            </w:pPr>
            <w:r>
              <w:t xml:space="preserve">4+</w:t>
            </w:r>
          </w:p>
        </w:tc>
        <w:tc>
          <w:p>
            <w:pPr>
              <w:pStyle w:val="Compact"/>
              <w:jc w:val="left"/>
            </w:pPr>
            <w:r>
              <w:t xml:space="preserve">21 ( 2.3)</w:t>
            </w:r>
          </w:p>
        </w:tc>
        <w:tc>
          <w:p>
            <w:pPr>
              <w:pStyle w:val="Compact"/>
              <w:jc w:val="left"/>
            </w:pPr>
            <w:r>
              <w:t xml:space="preserve">975 ( 1.1)</w:t>
            </w:r>
          </w:p>
        </w:tc>
        <w:tc>
          <w:p>
            <w:pPr>
              <w:pStyle w:val="Compact"/>
              <w:jc w:val="left"/>
            </w:pPr>
            <w:r>
              <w:t xml:space="preserve">35 ( 2.9)</w:t>
            </w:r>
          </w:p>
        </w:tc>
        <w:tc>
          <w:p>
            <w:pPr>
              <w:pStyle w:val="Compact"/>
              <w:jc w:val="left"/>
            </w:pPr>
            <w:r>
              <w:t xml:space="preserve">961 ( 1.1)</w:t>
            </w:r>
          </w:p>
        </w:tc>
        <w:tc>
          <w:p>
            <w:pPr>
              <w:pStyle w:val="Compact"/>
              <w:jc w:val="left"/>
            </w:pPr>
            <w:r>
              <w:t xml:space="preserve">996 ( 1.2)</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418 (46.7)</w:t>
            </w:r>
          </w:p>
        </w:tc>
        <w:tc>
          <w:p>
            <w:pPr>
              <w:pStyle w:val="Compact"/>
              <w:jc w:val="left"/>
            </w:pPr>
            <w:r>
              <w:t xml:space="preserve">49092 (57.4)</w:t>
            </w:r>
          </w:p>
        </w:tc>
        <w:tc>
          <w:p>
            <w:pPr>
              <w:pStyle w:val="Compact"/>
              <w:jc w:val="left"/>
            </w:pPr>
            <w:r>
              <w:t xml:space="preserve">581 (47.7)</w:t>
            </w:r>
          </w:p>
        </w:tc>
        <w:tc>
          <w:p>
            <w:pPr>
              <w:pStyle w:val="Compact"/>
              <w:jc w:val="left"/>
            </w:pPr>
            <w:r>
              <w:t xml:space="preserve">48929 (57.4)</w:t>
            </w:r>
          </w:p>
        </w:tc>
        <w:tc>
          <w:p>
            <w:pPr>
              <w:pStyle w:val="Compact"/>
              <w:jc w:val="left"/>
            </w:pPr>
            <w:r>
              <w:t xml:space="preserve">49510 (57.3)</w:t>
            </w:r>
          </w:p>
        </w:tc>
      </w:tr>
      <w:tr>
        <w:tc>
          <w:p/>
        </w:tc>
        <w:tc>
          <w:p>
            <w:pPr>
              <w:pStyle w:val="Compact"/>
              <w:jc w:val="left"/>
            </w:pPr>
            <w:r>
              <w:t xml:space="preserve">1</w:t>
            </w:r>
          </w:p>
        </w:tc>
        <w:tc>
          <w:p>
            <w:pPr>
              <w:pStyle w:val="Compact"/>
              <w:jc w:val="left"/>
            </w:pPr>
            <w:r>
              <w:t xml:space="preserve">211 (23.6)</w:t>
            </w:r>
          </w:p>
        </w:tc>
        <w:tc>
          <w:p>
            <w:pPr>
              <w:pStyle w:val="Compact"/>
              <w:jc w:val="left"/>
            </w:pPr>
            <w:r>
              <w:t xml:space="preserve">20552 (24.0)</w:t>
            </w:r>
          </w:p>
        </w:tc>
        <w:tc>
          <w:p>
            <w:pPr>
              <w:pStyle w:val="Compact"/>
              <w:jc w:val="left"/>
            </w:pPr>
            <w:r>
              <w:t xml:space="preserve">300 (24.7)</w:t>
            </w:r>
          </w:p>
        </w:tc>
        <w:tc>
          <w:p>
            <w:pPr>
              <w:pStyle w:val="Compact"/>
              <w:jc w:val="left"/>
            </w:pPr>
            <w:r>
              <w:t xml:space="preserve">20463 (24.0)</w:t>
            </w:r>
          </w:p>
        </w:tc>
        <w:tc>
          <w:p>
            <w:pPr>
              <w:pStyle w:val="Compact"/>
              <w:jc w:val="left"/>
            </w:pPr>
            <w:r>
              <w:t xml:space="preserve">20763 (24.0)</w:t>
            </w:r>
          </w:p>
        </w:tc>
      </w:tr>
      <w:tr>
        <w:tc>
          <w:p/>
        </w:tc>
        <w:tc>
          <w:p>
            <w:pPr>
              <w:pStyle w:val="Compact"/>
              <w:jc w:val="left"/>
            </w:pPr>
            <w:r>
              <w:t xml:space="preserve">2</w:t>
            </w:r>
          </w:p>
        </w:tc>
        <w:tc>
          <w:p>
            <w:pPr>
              <w:pStyle w:val="Compact"/>
              <w:jc w:val="left"/>
            </w:pPr>
            <w:r>
              <w:t xml:space="preserve">145 (16.2)</w:t>
            </w:r>
          </w:p>
        </w:tc>
        <w:tc>
          <w:p>
            <w:pPr>
              <w:pStyle w:val="Compact"/>
              <w:jc w:val="left"/>
            </w:pPr>
            <w:r>
              <w:t xml:space="preserve">10082 (11.8)</w:t>
            </w:r>
          </w:p>
        </w:tc>
        <w:tc>
          <w:p>
            <w:pPr>
              <w:pStyle w:val="Compact"/>
              <w:jc w:val="left"/>
            </w:pPr>
            <w:r>
              <w:t xml:space="preserve">184 (15.1)</w:t>
            </w:r>
          </w:p>
        </w:tc>
        <w:tc>
          <w:p>
            <w:pPr>
              <w:pStyle w:val="Compact"/>
              <w:jc w:val="left"/>
            </w:pPr>
            <w:r>
              <w:t xml:space="preserve">10043 (11.8)</w:t>
            </w:r>
          </w:p>
        </w:tc>
        <w:tc>
          <w:p>
            <w:pPr>
              <w:pStyle w:val="Compact"/>
              <w:jc w:val="left"/>
            </w:pPr>
            <w:r>
              <w:t xml:space="preserve">10227 (11.8)</w:t>
            </w:r>
          </w:p>
        </w:tc>
      </w:tr>
      <w:tr>
        <w:tc>
          <w:p/>
        </w:tc>
        <w:tc>
          <w:p>
            <w:pPr>
              <w:pStyle w:val="Compact"/>
              <w:jc w:val="left"/>
            </w:pPr>
            <w:r>
              <w:t xml:space="preserve">3+</w:t>
            </w:r>
          </w:p>
        </w:tc>
        <w:tc>
          <w:p>
            <w:pPr>
              <w:pStyle w:val="Compact"/>
              <w:jc w:val="left"/>
            </w:pPr>
            <w:r>
              <w:t xml:space="preserve">121 (13.5)</w:t>
            </w:r>
          </w:p>
        </w:tc>
        <w:tc>
          <w:p>
            <w:pPr>
              <w:pStyle w:val="Compact"/>
              <w:jc w:val="left"/>
            </w:pPr>
            <w:r>
              <w:t xml:space="preserve">5806 ( 6.8)</w:t>
            </w:r>
          </w:p>
        </w:tc>
        <w:tc>
          <w:p>
            <w:pPr>
              <w:pStyle w:val="Compact"/>
              <w:jc w:val="left"/>
            </w:pPr>
            <w:r>
              <w:t xml:space="preserve">152 (12.5)</w:t>
            </w:r>
          </w:p>
        </w:tc>
        <w:tc>
          <w:p>
            <w:pPr>
              <w:pStyle w:val="Compact"/>
              <w:jc w:val="left"/>
            </w:pPr>
            <w:r>
              <w:t xml:space="preserve">5775 ( 6.8)</w:t>
            </w:r>
          </w:p>
        </w:tc>
        <w:tc>
          <w:p>
            <w:pPr>
              <w:pStyle w:val="Compact"/>
              <w:jc w:val="left"/>
            </w:pPr>
            <w:r>
              <w:t xml:space="preserve">5927 ( 6.9)</w:t>
            </w:r>
          </w:p>
        </w:tc>
      </w:tr>
      <w:tr>
        <w:tc>
          <w:p>
            <w:pPr>
              <w:pStyle w:val="Compact"/>
              <w:jc w:val="left"/>
            </w:pPr>
            <w:r>
              <w:t xml:space="preserve">RxRiskV (mean (SD))</w:t>
            </w:r>
          </w:p>
        </w:tc>
        <w:tc>
          <w:p/>
        </w:tc>
        <w:tc>
          <w:p>
            <w:pPr>
              <w:pStyle w:val="Compact"/>
              <w:jc w:val="left"/>
            </w:pPr>
            <w:r>
              <w:t xml:space="preserve">3.60 (3.34)</w:t>
            </w:r>
          </w:p>
        </w:tc>
        <w:tc>
          <w:p>
            <w:pPr>
              <w:pStyle w:val="Compact"/>
              <w:jc w:val="left"/>
            </w:pPr>
            <w:r>
              <w:t xml:space="preserve">2.63 (3.06)</w:t>
            </w:r>
          </w:p>
        </w:tc>
        <w:tc>
          <w:p>
            <w:pPr>
              <w:pStyle w:val="Compact"/>
              <w:jc w:val="left"/>
            </w:pPr>
            <w:r>
              <w:t xml:space="preserve">3.60 (3.35)</w:t>
            </w:r>
          </w:p>
        </w:tc>
        <w:tc>
          <w:p>
            <w:pPr>
              <w:pStyle w:val="Compact"/>
              <w:jc w:val="left"/>
            </w:pPr>
            <w:r>
              <w:t xml:space="preserve">2.63 (3.06)</w:t>
            </w:r>
          </w:p>
        </w:tc>
        <w:tc>
          <w:p>
            <w:pPr>
              <w:pStyle w:val="Compact"/>
              <w:jc w:val="left"/>
            </w:pPr>
            <w:r>
              <w:t xml:space="preserve">2.64 (3.07)</w:t>
            </w:r>
          </w:p>
        </w:tc>
      </w:tr>
      <w:tr>
        <w:tc>
          <w:p>
            <w:pPr>
              <w:pStyle w:val="Compact"/>
              <w:jc w:val="left"/>
            </w:pPr>
            <w:r>
              <w:t xml:space="preserve">AIDS/HIV hiv (%)</w:t>
            </w:r>
          </w:p>
        </w:tc>
        <w:tc>
          <w:p/>
        </w:tc>
        <w:tc>
          <w:p>
            <w:pPr>
              <w:pStyle w:val="Compact"/>
              <w:jc w:val="left"/>
            </w:pPr>
            <w:r>
              <w:t xml:space="preserve">11 ( 1.2)</w:t>
            </w:r>
          </w:p>
        </w:tc>
        <w:tc>
          <w:p>
            <w:pPr>
              <w:pStyle w:val="Compact"/>
              <w:jc w:val="left"/>
            </w:pPr>
            <w:r>
              <w:t xml:space="preserve">1299 ( 1.5)</w:t>
            </w:r>
          </w:p>
        </w:tc>
        <w:tc>
          <w:p>
            <w:pPr>
              <w:pStyle w:val="Compact"/>
              <w:jc w:val="left"/>
            </w:pPr>
            <w:r>
              <w:t xml:space="preserve">12 ( 1.0)</w:t>
            </w:r>
          </w:p>
        </w:tc>
        <w:tc>
          <w:p>
            <w:pPr>
              <w:pStyle w:val="Compact"/>
              <w:jc w:val="left"/>
            </w:pPr>
            <w:r>
              <w:t xml:space="preserve">1298 ( 1.5)</w:t>
            </w:r>
          </w:p>
        </w:tc>
        <w:tc>
          <w:p>
            <w:pPr>
              <w:pStyle w:val="Compact"/>
              <w:jc w:val="left"/>
            </w:pPr>
            <w:r>
              <w:t xml:space="preserve">1310 ( 1.5)</w:t>
            </w:r>
          </w:p>
        </w:tc>
      </w:tr>
      <w:tr>
        <w:tc>
          <w:p>
            <w:pPr>
              <w:pStyle w:val="Compact"/>
              <w:jc w:val="left"/>
            </w:pPr>
            <w:r>
              <w:t xml:space="preserve">Allergies (%)</w:t>
            </w:r>
          </w:p>
        </w:tc>
        <w:tc>
          <w:p/>
        </w:tc>
        <w:tc>
          <w:p>
            <w:pPr>
              <w:pStyle w:val="Compact"/>
              <w:jc w:val="left"/>
            </w:pPr>
            <w:r>
              <w:t xml:space="preserve">91 (10.2)</w:t>
            </w:r>
          </w:p>
        </w:tc>
        <w:tc>
          <w:p>
            <w:pPr>
              <w:pStyle w:val="Compact"/>
              <w:jc w:val="left"/>
            </w:pPr>
            <w:r>
              <w:t xml:space="preserve">8307 ( 9.7)</w:t>
            </w:r>
          </w:p>
        </w:tc>
        <w:tc>
          <w:p>
            <w:pPr>
              <w:pStyle w:val="Compact"/>
              <w:jc w:val="left"/>
            </w:pPr>
            <w:r>
              <w:t xml:space="preserve">132 (10.8)</w:t>
            </w:r>
          </w:p>
        </w:tc>
        <w:tc>
          <w:p>
            <w:pPr>
              <w:pStyle w:val="Compact"/>
              <w:jc w:val="left"/>
            </w:pPr>
            <w:r>
              <w:t xml:space="preserve">8266 ( 9.7)</w:t>
            </w:r>
          </w:p>
        </w:tc>
        <w:tc>
          <w:p>
            <w:pPr>
              <w:pStyle w:val="Compact"/>
              <w:jc w:val="left"/>
            </w:pPr>
            <w:r>
              <w:t xml:space="preserve">8398 ( 9.7)</w:t>
            </w:r>
          </w:p>
        </w:tc>
      </w:tr>
      <w:tr>
        <w:tc>
          <w:p>
            <w:pPr>
              <w:pStyle w:val="Compact"/>
              <w:jc w:val="left"/>
            </w:pPr>
            <w:r>
              <w:t xml:space="preserve">Anemia (%)</w:t>
            </w:r>
          </w:p>
        </w:tc>
        <w:tc>
          <w:p/>
        </w:tc>
        <w:tc>
          <w:p>
            <w:pPr>
              <w:pStyle w:val="Compact"/>
              <w:jc w:val="left"/>
            </w:pPr>
            <w:r>
              <w:t xml:space="preserve">8 ( 0.9)</w:t>
            </w:r>
          </w:p>
        </w:tc>
        <w:tc>
          <w:p>
            <w:pPr>
              <w:pStyle w:val="Compact"/>
              <w:jc w:val="left"/>
            </w:pPr>
            <w:r>
              <w:t xml:space="preserve">558 ( 0.7)</w:t>
            </w:r>
          </w:p>
        </w:tc>
        <w:tc>
          <w:p>
            <w:pPr>
              <w:pStyle w:val="Compact"/>
              <w:jc w:val="left"/>
            </w:pPr>
            <w:r>
              <w:t xml:space="preserve">12 ( 1.0)</w:t>
            </w:r>
          </w:p>
        </w:tc>
        <w:tc>
          <w:p>
            <w:pPr>
              <w:pStyle w:val="Compact"/>
              <w:jc w:val="left"/>
            </w:pPr>
            <w:r>
              <w:t xml:space="preserve">554 ( 0.7)</w:t>
            </w:r>
          </w:p>
        </w:tc>
        <w:tc>
          <w:p>
            <w:pPr>
              <w:pStyle w:val="Compact"/>
              <w:jc w:val="left"/>
            </w:pPr>
            <w:r>
              <w:t xml:space="preserve">566 ( 0.7)</w:t>
            </w:r>
          </w:p>
        </w:tc>
      </w:tr>
      <w:tr>
        <w:tc>
          <w:p>
            <w:pPr>
              <w:pStyle w:val="Compact"/>
              <w:jc w:val="left"/>
            </w:pPr>
            <w:r>
              <w:t xml:space="preserve">Arrhythmia (%)</w:t>
            </w:r>
          </w:p>
        </w:tc>
        <w:tc>
          <w:p/>
        </w:tc>
        <w:tc>
          <w:p>
            <w:pPr>
              <w:pStyle w:val="Compact"/>
              <w:jc w:val="left"/>
            </w:pPr>
            <w:r>
              <w:t xml:space="preserve">113 (12.6)</w:t>
            </w:r>
          </w:p>
        </w:tc>
        <w:tc>
          <w:p>
            <w:pPr>
              <w:pStyle w:val="Compact"/>
              <w:jc w:val="left"/>
            </w:pPr>
            <w:r>
              <w:t xml:space="preserve">6290 ( 7.4)</w:t>
            </w:r>
          </w:p>
        </w:tc>
        <w:tc>
          <w:p>
            <w:pPr>
              <w:pStyle w:val="Compact"/>
              <w:jc w:val="left"/>
            </w:pPr>
            <w:r>
              <w:t xml:space="preserve">137 (11.3)</w:t>
            </w:r>
          </w:p>
        </w:tc>
        <w:tc>
          <w:p>
            <w:pPr>
              <w:pStyle w:val="Compact"/>
              <w:jc w:val="left"/>
            </w:pPr>
            <w:r>
              <w:t xml:space="preserve">6266 ( 7.4)</w:t>
            </w:r>
          </w:p>
        </w:tc>
        <w:tc>
          <w:p>
            <w:pPr>
              <w:pStyle w:val="Compact"/>
              <w:jc w:val="left"/>
            </w:pPr>
            <w:r>
              <w:t xml:space="preserve">6403 ( 7.4)</w:t>
            </w:r>
          </w:p>
        </w:tc>
      </w:tr>
      <w:tr>
        <w:tc>
          <w:p>
            <w:pPr>
              <w:pStyle w:val="Compact"/>
              <w:jc w:val="left"/>
            </w:pPr>
            <w:r>
              <w:t xml:space="preserve">Arterial hypertension (%)</w:t>
            </w:r>
          </w:p>
        </w:tc>
        <w:tc>
          <w:p/>
        </w:tc>
        <w:tc>
          <w:p>
            <w:pPr>
              <w:pStyle w:val="Compact"/>
              <w:jc w:val="left"/>
            </w:pPr>
            <w:r>
              <w:t xml:space="preserve">469 (52.4)</w:t>
            </w:r>
          </w:p>
        </w:tc>
        <w:tc>
          <w:p>
            <w:pPr>
              <w:pStyle w:val="Compact"/>
              <w:jc w:val="left"/>
            </w:pPr>
            <w:r>
              <w:t xml:space="preserve">36237 (42.4)</w:t>
            </w:r>
          </w:p>
        </w:tc>
        <w:tc>
          <w:p>
            <w:pPr>
              <w:pStyle w:val="Compact"/>
              <w:jc w:val="left"/>
            </w:pPr>
            <w:r>
              <w:t xml:space="preserve">602 (49.5)</w:t>
            </w:r>
          </w:p>
        </w:tc>
        <w:tc>
          <w:p>
            <w:pPr>
              <w:pStyle w:val="Compact"/>
              <w:jc w:val="left"/>
            </w:pPr>
            <w:r>
              <w:t xml:space="preserve">36104 (42.4)</w:t>
            </w:r>
          </w:p>
        </w:tc>
        <w:tc>
          <w:p>
            <w:pPr>
              <w:pStyle w:val="Compact"/>
              <w:jc w:val="left"/>
            </w:pPr>
            <w:r>
              <w:t xml:space="preserve">36706 (42.5)</w:t>
            </w:r>
          </w:p>
        </w:tc>
      </w:tr>
      <w:tr>
        <w:tc>
          <w:p>
            <w:pPr>
              <w:pStyle w:val="Compact"/>
              <w:jc w:val="left"/>
            </w:pPr>
            <w:r>
              <w:t xml:space="preserve">Benign prostatihyperplasia (%)</w:t>
            </w:r>
          </w:p>
        </w:tc>
        <w:tc>
          <w:p/>
        </w:tc>
        <w:tc>
          <w:p>
            <w:pPr>
              <w:pStyle w:val="Compact"/>
              <w:jc w:val="left"/>
            </w:pPr>
            <w:r>
              <w:t xml:space="preserve">60 ( 6.7)</w:t>
            </w:r>
          </w:p>
        </w:tc>
        <w:tc>
          <w:p>
            <w:pPr>
              <w:pStyle w:val="Compact"/>
              <w:jc w:val="left"/>
            </w:pPr>
            <w:r>
              <w:t xml:space="preserve">3370 ( 3.9)</w:t>
            </w:r>
          </w:p>
        </w:tc>
        <w:tc>
          <w:p>
            <w:pPr>
              <w:pStyle w:val="Compact"/>
              <w:jc w:val="left"/>
            </w:pPr>
            <w:r>
              <w:t xml:space="preserve">80 ( 6.6)</w:t>
            </w:r>
          </w:p>
        </w:tc>
        <w:tc>
          <w:p>
            <w:pPr>
              <w:pStyle w:val="Compact"/>
              <w:jc w:val="left"/>
            </w:pPr>
            <w:r>
              <w:t xml:space="preserve">3350 ( 3.9)</w:t>
            </w:r>
          </w:p>
        </w:tc>
        <w:tc>
          <w:p>
            <w:pPr>
              <w:pStyle w:val="Compact"/>
              <w:jc w:val="left"/>
            </w:pPr>
            <w:r>
              <w:t xml:space="preserve">3430 ( 4.0)</w:t>
            </w:r>
          </w:p>
        </w:tc>
      </w:tr>
      <w:tr>
        <w:tc>
          <w:p>
            <w:pPr>
              <w:pStyle w:val="Compact"/>
              <w:jc w:val="left"/>
            </w:pPr>
            <w:r>
              <w:t xml:space="preserve">Cancer (%)</w:t>
            </w:r>
          </w:p>
        </w:tc>
        <w:tc>
          <w:p/>
        </w:tc>
        <w:tc>
          <w:p>
            <w:pPr>
              <w:pStyle w:val="Compact"/>
              <w:jc w:val="left"/>
            </w:pPr>
            <w:r>
              <w:t xml:space="preserve">44 ( 4.9)</w:t>
            </w:r>
          </w:p>
        </w:tc>
        <w:tc>
          <w:p>
            <w:pPr>
              <w:pStyle w:val="Compact"/>
              <w:jc w:val="left"/>
            </w:pPr>
            <w:r>
              <w:t xml:space="preserve">3722 ( 4.4)</w:t>
            </w:r>
          </w:p>
        </w:tc>
        <w:tc>
          <w:p>
            <w:pPr>
              <w:pStyle w:val="Compact"/>
              <w:jc w:val="left"/>
            </w:pPr>
            <w:r>
              <w:t xml:space="preserve">64 ( 5.3)</w:t>
            </w:r>
          </w:p>
        </w:tc>
        <w:tc>
          <w:p>
            <w:pPr>
              <w:pStyle w:val="Compact"/>
              <w:jc w:val="left"/>
            </w:pPr>
            <w:r>
              <w:t xml:space="preserve">3702 ( 4.3)</w:t>
            </w:r>
          </w:p>
        </w:tc>
        <w:tc>
          <w:p>
            <w:pPr>
              <w:pStyle w:val="Compact"/>
              <w:jc w:val="left"/>
            </w:pPr>
            <w:r>
              <w:t xml:space="preserve">3766 ( 4.4)</w:t>
            </w:r>
          </w:p>
        </w:tc>
      </w:tr>
      <w:tr>
        <w:tc>
          <w:p>
            <w:pPr>
              <w:pStyle w:val="Compact"/>
              <w:jc w:val="left"/>
            </w:pPr>
            <w:r>
              <w:t xml:space="preserve">Cns disease (%)</w:t>
            </w:r>
          </w:p>
        </w:tc>
        <w:tc>
          <w:p/>
        </w:tc>
        <w:tc>
          <w:p>
            <w:pPr>
              <w:pStyle w:val="Compact"/>
              <w:jc w:val="left"/>
            </w:pPr>
            <w:r>
              <w:t xml:space="preserve">269 (30.1)</w:t>
            </w:r>
          </w:p>
        </w:tc>
        <w:tc>
          <w:p>
            <w:pPr>
              <w:pStyle w:val="Compact"/>
              <w:jc w:val="left"/>
            </w:pPr>
            <w:r>
              <w:t xml:space="preserve">17298 (20.2)</w:t>
            </w:r>
          </w:p>
        </w:tc>
        <w:tc>
          <w:p>
            <w:pPr>
              <w:pStyle w:val="Compact"/>
              <w:jc w:val="left"/>
            </w:pPr>
            <w:r>
              <w:t xml:space="preserve">361 (29.7)</w:t>
            </w:r>
          </w:p>
        </w:tc>
        <w:tc>
          <w:p>
            <w:pPr>
              <w:pStyle w:val="Compact"/>
              <w:jc w:val="left"/>
            </w:pPr>
            <w:r>
              <w:t xml:space="preserve">17206 (20.2)</w:t>
            </w:r>
          </w:p>
        </w:tc>
        <w:tc>
          <w:p>
            <w:pPr>
              <w:pStyle w:val="Compact"/>
              <w:jc w:val="left"/>
            </w:pPr>
            <w:r>
              <w:t xml:space="preserve">17567 (20.3)</w:t>
            </w:r>
          </w:p>
        </w:tc>
      </w:tr>
      <w:tr>
        <w:tc>
          <w:p>
            <w:pPr>
              <w:pStyle w:val="Compact"/>
              <w:jc w:val="left"/>
            </w:pPr>
            <w:r>
              <w:t xml:space="preserve">Coagulopathy (%)</w:t>
            </w:r>
          </w:p>
        </w:tc>
        <w:tc>
          <w:p/>
        </w:tc>
        <w:tc>
          <w:p>
            <w:pPr>
              <w:pStyle w:val="Compact"/>
              <w:jc w:val="left"/>
            </w:pPr>
            <w:r>
              <w:t xml:space="preserve">3 ( 0.3)</w:t>
            </w:r>
          </w:p>
        </w:tc>
        <w:tc>
          <w:p>
            <w:pPr>
              <w:pStyle w:val="Compact"/>
              <w:jc w:val="left"/>
            </w:pPr>
            <w:r>
              <w:t xml:space="preserve">301 ( 0.4)</w:t>
            </w:r>
          </w:p>
        </w:tc>
        <w:tc>
          <w:p>
            <w:pPr>
              <w:pStyle w:val="Compact"/>
              <w:jc w:val="left"/>
            </w:pPr>
            <w:r>
              <w:t xml:space="preserve">4 ( 0.3)</w:t>
            </w:r>
          </w:p>
        </w:tc>
        <w:tc>
          <w:p>
            <w:pPr>
              <w:pStyle w:val="Compact"/>
              <w:jc w:val="left"/>
            </w:pPr>
            <w:r>
              <w:t xml:space="preserve">300 ( 0.4)</w:t>
            </w:r>
          </w:p>
        </w:tc>
        <w:tc>
          <w:p>
            <w:pPr>
              <w:pStyle w:val="Compact"/>
              <w:jc w:val="left"/>
            </w:pPr>
            <w:r>
              <w:t xml:space="preserve">304 ( 0.4)</w:t>
            </w:r>
          </w:p>
        </w:tc>
      </w:tr>
      <w:tr>
        <w:tc>
          <w:p>
            <w:pPr>
              <w:pStyle w:val="Compact"/>
              <w:jc w:val="left"/>
            </w:pPr>
            <w:r>
              <w:t xml:space="preserve">Diabetes (%)</w:t>
            </w:r>
          </w:p>
        </w:tc>
        <w:tc>
          <w:p/>
        </w:tc>
        <w:tc>
          <w:p>
            <w:pPr>
              <w:pStyle w:val="Compact"/>
              <w:jc w:val="left"/>
            </w:pPr>
            <w:r>
              <w:t xml:space="preserve">129 (14.4)</w:t>
            </w:r>
          </w:p>
        </w:tc>
        <w:tc>
          <w:p>
            <w:pPr>
              <w:pStyle w:val="Compact"/>
              <w:jc w:val="left"/>
            </w:pPr>
            <w:r>
              <w:t xml:space="preserve">7598 ( 8.9)</w:t>
            </w:r>
          </w:p>
        </w:tc>
        <w:tc>
          <w:p>
            <w:pPr>
              <w:pStyle w:val="Compact"/>
              <w:jc w:val="left"/>
            </w:pPr>
            <w:r>
              <w:t xml:space="preserve">156 (12.8)</w:t>
            </w:r>
          </w:p>
        </w:tc>
        <w:tc>
          <w:p>
            <w:pPr>
              <w:pStyle w:val="Compact"/>
              <w:jc w:val="left"/>
            </w:pPr>
            <w:r>
              <w:t xml:space="preserve">7571 ( 8.9)</w:t>
            </w:r>
          </w:p>
        </w:tc>
        <w:tc>
          <w:p>
            <w:pPr>
              <w:pStyle w:val="Compact"/>
              <w:jc w:val="left"/>
            </w:pPr>
            <w:r>
              <w:t xml:space="preserve">7727 ( 8.9)</w:t>
            </w:r>
          </w:p>
        </w:tc>
      </w:tr>
      <w:tr>
        <w:tc>
          <w:p>
            <w:pPr>
              <w:pStyle w:val="Compact"/>
              <w:jc w:val="left"/>
            </w:pPr>
            <w:r>
              <w:t xml:space="preserve">Drug alcohol abuse (%)</w:t>
            </w:r>
          </w:p>
        </w:tc>
        <w:tc>
          <w:p/>
        </w:tc>
        <w:tc>
          <w:p>
            <w:pPr>
              <w:pStyle w:val="Compact"/>
              <w:jc w:val="left"/>
            </w:pPr>
            <w:r>
              <w:t xml:space="preserve">18 ( 2.0)</w:t>
            </w:r>
          </w:p>
        </w:tc>
        <w:tc>
          <w:p>
            <w:pPr>
              <w:pStyle w:val="Compact"/>
              <w:jc w:val="left"/>
            </w:pPr>
            <w:r>
              <w:t xml:space="preserve">779 ( 0.9)</w:t>
            </w:r>
          </w:p>
        </w:tc>
        <w:tc>
          <w:p>
            <w:pPr>
              <w:pStyle w:val="Compact"/>
              <w:jc w:val="left"/>
            </w:pPr>
            <w:r>
              <w:t xml:space="preserve">26 ( 2.1)</w:t>
            </w:r>
          </w:p>
        </w:tc>
        <w:tc>
          <w:p>
            <w:pPr>
              <w:pStyle w:val="Compact"/>
              <w:jc w:val="left"/>
            </w:pPr>
            <w:r>
              <w:t xml:space="preserve">771 ( 0.9)</w:t>
            </w:r>
          </w:p>
        </w:tc>
        <w:tc>
          <w:p>
            <w:pPr>
              <w:pStyle w:val="Compact"/>
              <w:jc w:val="left"/>
            </w:pPr>
            <w:r>
              <w:t xml:space="preserve">797 ( 0.9)</w:t>
            </w:r>
          </w:p>
        </w:tc>
      </w:tr>
      <w:tr>
        <w:tc>
          <w:p>
            <w:pPr>
              <w:pStyle w:val="Compact"/>
              <w:jc w:val="left"/>
            </w:pPr>
            <w:r>
              <w:t xml:space="preserve">Fluid electrolyte disorders (%)</w:t>
            </w:r>
          </w:p>
        </w:tc>
        <w:tc>
          <w:p/>
        </w:tc>
        <w:tc>
          <w:p>
            <w:pPr>
              <w:pStyle w:val="Compact"/>
              <w:jc w:val="left"/>
            </w:pPr>
            <w:r>
              <w:t xml:space="preserve">7 ( 0.8)</w:t>
            </w:r>
          </w:p>
        </w:tc>
        <w:tc>
          <w:p>
            <w:pPr>
              <w:pStyle w:val="Compact"/>
              <w:jc w:val="left"/>
            </w:pPr>
            <w:r>
              <w:t xml:space="preserve">467 ( 0.5)</w:t>
            </w:r>
          </w:p>
        </w:tc>
        <w:tc>
          <w:p>
            <w:pPr>
              <w:pStyle w:val="Compact"/>
              <w:jc w:val="left"/>
            </w:pPr>
            <w:r>
              <w:t xml:space="preserve">10 ( 0.8)</w:t>
            </w:r>
          </w:p>
        </w:tc>
        <w:tc>
          <w:p>
            <w:pPr>
              <w:pStyle w:val="Compact"/>
              <w:jc w:val="left"/>
            </w:pPr>
            <w:r>
              <w:t xml:space="preserve">464 ( 0.5)</w:t>
            </w:r>
          </w:p>
        </w:tc>
        <w:tc>
          <w:p>
            <w:pPr>
              <w:pStyle w:val="Compact"/>
              <w:jc w:val="left"/>
            </w:pPr>
            <w:r>
              <w:t xml:space="preserve">474 ( 0.5)</w:t>
            </w:r>
          </w:p>
        </w:tc>
      </w:tr>
      <w:tr>
        <w:tc>
          <w:p>
            <w:pPr>
              <w:pStyle w:val="Compact"/>
              <w:jc w:val="left"/>
            </w:pPr>
            <w:r>
              <w:t xml:space="preserve">Glaucoma (%)</w:t>
            </w:r>
          </w:p>
        </w:tc>
        <w:tc>
          <w:p/>
        </w:tc>
        <w:tc>
          <w:p>
            <w:pPr>
              <w:pStyle w:val="Compact"/>
              <w:jc w:val="left"/>
            </w:pPr>
            <w:r>
              <w:t xml:space="preserve">49 ( 5.5)</w:t>
            </w:r>
          </w:p>
        </w:tc>
        <w:tc>
          <w:p>
            <w:pPr>
              <w:pStyle w:val="Compact"/>
              <w:jc w:val="left"/>
            </w:pPr>
            <w:r>
              <w:t xml:space="preserve">3756 ( 4.4)</w:t>
            </w:r>
          </w:p>
        </w:tc>
        <w:tc>
          <w:p>
            <w:pPr>
              <w:pStyle w:val="Compact"/>
              <w:jc w:val="left"/>
            </w:pPr>
            <w:r>
              <w:t xml:space="preserve">62 ( 5.1)</w:t>
            </w:r>
          </w:p>
        </w:tc>
        <w:tc>
          <w:p>
            <w:pPr>
              <w:pStyle w:val="Compact"/>
              <w:jc w:val="left"/>
            </w:pPr>
            <w:r>
              <w:t xml:space="preserve">3743 ( 4.4)</w:t>
            </w:r>
          </w:p>
        </w:tc>
        <w:tc>
          <w:p>
            <w:pPr>
              <w:pStyle w:val="Compact"/>
              <w:jc w:val="left"/>
            </w:pPr>
            <w:r>
              <w:t xml:space="preserve">3805 ( 4.4)</w:t>
            </w:r>
          </w:p>
        </w:tc>
      </w:tr>
      <w:tr>
        <w:tc>
          <w:p>
            <w:pPr>
              <w:pStyle w:val="Compact"/>
              <w:jc w:val="left"/>
            </w:pPr>
            <w:r>
              <w:t xml:space="preserve">Gout (%)</w:t>
            </w:r>
          </w:p>
        </w:tc>
        <w:tc>
          <w:p/>
        </w:tc>
        <w:tc>
          <w:p>
            <w:pPr>
              <w:pStyle w:val="Compact"/>
              <w:jc w:val="left"/>
            </w:pPr>
            <w:r>
              <w:t xml:space="preserve">39 ( 4.4)</w:t>
            </w:r>
          </w:p>
        </w:tc>
        <w:tc>
          <w:p>
            <w:pPr>
              <w:pStyle w:val="Compact"/>
              <w:jc w:val="left"/>
            </w:pPr>
            <w:r>
              <w:t xml:space="preserve">1898 ( 2.2)</w:t>
            </w:r>
          </w:p>
        </w:tc>
        <w:tc>
          <w:p>
            <w:pPr>
              <w:pStyle w:val="Compact"/>
              <w:jc w:val="left"/>
            </w:pPr>
            <w:r>
              <w:t xml:space="preserve">51 ( 4.2)</w:t>
            </w:r>
          </w:p>
        </w:tc>
        <w:tc>
          <w:p>
            <w:pPr>
              <w:pStyle w:val="Compact"/>
              <w:jc w:val="left"/>
            </w:pPr>
            <w:r>
              <w:t xml:space="preserve">1886 ( 2.2)</w:t>
            </w:r>
          </w:p>
        </w:tc>
        <w:tc>
          <w:p>
            <w:pPr>
              <w:pStyle w:val="Compact"/>
              <w:jc w:val="left"/>
            </w:pPr>
            <w:r>
              <w:t xml:space="preserve">1937 ( 2.2)</w:t>
            </w:r>
          </w:p>
        </w:tc>
      </w:tr>
      <w:tr>
        <w:tc>
          <w:p>
            <w:pPr>
              <w:pStyle w:val="Compact"/>
              <w:jc w:val="left"/>
            </w:pPr>
            <w:r>
              <w:t xml:space="preserve">Heart condition (%)</w:t>
            </w:r>
          </w:p>
        </w:tc>
        <w:tc>
          <w:p/>
        </w:tc>
        <w:tc>
          <w:p>
            <w:pPr>
              <w:pStyle w:val="Compact"/>
              <w:jc w:val="left"/>
            </w:pPr>
            <w:r>
              <w:t xml:space="preserve">430 (48.0)</w:t>
            </w:r>
          </w:p>
        </w:tc>
        <w:tc>
          <w:p>
            <w:pPr>
              <w:pStyle w:val="Compact"/>
              <w:jc w:val="left"/>
            </w:pPr>
            <w:r>
              <w:t xml:space="preserve">34586 (40.4)</w:t>
            </w:r>
          </w:p>
        </w:tc>
        <w:tc>
          <w:p>
            <w:pPr>
              <w:pStyle w:val="Compact"/>
              <w:jc w:val="left"/>
            </w:pPr>
            <w:r>
              <w:t xml:space="preserve">562 (46.2)</w:t>
            </w:r>
          </w:p>
        </w:tc>
        <w:tc>
          <w:p>
            <w:pPr>
              <w:pStyle w:val="Compact"/>
              <w:jc w:val="left"/>
            </w:pPr>
            <w:r>
              <w:t xml:space="preserve">34454 (40.4)</w:t>
            </w:r>
          </w:p>
        </w:tc>
        <w:tc>
          <w:p>
            <w:pPr>
              <w:pStyle w:val="Compact"/>
              <w:jc w:val="left"/>
            </w:pPr>
            <w:r>
              <w:t xml:space="preserve">35016 (40.5)</w:t>
            </w:r>
          </w:p>
        </w:tc>
      </w:tr>
      <w:tr>
        <w:tc>
          <w:p>
            <w:pPr>
              <w:pStyle w:val="Compact"/>
              <w:jc w:val="left"/>
            </w:pPr>
            <w:r>
              <w:t xml:space="preserve">Myocardial infarction (%)</w:t>
            </w:r>
          </w:p>
        </w:tc>
        <w:tc>
          <w:p/>
        </w:tc>
        <w:tc>
          <w:p>
            <w:pPr>
              <w:pStyle w:val="Compact"/>
              <w:jc w:val="left"/>
            </w:pPr>
            <w:r>
              <w:t xml:space="preserve">407 (45.5)</w:t>
            </w:r>
          </w:p>
        </w:tc>
        <w:tc>
          <w:p>
            <w:pPr>
              <w:pStyle w:val="Compact"/>
              <w:jc w:val="left"/>
            </w:pPr>
            <w:r>
              <w:t xml:space="preserve">30573 (35.7)</w:t>
            </w:r>
          </w:p>
        </w:tc>
        <w:tc>
          <w:p>
            <w:pPr>
              <w:pStyle w:val="Compact"/>
              <w:jc w:val="left"/>
            </w:pPr>
            <w:r>
              <w:t xml:space="preserve">530 (43.5)</w:t>
            </w:r>
          </w:p>
        </w:tc>
        <w:tc>
          <w:p>
            <w:pPr>
              <w:pStyle w:val="Compact"/>
              <w:jc w:val="left"/>
            </w:pPr>
            <w:r>
              <w:t xml:space="preserve">30450 (35.7)</w:t>
            </w:r>
          </w:p>
        </w:tc>
        <w:tc>
          <w:p>
            <w:pPr>
              <w:pStyle w:val="Compact"/>
              <w:jc w:val="left"/>
            </w:pPr>
            <w:r>
              <w:t xml:space="preserve">30980 (35.8)</w:t>
            </w:r>
          </w:p>
        </w:tc>
      </w:tr>
      <w:tr>
        <w:tc>
          <w:p>
            <w:pPr>
              <w:pStyle w:val="Compact"/>
              <w:jc w:val="left"/>
            </w:pPr>
            <w:r>
              <w:t xml:space="preserve">Hyperkalaemia (%)</w:t>
            </w:r>
          </w:p>
        </w:tc>
        <w:tc>
          <w:p/>
        </w:tc>
        <w:tc>
          <w:p>
            <w:pPr>
              <w:pStyle w:val="Compact"/>
              <w:jc w:val="left"/>
            </w:pPr>
            <w:r>
              <w:t xml:space="preserve">0</w:t>
            </w:r>
          </w:p>
        </w:tc>
        <w:tc>
          <w:p>
            <w:pPr>
              <w:pStyle w:val="Compact"/>
              <w:jc w:val="left"/>
            </w:pPr>
            <w:r>
              <w:t xml:space="preserve">63 ( 0.1)</w:t>
            </w:r>
          </w:p>
        </w:tc>
        <w:tc>
          <w:p>
            <w:pPr>
              <w:pStyle w:val="Compact"/>
              <w:jc w:val="left"/>
            </w:pPr>
            <w:r>
              <w:t xml:space="preserve">2 ( 0.2)</w:t>
            </w:r>
          </w:p>
        </w:tc>
        <w:tc>
          <w:p>
            <w:pPr>
              <w:pStyle w:val="Compact"/>
              <w:jc w:val="left"/>
            </w:pPr>
            <w:r>
              <w:t xml:space="preserve">61 ( 0.1)</w:t>
            </w:r>
          </w:p>
        </w:tc>
        <w:tc>
          <w:p>
            <w:pPr>
              <w:pStyle w:val="Compact"/>
              <w:jc w:val="left"/>
            </w:pPr>
            <w:r>
              <w:t xml:space="preserve">63 ( 0.1)</w:t>
            </w:r>
          </w:p>
        </w:tc>
      </w:tr>
      <w:tr>
        <w:tc>
          <w:p>
            <w:pPr>
              <w:pStyle w:val="Compact"/>
              <w:jc w:val="left"/>
            </w:pPr>
            <w:r>
              <w:t xml:space="preserve">Hyperlipidaemia (%)</w:t>
            </w:r>
          </w:p>
        </w:tc>
        <w:tc>
          <w:p/>
        </w:tc>
        <w:tc>
          <w:p>
            <w:pPr>
              <w:pStyle w:val="Compact"/>
              <w:jc w:val="left"/>
            </w:pPr>
            <w:r>
              <w:t xml:space="preserve">232 (25.9)</w:t>
            </w:r>
          </w:p>
        </w:tc>
        <w:tc>
          <w:p>
            <w:pPr>
              <w:pStyle w:val="Compact"/>
              <w:jc w:val="left"/>
            </w:pPr>
            <w:r>
              <w:t xml:space="preserve">19546 (22.9)</w:t>
            </w:r>
          </w:p>
        </w:tc>
        <w:tc>
          <w:p>
            <w:pPr>
              <w:pStyle w:val="Compact"/>
              <w:jc w:val="left"/>
            </w:pPr>
            <w:r>
              <w:t xml:space="preserve">298 (24.5)</w:t>
            </w:r>
          </w:p>
        </w:tc>
        <w:tc>
          <w:p>
            <w:pPr>
              <w:pStyle w:val="Compact"/>
              <w:jc w:val="left"/>
            </w:pPr>
            <w:r>
              <w:t xml:space="preserve">19480 (22.9)</w:t>
            </w:r>
          </w:p>
        </w:tc>
        <w:tc>
          <w:p>
            <w:pPr>
              <w:pStyle w:val="Compact"/>
              <w:jc w:val="left"/>
            </w:pPr>
            <w:r>
              <w:t xml:space="preserve">19778 (22.9)</w:t>
            </w:r>
          </w:p>
        </w:tc>
      </w:tr>
      <w:tr>
        <w:tc>
          <w:p>
            <w:pPr>
              <w:pStyle w:val="Compact"/>
              <w:jc w:val="left"/>
            </w:pPr>
            <w:r>
              <w:t xml:space="preserve">Hypothyroidism (%)</w:t>
            </w:r>
          </w:p>
        </w:tc>
        <w:tc>
          <w:p/>
        </w:tc>
        <w:tc>
          <w:p>
            <w:pPr>
              <w:pStyle w:val="Compact"/>
              <w:jc w:val="left"/>
            </w:pPr>
            <w:r>
              <w:t xml:space="preserve">88 ( 9.8)</w:t>
            </w:r>
          </w:p>
        </w:tc>
        <w:tc>
          <w:p>
            <w:pPr>
              <w:pStyle w:val="Compact"/>
              <w:jc w:val="left"/>
            </w:pPr>
            <w:r>
              <w:t xml:space="preserve">7329 ( 8.6)</w:t>
            </w:r>
          </w:p>
        </w:tc>
        <w:tc>
          <w:p>
            <w:pPr>
              <w:pStyle w:val="Compact"/>
              <w:jc w:val="left"/>
            </w:pPr>
            <w:r>
              <w:t xml:space="preserve">106 ( 8.7)</w:t>
            </w:r>
          </w:p>
        </w:tc>
        <w:tc>
          <w:p>
            <w:pPr>
              <w:pStyle w:val="Compact"/>
              <w:jc w:val="left"/>
            </w:pPr>
            <w:r>
              <w:t xml:space="preserve">7311 ( 8.6)</w:t>
            </w:r>
          </w:p>
        </w:tc>
        <w:tc>
          <w:p>
            <w:pPr>
              <w:pStyle w:val="Compact"/>
              <w:jc w:val="left"/>
            </w:pPr>
            <w:r>
              <w:t xml:space="preserve">7417 ( 8.6)</w:t>
            </w:r>
          </w:p>
        </w:tc>
      </w:tr>
      <w:tr>
        <w:tc>
          <w:p>
            <w:pPr>
              <w:pStyle w:val="Compact"/>
              <w:jc w:val="left"/>
            </w:pPr>
            <w:r>
              <w:t xml:space="preserve">Kidney disease (%)</w:t>
            </w:r>
          </w:p>
        </w:tc>
        <w:tc>
          <w:p/>
        </w:tc>
        <w:tc>
          <w:p>
            <w:pPr>
              <w:pStyle w:val="Compact"/>
              <w:jc w:val="left"/>
            </w:pPr>
            <w:r>
              <w:t xml:space="preserve">14 ( 1.6)</w:t>
            </w:r>
          </w:p>
        </w:tc>
        <w:tc>
          <w:p>
            <w:pPr>
              <w:pStyle w:val="Compact"/>
              <w:jc w:val="left"/>
            </w:pPr>
            <w:r>
              <w:t xml:space="preserve">945 ( 1.1)</w:t>
            </w:r>
          </w:p>
        </w:tc>
        <w:tc>
          <w:p>
            <w:pPr>
              <w:pStyle w:val="Compact"/>
              <w:jc w:val="left"/>
            </w:pPr>
            <w:r>
              <w:t xml:space="preserve">21 ( 1.7)</w:t>
            </w:r>
          </w:p>
        </w:tc>
        <w:tc>
          <w:p>
            <w:pPr>
              <w:pStyle w:val="Compact"/>
              <w:jc w:val="left"/>
            </w:pPr>
            <w:r>
              <w:t xml:space="preserve">938 ( 1.1)</w:t>
            </w:r>
          </w:p>
        </w:tc>
        <w:tc>
          <w:p>
            <w:pPr>
              <w:pStyle w:val="Compact"/>
              <w:jc w:val="left"/>
            </w:pPr>
            <w:r>
              <w:t xml:space="preserve">959 ( 1.1)</w:t>
            </w:r>
          </w:p>
        </w:tc>
      </w:tr>
      <w:tr>
        <w:tc>
          <w:p>
            <w:pPr>
              <w:pStyle w:val="Compact"/>
              <w:jc w:val="left"/>
            </w:pPr>
            <w:r>
              <w:t xml:space="preserve">Liver disease (%)</w:t>
            </w:r>
          </w:p>
        </w:tc>
        <w:tc>
          <w:p/>
        </w:tc>
        <w:tc>
          <w:p>
            <w:pPr>
              <w:pStyle w:val="Compact"/>
              <w:jc w:val="left"/>
            </w:pPr>
            <w:r>
              <w:t xml:space="preserve">95 (10.6)</w:t>
            </w:r>
          </w:p>
        </w:tc>
        <w:tc>
          <w:p>
            <w:pPr>
              <w:pStyle w:val="Compact"/>
              <w:jc w:val="left"/>
            </w:pPr>
            <w:r>
              <w:t xml:space="preserve">4715 ( 5.5)</w:t>
            </w:r>
          </w:p>
        </w:tc>
        <w:tc>
          <w:p>
            <w:pPr>
              <w:pStyle w:val="Compact"/>
              <w:jc w:val="left"/>
            </w:pPr>
            <w:r>
              <w:t xml:space="preserve">129 (10.6)</w:t>
            </w:r>
          </w:p>
        </w:tc>
        <w:tc>
          <w:p>
            <w:pPr>
              <w:pStyle w:val="Compact"/>
              <w:jc w:val="left"/>
            </w:pPr>
            <w:r>
              <w:t xml:space="preserve">4681 ( 5.5)</w:t>
            </w:r>
          </w:p>
        </w:tc>
        <w:tc>
          <w:p>
            <w:pPr>
              <w:pStyle w:val="Compact"/>
              <w:jc w:val="left"/>
            </w:pPr>
            <w:r>
              <w:t xml:space="preserve">4810 ( 5.6)</w:t>
            </w:r>
          </w:p>
        </w:tc>
      </w:tr>
      <w:tr>
        <w:tc>
          <w:p>
            <w:pPr>
              <w:pStyle w:val="Compact"/>
              <w:jc w:val="left"/>
            </w:pPr>
            <w:r>
              <w:t xml:space="preserve">Lung airways disease (%)</w:t>
            </w:r>
          </w:p>
        </w:tc>
        <w:tc>
          <w:p/>
        </w:tc>
        <w:tc>
          <w:p>
            <w:pPr>
              <w:pStyle w:val="Compact"/>
              <w:jc w:val="left"/>
            </w:pPr>
            <w:r>
              <w:t xml:space="preserve">130 (14.5)</w:t>
            </w:r>
          </w:p>
        </w:tc>
        <w:tc>
          <w:p>
            <w:pPr>
              <w:pStyle w:val="Compact"/>
              <w:jc w:val="left"/>
            </w:pPr>
            <w:r>
              <w:t xml:space="preserve">9641 (11.3)</w:t>
            </w:r>
          </w:p>
        </w:tc>
        <w:tc>
          <w:p>
            <w:pPr>
              <w:pStyle w:val="Compact"/>
              <w:jc w:val="left"/>
            </w:pPr>
            <w:r>
              <w:t xml:space="preserve">187 (15.4)</w:t>
            </w:r>
          </w:p>
        </w:tc>
        <w:tc>
          <w:p>
            <w:pPr>
              <w:pStyle w:val="Compact"/>
              <w:jc w:val="left"/>
            </w:pPr>
            <w:r>
              <w:t xml:space="preserve">9584 (11.2)</w:t>
            </w:r>
          </w:p>
        </w:tc>
        <w:tc>
          <w:p>
            <w:pPr>
              <w:pStyle w:val="Compact"/>
              <w:jc w:val="left"/>
            </w:pPr>
            <w:r>
              <w:t xml:space="preserve">9771 (11.3)</w:t>
            </w:r>
          </w:p>
        </w:tc>
      </w:tr>
      <w:tr>
        <w:tc>
          <w:p>
            <w:pPr>
              <w:pStyle w:val="Compact"/>
              <w:jc w:val="left"/>
            </w:pPr>
            <w:r>
              <w:t xml:space="preserve">Malnutrition (%)</w:t>
            </w:r>
          </w:p>
        </w:tc>
        <w:tc>
          <w:p/>
        </w:tc>
        <w:tc>
          <w:p>
            <w:pPr>
              <w:pStyle w:val="Compact"/>
              <w:jc w:val="left"/>
            </w:pPr>
            <w:r>
              <w:t xml:space="preserve">0</w:t>
            </w:r>
          </w:p>
        </w:tc>
        <w:tc>
          <w:p>
            <w:pPr>
              <w:pStyle w:val="Compact"/>
              <w:jc w:val="left"/>
            </w:pPr>
            <w:r>
              <w:t xml:space="preserve">5 ( 0.0)</w:t>
            </w:r>
          </w:p>
        </w:tc>
        <w:tc>
          <w:p>
            <w:pPr>
              <w:pStyle w:val="Compact"/>
              <w:jc w:val="left"/>
            </w:pPr>
            <w:r>
              <w:t xml:space="preserve">0</w:t>
            </w:r>
          </w:p>
        </w:tc>
        <w:tc>
          <w:p>
            <w:pPr>
              <w:pStyle w:val="Compact"/>
              <w:jc w:val="left"/>
            </w:pPr>
            <w:r>
              <w:t xml:space="preserve">5 ( 0.0)</w:t>
            </w:r>
          </w:p>
        </w:tc>
        <w:tc>
          <w:p>
            <w:pPr>
              <w:pStyle w:val="Compact"/>
              <w:jc w:val="left"/>
            </w:pPr>
            <w:r>
              <w:t xml:space="preserve">5 ( 0.0)</w:t>
            </w:r>
          </w:p>
        </w:tc>
      </w:tr>
      <w:tr>
        <w:tc>
          <w:p>
            <w:pPr>
              <w:pStyle w:val="Compact"/>
              <w:jc w:val="left"/>
            </w:pPr>
            <w:r>
              <w:t xml:space="preserve">Osteoporosis pagets (%)</w:t>
            </w:r>
          </w:p>
        </w:tc>
        <w:tc>
          <w:p/>
        </w:tc>
        <w:tc>
          <w:p>
            <w:pPr>
              <w:pStyle w:val="Compact"/>
              <w:jc w:val="left"/>
            </w:pPr>
            <w:r>
              <w:t xml:space="preserve">65 ( 7.3)</w:t>
            </w:r>
          </w:p>
        </w:tc>
        <w:tc>
          <w:p>
            <w:pPr>
              <w:pStyle w:val="Compact"/>
              <w:jc w:val="left"/>
            </w:pPr>
            <w:r>
              <w:t xml:space="preserve">3749 ( 4.4)</w:t>
            </w:r>
          </w:p>
        </w:tc>
        <w:tc>
          <w:p>
            <w:pPr>
              <w:pStyle w:val="Compact"/>
              <w:jc w:val="left"/>
            </w:pPr>
            <w:r>
              <w:t xml:space="preserve">72 ( 5.9)</w:t>
            </w:r>
          </w:p>
        </w:tc>
        <w:tc>
          <w:p>
            <w:pPr>
              <w:pStyle w:val="Compact"/>
              <w:jc w:val="left"/>
            </w:pPr>
            <w:r>
              <w:t xml:space="preserve">3742 ( 4.4)</w:t>
            </w:r>
          </w:p>
        </w:tc>
        <w:tc>
          <w:p>
            <w:pPr>
              <w:pStyle w:val="Compact"/>
              <w:jc w:val="left"/>
            </w:pPr>
            <w:r>
              <w:t xml:space="preserve">3814 ( 4.4)</w:t>
            </w:r>
          </w:p>
        </w:tc>
      </w:tr>
      <w:tr>
        <w:tc>
          <w:p>
            <w:pPr>
              <w:pStyle w:val="Compact"/>
              <w:jc w:val="left"/>
            </w:pPr>
            <w:r>
              <w:t xml:space="preserve">Pain (%)</w:t>
            </w:r>
          </w:p>
        </w:tc>
        <w:tc>
          <w:p/>
        </w:tc>
        <w:tc>
          <w:p>
            <w:pPr>
              <w:pStyle w:val="Compact"/>
              <w:jc w:val="left"/>
            </w:pPr>
            <w:r>
              <w:t xml:space="preserve">489 (54.6)</w:t>
            </w:r>
          </w:p>
        </w:tc>
        <w:tc>
          <w:p>
            <w:pPr>
              <w:pStyle w:val="Compact"/>
              <w:jc w:val="left"/>
            </w:pPr>
            <w:r>
              <w:t xml:space="preserve">39891 (46.6)</w:t>
            </w:r>
          </w:p>
        </w:tc>
        <w:tc>
          <w:p>
            <w:pPr>
              <w:pStyle w:val="Compact"/>
              <w:jc w:val="left"/>
            </w:pPr>
            <w:r>
              <w:t xml:space="preserve">683 (56.1)</w:t>
            </w:r>
          </w:p>
        </w:tc>
        <w:tc>
          <w:p>
            <w:pPr>
              <w:pStyle w:val="Compact"/>
              <w:jc w:val="left"/>
            </w:pPr>
            <w:r>
              <w:t xml:space="preserve">39697 (46.6)</w:t>
            </w:r>
          </w:p>
        </w:tc>
        <w:tc>
          <w:p>
            <w:pPr>
              <w:pStyle w:val="Compact"/>
              <w:jc w:val="left"/>
            </w:pPr>
            <w:r>
              <w:t xml:space="preserve">40380 (46.7)</w:t>
            </w:r>
          </w:p>
        </w:tc>
      </w:tr>
      <w:tr>
        <w:tc>
          <w:p>
            <w:pPr>
              <w:pStyle w:val="Compact"/>
              <w:jc w:val="left"/>
            </w:pPr>
            <w:r>
              <w:t xml:space="preserve">Pancreatiinsufficiency (%)</w:t>
            </w:r>
          </w:p>
        </w:tc>
        <w:tc>
          <w:p/>
        </w:tc>
        <w:tc>
          <w:p>
            <w:pPr>
              <w:pStyle w:val="Compact"/>
              <w:jc w:val="left"/>
            </w:pPr>
            <w:r>
              <w:t xml:space="preserve">3 ( 0.3)</w:t>
            </w:r>
          </w:p>
        </w:tc>
        <w:tc>
          <w:p>
            <w:pPr>
              <w:pStyle w:val="Compact"/>
              <w:jc w:val="left"/>
            </w:pPr>
            <w:r>
              <w:t xml:space="preserve">222 ( 0.3)</w:t>
            </w:r>
          </w:p>
        </w:tc>
        <w:tc>
          <w:p>
            <w:pPr>
              <w:pStyle w:val="Compact"/>
              <w:jc w:val="left"/>
            </w:pPr>
            <w:r>
              <w:t xml:space="preserve">4 ( 0.3)</w:t>
            </w:r>
          </w:p>
        </w:tc>
        <w:tc>
          <w:p>
            <w:pPr>
              <w:pStyle w:val="Compact"/>
              <w:jc w:val="left"/>
            </w:pPr>
            <w:r>
              <w:t xml:space="preserve">221 ( 0.3)</w:t>
            </w:r>
          </w:p>
        </w:tc>
        <w:tc>
          <w:p>
            <w:pPr>
              <w:pStyle w:val="Compact"/>
              <w:jc w:val="left"/>
            </w:pPr>
            <w:r>
              <w:t xml:space="preserve">225 ( 0.3)</w:t>
            </w:r>
          </w:p>
        </w:tc>
      </w:tr>
      <w:tr>
        <w:tc>
          <w:p>
            <w:pPr>
              <w:pStyle w:val="Compact"/>
              <w:jc w:val="left"/>
            </w:pPr>
            <w:r>
              <w:t xml:space="preserve">Peptiulcer (%)</w:t>
            </w:r>
          </w:p>
        </w:tc>
        <w:tc>
          <w:p/>
        </w:tc>
        <w:tc>
          <w:p>
            <w:pPr>
              <w:pStyle w:val="Compact"/>
              <w:jc w:val="left"/>
            </w:pPr>
            <w:r>
              <w:t xml:space="preserve">230 (25.7)</w:t>
            </w:r>
          </w:p>
        </w:tc>
        <w:tc>
          <w:p>
            <w:pPr>
              <w:pStyle w:val="Compact"/>
              <w:jc w:val="left"/>
            </w:pPr>
            <w:r>
              <w:t xml:space="preserve">20159 (23.6)</w:t>
            </w:r>
          </w:p>
        </w:tc>
        <w:tc>
          <w:p>
            <w:pPr>
              <w:pStyle w:val="Compact"/>
              <w:jc w:val="left"/>
            </w:pPr>
            <w:r>
              <w:t xml:space="preserve">310 (25.5)</w:t>
            </w:r>
          </w:p>
        </w:tc>
        <w:tc>
          <w:p>
            <w:pPr>
              <w:pStyle w:val="Compact"/>
              <w:jc w:val="left"/>
            </w:pPr>
            <w:r>
              <w:t xml:space="preserve">20079 (23.6)</w:t>
            </w:r>
          </w:p>
        </w:tc>
        <w:tc>
          <w:p>
            <w:pPr>
              <w:pStyle w:val="Compact"/>
              <w:jc w:val="left"/>
            </w:pPr>
            <w:r>
              <w:t xml:space="preserve">20389 (23.6)</w:t>
            </w:r>
          </w:p>
        </w:tc>
      </w:tr>
      <w:tr>
        <w:tc>
          <w:p>
            <w:pPr>
              <w:pStyle w:val="Compact"/>
              <w:jc w:val="left"/>
            </w:pPr>
            <w:r>
              <w:t xml:space="preserve">Psoriasis (%)</w:t>
            </w:r>
          </w:p>
        </w:tc>
        <w:tc>
          <w:p/>
        </w:tc>
        <w:tc>
          <w:p>
            <w:pPr>
              <w:pStyle w:val="Compact"/>
              <w:jc w:val="left"/>
            </w:pPr>
            <w:r>
              <w:t xml:space="preserve">17 ( 1.9)</w:t>
            </w:r>
          </w:p>
        </w:tc>
        <w:tc>
          <w:p>
            <w:pPr>
              <w:pStyle w:val="Compact"/>
              <w:jc w:val="left"/>
            </w:pPr>
            <w:r>
              <w:t xml:space="preserve">681 ( 0.8)</w:t>
            </w:r>
          </w:p>
        </w:tc>
        <w:tc>
          <w:p>
            <w:pPr>
              <w:pStyle w:val="Compact"/>
              <w:jc w:val="left"/>
            </w:pPr>
            <w:r>
              <w:t xml:space="preserve">26 ( 2.1)</w:t>
            </w:r>
          </w:p>
        </w:tc>
        <w:tc>
          <w:p>
            <w:pPr>
              <w:pStyle w:val="Compact"/>
              <w:jc w:val="left"/>
            </w:pPr>
            <w:r>
              <w:t xml:space="preserve">672 ( 0.8)</w:t>
            </w:r>
          </w:p>
        </w:tc>
        <w:tc>
          <w:p>
            <w:pPr>
              <w:pStyle w:val="Compact"/>
              <w:jc w:val="left"/>
            </w:pPr>
            <w:r>
              <w:t xml:space="preserve">698 ( 0.8)</w:t>
            </w:r>
          </w:p>
        </w:tc>
      </w:tr>
      <w:tr>
        <w:tc>
          <w:p>
            <w:pPr>
              <w:pStyle w:val="Compact"/>
              <w:jc w:val="left"/>
            </w:pPr>
            <w:r>
              <w:t xml:space="preserve">Rheumatidisease (%)</w:t>
            </w:r>
          </w:p>
        </w:tc>
        <w:tc>
          <w:p/>
        </w:tc>
        <w:tc>
          <w:p>
            <w:pPr>
              <w:pStyle w:val="Compact"/>
              <w:jc w:val="left"/>
            </w:pPr>
            <w:r>
              <w:t xml:space="preserve">58 ( 6.5)</w:t>
            </w:r>
          </w:p>
        </w:tc>
        <w:tc>
          <w:p>
            <w:pPr>
              <w:pStyle w:val="Compact"/>
              <w:jc w:val="left"/>
            </w:pPr>
            <w:r>
              <w:t xml:space="preserve">3711 ( 4.3)</w:t>
            </w:r>
          </w:p>
        </w:tc>
        <w:tc>
          <w:p>
            <w:pPr>
              <w:pStyle w:val="Compact"/>
              <w:jc w:val="left"/>
            </w:pPr>
            <w:r>
              <w:t xml:space="preserve">85 ( 7.0)</w:t>
            </w:r>
          </w:p>
        </w:tc>
        <w:tc>
          <w:p>
            <w:pPr>
              <w:pStyle w:val="Compact"/>
              <w:jc w:val="left"/>
            </w:pPr>
            <w:r>
              <w:t xml:space="preserve">3684 ( 4.3)</w:t>
            </w:r>
          </w:p>
        </w:tc>
        <w:tc>
          <w:p>
            <w:pPr>
              <w:pStyle w:val="Compact"/>
              <w:jc w:val="left"/>
            </w:pPr>
            <w:r>
              <w:t xml:space="preserve">3769 ( 4.4)</w:t>
            </w:r>
          </w:p>
        </w:tc>
      </w:tr>
      <w:tr>
        <w:tc>
          <w:p>
            <w:pPr>
              <w:pStyle w:val="Compact"/>
              <w:jc w:val="left"/>
            </w:pPr>
            <w:r>
              <w:t xml:space="preserve">Steroid responsive diseases (%)</w:t>
            </w:r>
          </w:p>
        </w:tc>
        <w:tc>
          <w:p/>
        </w:tc>
        <w:tc>
          <w:p>
            <w:pPr>
              <w:pStyle w:val="Compact"/>
              <w:jc w:val="left"/>
            </w:pPr>
            <w:r>
              <w:t xml:space="preserve">106 (11.8)</w:t>
            </w:r>
          </w:p>
        </w:tc>
        <w:tc>
          <w:p>
            <w:pPr>
              <w:pStyle w:val="Compact"/>
              <w:jc w:val="left"/>
            </w:pPr>
            <w:r>
              <w:t xml:space="preserve">8454 ( 9.9)</w:t>
            </w:r>
          </w:p>
        </w:tc>
        <w:tc>
          <w:p>
            <w:pPr>
              <w:pStyle w:val="Compact"/>
              <w:jc w:val="left"/>
            </w:pPr>
            <w:r>
              <w:t xml:space="preserve">154 (12.7)</w:t>
            </w:r>
          </w:p>
        </w:tc>
        <w:tc>
          <w:p>
            <w:pPr>
              <w:pStyle w:val="Compact"/>
              <w:jc w:val="left"/>
            </w:pPr>
            <w:r>
              <w:t xml:space="preserve">8406 ( 9.9)</w:t>
            </w:r>
          </w:p>
        </w:tc>
        <w:tc>
          <w:p>
            <w:pPr>
              <w:pStyle w:val="Compact"/>
              <w:jc w:val="left"/>
            </w:pPr>
            <w:r>
              <w:t xml:space="preserve">8560 ( 9.9)</w:t>
            </w:r>
          </w:p>
        </w:tc>
      </w:tr>
      <w:tr>
        <w:tc>
          <w:p>
            <w:pPr>
              <w:pStyle w:val="Compact"/>
              <w:jc w:val="left"/>
            </w:pPr>
            <w:r>
              <w:t xml:space="preserve">Transplant (%)</w:t>
            </w:r>
          </w:p>
        </w:tc>
        <w:tc>
          <w:p/>
        </w:tc>
        <w:tc>
          <w:p>
            <w:pPr>
              <w:pStyle w:val="Compact"/>
              <w:jc w:val="left"/>
            </w:pPr>
            <w:r>
              <w:t xml:space="preserve">3 ( 0.3)</w:t>
            </w:r>
          </w:p>
        </w:tc>
        <w:tc>
          <w:p>
            <w:pPr>
              <w:pStyle w:val="Compact"/>
              <w:jc w:val="left"/>
            </w:pPr>
            <w:r>
              <w:t xml:space="preserve">238 ( 0.3)</w:t>
            </w:r>
          </w:p>
        </w:tc>
        <w:tc>
          <w:p>
            <w:pPr>
              <w:pStyle w:val="Compact"/>
              <w:jc w:val="left"/>
            </w:pPr>
            <w:r>
              <w:t xml:space="preserve">3 ( 0.2)</w:t>
            </w:r>
          </w:p>
        </w:tc>
        <w:tc>
          <w:p>
            <w:pPr>
              <w:pStyle w:val="Compact"/>
              <w:jc w:val="left"/>
            </w:pPr>
            <w:r>
              <w:t xml:space="preserve">238 ( 0.3)</w:t>
            </w:r>
          </w:p>
        </w:tc>
        <w:tc>
          <w:p>
            <w:pPr>
              <w:pStyle w:val="Compact"/>
              <w:jc w:val="left"/>
            </w:pPr>
            <w:r>
              <w:t xml:space="preserve">241 ( 0.3)</w:t>
            </w:r>
          </w:p>
        </w:tc>
      </w:tr>
      <w:tr>
        <w:tc>
          <w:p>
            <w:pPr>
              <w:pStyle w:val="Compact"/>
              <w:jc w:val="left"/>
            </w:pPr>
            <w:r>
              <w:t xml:space="preserve">Vascular disease (%)</w:t>
            </w:r>
          </w:p>
        </w:tc>
        <w:tc>
          <w:p/>
        </w:tc>
        <w:tc>
          <w:p>
            <w:pPr>
              <w:pStyle w:val="Compact"/>
              <w:jc w:val="left"/>
            </w:pPr>
            <w:r>
              <w:t xml:space="preserve">378 (42.2)</w:t>
            </w:r>
          </w:p>
        </w:tc>
        <w:tc>
          <w:p>
            <w:pPr>
              <w:pStyle w:val="Compact"/>
              <w:jc w:val="left"/>
            </w:pPr>
            <w:r>
              <w:t xml:space="preserve">26828 (31.4)</w:t>
            </w:r>
          </w:p>
        </w:tc>
        <w:tc>
          <w:p>
            <w:pPr>
              <w:pStyle w:val="Compact"/>
              <w:jc w:val="left"/>
            </w:pPr>
            <w:r>
              <w:t xml:space="preserve">495 (40.7)</w:t>
            </w:r>
          </w:p>
        </w:tc>
        <w:tc>
          <w:p>
            <w:pPr>
              <w:pStyle w:val="Compact"/>
              <w:jc w:val="left"/>
            </w:pPr>
            <w:r>
              <w:t xml:space="preserve">26711 (31.3)</w:t>
            </w:r>
          </w:p>
        </w:tc>
        <w:tc>
          <w:p>
            <w:pPr>
              <w:pStyle w:val="Compact"/>
              <w:jc w:val="left"/>
            </w:pPr>
            <w:r>
              <w:t xml:space="preserve">27206 (31.5)</w:t>
            </w:r>
          </w:p>
        </w:tc>
      </w:tr>
      <w:tr>
        <w:tc>
          <w:p>
            <w:pPr>
              <w:pStyle w:val="Compact"/>
              <w:jc w:val="left"/>
            </w:pPr>
            <w:r>
              <w:t xml:space="preserve">Weight loss (%)</w:t>
            </w:r>
          </w:p>
        </w:tc>
        <w:tc>
          <w:p/>
        </w:tc>
        <w:tc>
          <w:p>
            <w:pPr>
              <w:pStyle w:val="Compact"/>
              <w:jc w:val="left"/>
            </w:pPr>
            <w:r>
              <w:t xml:space="preserve">1 ( 0.1)</w:t>
            </w:r>
          </w:p>
        </w:tc>
        <w:tc>
          <w:p>
            <w:pPr>
              <w:pStyle w:val="Compact"/>
              <w:jc w:val="left"/>
            </w:pPr>
            <w:r>
              <w:t xml:space="preserve">52 ( 0.1)</w:t>
            </w:r>
          </w:p>
        </w:tc>
        <w:tc>
          <w:p>
            <w:pPr>
              <w:pStyle w:val="Compact"/>
              <w:jc w:val="left"/>
            </w:pPr>
            <w:r>
              <w:t xml:space="preserve">1 ( 0.1)</w:t>
            </w:r>
          </w:p>
        </w:tc>
        <w:tc>
          <w:p>
            <w:pPr>
              <w:pStyle w:val="Compact"/>
              <w:jc w:val="left"/>
            </w:pPr>
            <w:r>
              <w:t xml:space="preserve">52 ( 0.1)</w:t>
            </w:r>
          </w:p>
        </w:tc>
        <w:tc>
          <w:p>
            <w:pPr>
              <w:pStyle w:val="Compact"/>
              <w:jc w:val="left"/>
            </w:pPr>
            <w:r>
              <w:t xml:space="preserve">53 ( 0.1)</w:t>
            </w:r>
          </w:p>
        </w:tc>
      </w:tr>
    </w:tbl>
    <w:p>
      <w:pPr>
        <w:pStyle w:val="Heading5"/>
      </w:pPr>
      <w:bookmarkStart w:id="63" w:name="page-break-11"/>
      <w:r>
        <w:t xml:space="preserve">PAGE BREAK</w:t>
      </w:r>
      <w:bookmarkEnd w:id="63"/>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Psoriasis</w:t>
            </w:r>
          </w:p>
        </w:tc>
        <w:tc>
          <w:p>
            <w:pPr>
              <w:pStyle w:val="Compact"/>
              <w:jc w:val="right"/>
            </w:pPr>
            <w:r>
              <w:t xml:space="preserve">54</w:t>
            </w:r>
          </w:p>
        </w:tc>
        <w:tc>
          <w:p>
            <w:pPr>
              <w:pStyle w:val="Compact"/>
              <w:jc w:val="right"/>
            </w:pPr>
            <w:r>
              <w:t xml:space="preserve">100</w:t>
            </w:r>
          </w:p>
        </w:tc>
      </w:tr>
      <w:tr>
        <w:tc>
          <w:p>
            <w:pPr>
              <w:pStyle w:val="Compact"/>
              <w:jc w:val="left"/>
            </w:pPr>
            <w:r>
              <w:t xml:space="preserve">BMI: class 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46</w:t>
            </w:r>
          </w:p>
        </w:tc>
        <w:tc>
          <w:p>
            <w:pPr>
              <w:pStyle w:val="Compact"/>
              <w:jc w:val="right"/>
            </w:pPr>
            <w:r>
              <w:t xml:space="preserve">99</w:t>
            </w:r>
          </w:p>
        </w:tc>
      </w:tr>
      <w:tr>
        <w:tc>
          <w:p>
            <w:pPr>
              <w:pStyle w:val="Compact"/>
              <w:jc w:val="left"/>
            </w:pPr>
            <w:r>
              <w:t xml:space="preserve">Sex Male</w:t>
            </w:r>
          </w:p>
        </w:tc>
        <w:tc>
          <w:p/>
        </w:tc>
        <w:tc>
          <w:p>
            <w:pPr>
              <w:pStyle w:val="Compact"/>
              <w:jc w:val="right"/>
            </w:pPr>
            <w:r>
              <w:t xml:space="preserve">97</w:t>
            </w:r>
          </w:p>
        </w:tc>
      </w:tr>
      <w:tr>
        <w:tc>
          <w:p>
            <w:pPr>
              <w:pStyle w:val="Compact"/>
              <w:jc w:val="left"/>
            </w:pPr>
            <w:r>
              <w:t xml:space="preserve">AIDS/HIV hiv</w:t>
            </w:r>
          </w:p>
        </w:tc>
        <w:tc>
          <w:p/>
        </w:tc>
        <w:tc>
          <w:p>
            <w:pPr>
              <w:pStyle w:val="Compact"/>
              <w:jc w:val="right"/>
            </w:pPr>
            <w:r>
              <w:t xml:space="preserve">16</w:t>
            </w:r>
          </w:p>
        </w:tc>
      </w:tr>
      <w:tr>
        <w:tc>
          <w:p>
            <w:pPr>
              <w:pStyle w:val="Compact"/>
              <w:jc w:val="left"/>
            </w:pPr>
            <w:r>
              <w:t xml:space="preserve">Cns disease</w:t>
            </w:r>
          </w:p>
        </w:tc>
        <w:tc>
          <w:p/>
        </w:tc>
        <w:tc>
          <w:p>
            <w:pPr>
              <w:pStyle w:val="Compact"/>
              <w:jc w:val="right"/>
            </w:pPr>
            <w:r>
              <w:t xml:space="preserve">9</w:t>
            </w:r>
          </w:p>
        </w:tc>
      </w:tr>
      <w:tr>
        <w:tc>
          <w:p>
            <w:pPr>
              <w:pStyle w:val="Compact"/>
              <w:jc w:val="left"/>
            </w:pPr>
            <w:r>
              <w:t xml:space="preserve">Diagnosis: Inflammatory joint disease</w:t>
            </w:r>
          </w:p>
        </w:tc>
        <w:tc>
          <w:p/>
        </w:tc>
        <w:tc>
          <w:p>
            <w:pPr>
              <w:pStyle w:val="Compact"/>
              <w:jc w:val="right"/>
            </w:pPr>
            <w:r>
              <w:t xml:space="preserve">9</w:t>
            </w:r>
          </w:p>
        </w:tc>
      </w:tr>
      <w:tr>
        <w:tc>
          <w:p>
            <w:pPr>
              <w:pStyle w:val="Compact"/>
              <w:jc w:val="left"/>
            </w:pPr>
            <w:r>
              <w:t xml:space="preserve">Diagnosis: Avascular necrosis of the femoral head AVN</w:t>
            </w:r>
          </w:p>
        </w:tc>
        <w:tc>
          <w:p/>
        </w:tc>
        <w:tc>
          <w:p>
            <w:pPr>
              <w:pStyle w:val="Compact"/>
              <w:jc w:val="right"/>
            </w:pPr>
            <w:r>
              <w:t xml:space="preserve">1</w:t>
            </w:r>
          </w:p>
        </w:tc>
      </w:tr>
    </w:tbl>
    <w:p>
      <w:pPr>
        <w:pStyle w:val="Heading5"/>
      </w:pPr>
      <w:bookmarkStart w:id="64" w:name="page-break-12"/>
      <w:r>
        <w:t xml:space="preserve">PAGE BREAK</w:t>
      </w:r>
      <w:bookmarkEnd w:id="64"/>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-5.22</w:t>
            </w:r>
          </w:p>
        </w:tc>
        <w:tc>
          <w:p/>
        </w:tc>
        <w:tc>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0.50</w:t>
            </w:r>
          </w:p>
        </w:tc>
        <w:tc>
          <w:p>
            <w:pPr>
              <w:pStyle w:val="Compact"/>
              <w:jc w:val="left"/>
            </w:pPr>
            <w:r>
              <w:t xml:space="preserve">1.64 (1.37-1.97)</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0.91</w:t>
            </w:r>
          </w:p>
        </w:tc>
        <w:tc>
          <w:p>
            <w:pPr>
              <w:pStyle w:val="Compact"/>
              <w:jc w:val="left"/>
            </w:pPr>
            <w:r>
              <w:t xml:space="preserve">2.48 (2.04-3.03)</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1.54</w:t>
            </w:r>
          </w:p>
        </w:tc>
        <w:tc>
          <w:p>
            <w:pPr>
              <w:pStyle w:val="Compact"/>
              <w:jc w:val="left"/>
            </w:pPr>
            <w:r>
              <w:t xml:space="preserve">4.67 (3.71-5.87)</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0.15</w:t>
            </w:r>
          </w:p>
        </w:tc>
        <w:tc>
          <w:p>
            <w:pPr>
              <w:pStyle w:val="Compact"/>
              <w:jc w:val="left"/>
            </w:pPr>
            <w:r>
              <w:t xml:space="preserve">1.17 (0.72-1.77)</w:t>
            </w:r>
          </w:p>
        </w:tc>
        <w:tc>
          <w:p>
            <w:pPr>
              <w:pStyle w:val="Compact"/>
              <w:jc w:val="left"/>
            </w:pPr>
            <w:r>
              <w:t xml:space="preserve">0.50</w:t>
            </w:r>
          </w:p>
        </w:tc>
      </w:tr>
      <w:tr>
        <w:tc>
          <w:p/>
        </w:tc>
        <w:tc>
          <w:p/>
        </w:tc>
        <w:tc>
          <w:p>
            <w:pPr>
              <w:pStyle w:val="Compact"/>
              <w:jc w:val="left"/>
            </w:pPr>
            <w:r>
              <w:t xml:space="preserve">Inflammatory joint disease</w:t>
            </w:r>
          </w:p>
        </w:tc>
        <w:tc>
          <w:p>
            <w:pPr>
              <w:pStyle w:val="Compact"/>
              <w:jc w:val="right"/>
            </w:pPr>
            <w:r>
              <w:t xml:space="preserve">0.44</w:t>
            </w:r>
          </w:p>
        </w:tc>
        <w:tc>
          <w:p>
            <w:pPr>
              <w:pStyle w:val="Compact"/>
              <w:jc w:val="left"/>
            </w:pPr>
            <w:r>
              <w:t xml:space="preserve">1.56 (0.92-2.45)</w:t>
            </w:r>
          </w:p>
        </w:tc>
        <w:tc>
          <w:p>
            <w:pPr>
              <w:pStyle w:val="Compact"/>
              <w:jc w:val="left"/>
            </w:pPr>
            <w:r>
              <w:t xml:space="preserve">0.07</w:t>
            </w:r>
          </w:p>
        </w:tc>
      </w:tr>
      <w:tr>
        <w:tc>
          <w:p/>
        </w:tc>
        <w:tc>
          <w:p/>
        </w:tc>
        <w:tc>
          <w:p>
            <w:pPr>
              <w:pStyle w:val="Compact"/>
              <w:jc w:val="left"/>
            </w:pPr>
            <w:r>
              <w:t xml:space="preserve">Avascular necrosis of the femoral head (AVN)</w:t>
            </w:r>
          </w:p>
        </w:tc>
        <w:tc>
          <w:p>
            <w:pPr>
              <w:pStyle w:val="Compact"/>
              <w:jc w:val="right"/>
            </w:pPr>
            <w:r>
              <w:t xml:space="preserve">0.58</w:t>
            </w:r>
          </w:p>
        </w:tc>
        <w:tc>
          <w:p>
            <w:pPr>
              <w:pStyle w:val="Compact"/>
              <w:jc w:val="left"/>
            </w:pPr>
            <w:r>
              <w:t xml:space="preserve">1.78 (1.19-2.54)</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0.86</w:t>
            </w:r>
          </w:p>
        </w:tc>
        <w:tc>
          <w:p>
            <w:pPr>
              <w:pStyle w:val="Compact"/>
              <w:jc w:val="left"/>
            </w:pPr>
            <w:r>
              <w:t xml:space="preserve">2.37 (1.90-2.93)</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0.78</w:t>
            </w:r>
          </w:p>
        </w:tc>
        <w:tc>
          <w:p>
            <w:pPr>
              <w:pStyle w:val="Compact"/>
              <w:jc w:val="left"/>
            </w:pPr>
            <w:r>
              <w:t xml:space="preserve">2.18 (1.28-3.43)</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-5.05</w:t>
            </w:r>
          </w:p>
        </w:tc>
        <w:tc>
          <w:p/>
        </w:tc>
        <w:tc>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0.36</w:t>
            </w:r>
          </w:p>
        </w:tc>
        <w:tc>
          <w:p>
            <w:pPr>
              <w:pStyle w:val="Compact"/>
              <w:jc w:val="left"/>
            </w:pPr>
            <w:r>
              <w:t xml:space="preserve">1.43 (1.22-1.67)</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0.80</w:t>
            </w:r>
          </w:p>
        </w:tc>
        <w:tc>
          <w:p>
            <w:pPr>
              <w:pStyle w:val="Compact"/>
              <w:jc w:val="left"/>
            </w:pPr>
            <w:r>
              <w:t xml:space="preserve">2.24 (1.89-2.65)</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1.38</w:t>
            </w:r>
          </w:p>
        </w:tc>
        <w:tc>
          <w:p>
            <w:pPr>
              <w:pStyle w:val="Compact"/>
              <w:jc w:val="left"/>
            </w:pPr>
            <w:r>
              <w:t xml:space="preserve">3.98 (3.25-4.85)</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0.09</w:t>
            </w:r>
          </w:p>
        </w:tc>
        <w:tc>
          <w:p>
            <w:pPr>
              <w:pStyle w:val="Compact"/>
              <w:jc w:val="left"/>
            </w:pPr>
            <w:r>
              <w:t xml:space="preserve">1.09 (0.71-1.59)</w:t>
            </w:r>
          </w:p>
        </w:tc>
        <w:tc>
          <w:p>
            <w:pPr>
              <w:pStyle w:val="Compact"/>
              <w:jc w:val="left"/>
            </w:pPr>
            <w:r>
              <w:t xml:space="preserve">0.67</w:t>
            </w:r>
          </w:p>
        </w:tc>
      </w:tr>
      <w:tr>
        <w:tc>
          <w:p/>
        </w:tc>
        <w:tc>
          <w:p/>
        </w:tc>
        <w:tc>
          <w:p>
            <w:pPr>
              <w:pStyle w:val="Compact"/>
              <w:jc w:val="left"/>
            </w:pPr>
            <w:r>
              <w:t xml:space="preserve">Avascular necrosis of the femoral head (AVN)</w:t>
            </w:r>
          </w:p>
        </w:tc>
        <w:tc>
          <w:p>
            <w:pPr>
              <w:pStyle w:val="Compact"/>
              <w:jc w:val="right"/>
            </w:pPr>
            <w:r>
              <w:t xml:space="preserve">0.65</w:t>
            </w:r>
          </w:p>
        </w:tc>
        <w:tc>
          <w:p>
            <w:pPr>
              <w:pStyle w:val="Compact"/>
              <w:jc w:val="left"/>
            </w:pPr>
            <w:r>
              <w:t xml:space="preserve">1.91 (1.38-2.58)</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0.78</w:t>
            </w:r>
          </w:p>
        </w:tc>
        <w:tc>
          <w:p>
            <w:pPr>
              <w:pStyle w:val="Compact"/>
              <w:jc w:val="left"/>
            </w:pPr>
            <w:r>
              <w:t xml:space="preserve">2.18 (1.48-3.11)</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0.79</w:t>
            </w:r>
          </w:p>
        </w:tc>
        <w:tc>
          <w:p>
            <w:pPr>
              <w:pStyle w:val="Compact"/>
              <w:jc w:val="left"/>
            </w:pPr>
            <w:r>
              <w:t xml:space="preserve">2.20 (1.81-2.65)</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0.86</w:t>
            </w:r>
          </w:p>
        </w:tc>
        <w:tc>
          <w:p>
            <w:pPr>
              <w:pStyle w:val="Compact"/>
              <w:jc w:val="left"/>
            </w:pPr>
            <w:r>
              <w:t xml:space="preserve">2.35 (1.54-3.44)</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0.48</w:t>
            </w:r>
          </w:p>
        </w:tc>
        <w:tc>
          <w:p>
            <w:pPr>
              <w:pStyle w:val="Compact"/>
              <w:jc w:val="left"/>
            </w:pPr>
            <w:r>
              <w:t xml:space="preserve">1.62 (1.45-1.82)</w:t>
            </w:r>
          </w:p>
        </w:tc>
        <w:tc>
          <w:p>
            <w:pPr>
              <w:pStyle w:val="Compact"/>
              <w:jc w:val="left"/>
            </w:pPr>
            <w:r>
              <w:t xml:space="preserve">&lt;0.01</w:t>
            </w:r>
          </w:p>
        </w:tc>
      </w:tr>
    </w:tbl>
    <w:p>
      <w:pPr>
        <w:pStyle w:val="Heading5"/>
      </w:pPr>
      <w:bookmarkStart w:id="65" w:name="page-break-13"/>
      <w:r>
        <w:t xml:space="preserve">PAGE BREAK</w:t>
      </w:r>
      <w:bookmarkEnd w:id="65"/>
    </w:p>
    <w:p>
      <w:pPr>
        <w:pStyle w:val="Heading1"/>
      </w:pPr>
      <w:bookmarkStart w:id="66" w:name="bibliography"/>
      <w:r>
        <w:t xml:space="preserve">Bibliography</w:t>
      </w:r>
      <w:bookmarkEnd w:id="66"/>
    </w:p>
    <w:bookmarkStart w:id="122" w:name="refs"/>
    <w:bookmarkStart w:id="67"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7"/>
    <w:bookmarkStart w:id="68"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8"/>
    <w:bookmarkStart w:id="69"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69"/>
    <w:bookmarkStart w:id="70"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0"/>
    <w:bookmarkStart w:id="71"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1"/>
    <w:bookmarkStart w:id="72"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2"/>
    <w:bookmarkStart w:id="73"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3"/>
    <w:bookmarkStart w:id="74"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4"/>
    <w:bookmarkStart w:id="75"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5"/>
    <w:bookmarkStart w:id="76"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6"/>
    <w:bookmarkStart w:id="77"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7"/>
    <w:bookmarkStart w:id="78"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8"/>
    <w:bookmarkStart w:id="79"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9"/>
    <w:bookmarkStart w:id="80"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0"/>
    <w:bookmarkStart w:id="81"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1"/>
    <w:bookmarkStart w:id="82"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2"/>
    <w:bookmarkStart w:id="83"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3"/>
    <w:bookmarkStart w:id="85"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4">
        <w:r>
          <w:rPr>
            <w:rStyle w:val="Hyperlink"/>
          </w:rPr>
          <w:t xml:space="preserve">10.1136/bmjopen-2017-021122</w:t>
        </w:r>
      </w:hyperlink>
      <w:r>
        <w:t xml:space="preserve">.</w:t>
      </w:r>
    </w:p>
    <w:bookmarkEnd w:id="85"/>
    <w:bookmarkStart w:id="86"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6"/>
    <w:bookmarkStart w:id="87"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7"/>
    <w:bookmarkStart w:id="88"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8"/>
    <w:bookmarkStart w:id="89"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89"/>
    <w:bookmarkStart w:id="90"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0"/>
    <w:bookmarkStart w:id="91"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1"/>
    <w:bookmarkStart w:id="93" w:name="ref-Karrholm2018"/>
    <w:p>
      <w:pPr>
        <w:pStyle w:val="Bibliography"/>
      </w:pPr>
      <w:r>
        <w:t xml:space="preserve">25 Kärrholm J, Mohaddes M, Odin D, Vinblad J, Rogmark C, Rolfson O. Svenska höftprotesregistret årsrapport 2017. 2018</w:t>
      </w:r>
      <w:r>
        <w:t xml:space="preserve"> </w:t>
      </w:r>
      <w:hyperlink r:id="rId92">
        <w:r>
          <w:rPr>
            <w:rStyle w:val="Hyperlink"/>
          </w:rPr>
          <w:t xml:space="preserve">https://registercentrum.blob.core.windows.net/shpr/r/-rsrapport-2016-SJirXXUsb.pdf</w:t>
        </w:r>
      </w:hyperlink>
      <w:r>
        <w:t xml:space="preserve">.</w:t>
      </w:r>
    </w:p>
    <w:bookmarkEnd w:id="93"/>
    <w:bookmarkStart w:id="94"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4"/>
    <w:bookmarkStart w:id="95"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95"/>
    <w:bookmarkStart w:id="96"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6"/>
    <w:bookmarkStart w:id="97"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7"/>
    <w:bookmarkStart w:id="99"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8">
        <w:r>
          <w:rPr>
            <w:rStyle w:val="Hyperlink"/>
          </w:rPr>
          <w:t xml:space="preserve">10.5705/ss.202017.0139</w:t>
        </w:r>
      </w:hyperlink>
      <w:r>
        <w:t xml:space="preserve">.</w:t>
      </w:r>
    </w:p>
    <w:bookmarkEnd w:id="99"/>
    <w:bookmarkStart w:id="100"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0"/>
    <w:bookmarkStart w:id="101"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1"/>
    <w:bookmarkStart w:id="102"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2"/>
    <w:bookmarkStart w:id="103"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3"/>
    <w:bookmarkStart w:id="104"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4"/>
    <w:bookmarkStart w:id="105"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5"/>
    <w:bookmarkStart w:id="107"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6">
        <w:r>
          <w:rPr>
            <w:rStyle w:val="Hyperlink"/>
          </w:rPr>
          <w:t xml:space="preserve">10.2106/JBJS.16.01435</w:t>
        </w:r>
      </w:hyperlink>
      <w:r>
        <w:t xml:space="preserve">.</w:t>
      </w:r>
    </w:p>
    <w:bookmarkEnd w:id="107"/>
    <w:bookmarkStart w:id="108"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8"/>
    <w:bookmarkStart w:id="109"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09"/>
    <w:bookmarkStart w:id="110"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10"/>
    <w:bookmarkStart w:id="111"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1"/>
    <w:bookmarkStart w:id="112" w:name="ref-Poultsides2013"/>
    <w:p>
      <w:pPr>
        <w:pStyle w:val="Bibliography"/>
      </w:pPr>
      <w:r>
        <w:t xml:space="preserve">42 Poultsides LA, Ma Y, Della Valle AG, Chiu Y-L, Sculco TP, Memtsoudis SG. In-Hospital Surgical Site Infections after Primary Hip and Knee Arthroplasty —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2"/>
    <w:bookmarkStart w:id="113"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3"/>
    <w:bookmarkStart w:id="114"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4"/>
    <w:bookmarkStart w:id="115"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5"/>
    <w:bookmarkStart w:id="116"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6"/>
    <w:bookmarkStart w:id="117"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7"/>
    <w:bookmarkStart w:id="118"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 α-blockers: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8"/>
    <w:bookmarkStart w:id="119"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19"/>
    <w:bookmarkStart w:id="120"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20"/>
    <w:bookmarkStart w:id="121"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1"/>
    <w:bookmarkEnd w:id="122"/>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84" Target="https://doi.org/10.1136/bmjopen-2017-021122" TargetMode="External" /><Relationship Type="http://schemas.openxmlformats.org/officeDocument/2006/relationships/hyperlink" Id="rId106" Target="https://doi.org/10.2106/JBJS.16.01435" TargetMode="External" /><Relationship Type="http://schemas.openxmlformats.org/officeDocument/2006/relationships/hyperlink" Id="rId98" Target="https://doi.org/10.5705/ss.202017.0139" TargetMode="External" /><Relationship Type="http://schemas.openxmlformats.org/officeDocument/2006/relationships/hyperlink" Id="rId92" Target="https://registercentrum.blob.core.windows.net/shpr/r/-rsrapport-2016-SJirXXUsb.pdf"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136/bmjopen-2017-021122" TargetMode="External" /><Relationship Type="http://schemas.openxmlformats.org/officeDocument/2006/relationships/hyperlink" Id="rId106" Target="https://doi.org/10.2106/JBJS.16.01435" TargetMode="External" /><Relationship Type="http://schemas.openxmlformats.org/officeDocument/2006/relationships/hyperlink" Id="rId98" Target="https://doi.org/10.5705/ss.202017.0139" TargetMode="External" /><Relationship Type="http://schemas.openxmlformats.org/officeDocument/2006/relationships/hyperlink" Id="rId92" Target="https://registercentrum.blob.core.windows.net/shpr/r/-rsrapport-2016-SJirXXUsb.pdf"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dcterms:created xsi:type="dcterms:W3CDTF">2020-05-22T10:52:39Z</dcterms:created>
  <dcterms:modified xsi:type="dcterms:W3CDTF">2020-05-22T10:52:39Z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the-lancet.csl</vt:lpwstr>
  </property>
  <property fmtid="{D5CDD505-2E9C-101B-9397-08002B2CF9AE}" pid="4" name="date">
    <vt:lpwstr>2020-05-22</vt:lpwstr>
  </property>
  <property fmtid="{D5CDD505-2E9C-101B-9397-08002B2CF9AE}" pid="5" name="output">
    <vt:lpwstr/>
  </property>
</Properties>
</file>