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ADB48" w14:textId="77777777" w:rsidR="00363BBD" w:rsidRPr="000B5813" w:rsidRDefault="00FD60FF">
      <w:pPr>
        <w:pStyle w:val="Rubrik"/>
        <w:rPr>
          <w:color w:val="000000"/>
        </w:rPr>
      </w:pPr>
      <w:r w:rsidRPr="000B5813">
        <w:rPr>
          <w:color w:val="000000"/>
        </w:rPr>
        <w:t>Prediction of Early Periprosthetic Joint Infection after Total Hip Arthroplasty</w:t>
      </w:r>
    </w:p>
    <w:p w14:paraId="42FB3A43" w14:textId="77777777" w:rsidR="00363BBD" w:rsidRPr="0093426D" w:rsidRDefault="00FD60FF">
      <w:pPr>
        <w:pStyle w:val="Author"/>
        <w:rPr>
          <w:color w:val="000000"/>
          <w:lang w:val="sv-SE"/>
        </w:rPr>
      </w:pPr>
      <w:r w:rsidRPr="0093426D">
        <w:rPr>
          <w:color w:val="000000"/>
          <w:lang w:val="sv-SE"/>
        </w:rPr>
        <w:t>Erik Bülow,</w:t>
      </w:r>
      <w:r w:rsidRPr="0093426D">
        <w:rPr>
          <w:color w:val="000000"/>
          <w:vertAlign w:val="superscript"/>
          <w:lang w:val="sv-SE"/>
        </w:rPr>
        <w:t>1,2</w:t>
      </w:r>
      <w:r w:rsidRPr="0093426D">
        <w:rPr>
          <w:color w:val="000000"/>
          <w:lang w:val="sv-SE"/>
        </w:rPr>
        <w:t xml:space="preserve"> Ute Hahn,</w:t>
      </w:r>
      <w:r w:rsidRPr="0093426D">
        <w:rPr>
          <w:color w:val="000000"/>
          <w:vertAlign w:val="superscript"/>
          <w:lang w:val="sv-SE"/>
        </w:rPr>
        <w:t>3,4</w:t>
      </w:r>
      <w:r w:rsidRPr="0093426D">
        <w:rPr>
          <w:color w:val="000000"/>
          <w:lang w:val="sv-SE"/>
        </w:rPr>
        <w:t xml:space="preserve"> Ina Trolle Andersen,</w:t>
      </w:r>
      <w:r w:rsidRPr="0093426D">
        <w:rPr>
          <w:color w:val="000000"/>
          <w:vertAlign w:val="superscript"/>
          <w:lang w:val="sv-SE"/>
        </w:rPr>
        <w:t>3</w:t>
      </w:r>
      <w:r w:rsidRPr="0093426D">
        <w:rPr>
          <w:color w:val="000000"/>
          <w:lang w:val="sv-SE"/>
        </w:rPr>
        <w:t xml:space="preserve"> Ola Rolfson,</w:t>
      </w:r>
      <w:r w:rsidRPr="0093426D">
        <w:rPr>
          <w:color w:val="000000"/>
          <w:vertAlign w:val="superscript"/>
          <w:lang w:val="sv-SE"/>
        </w:rPr>
        <w:t>1,2</w:t>
      </w:r>
      <w:r w:rsidRPr="0093426D">
        <w:rPr>
          <w:color w:val="000000"/>
          <w:lang w:val="sv-SE"/>
        </w:rPr>
        <w:t xml:space="preserve"> Alma B. Pedersen,</w:t>
      </w:r>
      <w:r w:rsidRPr="0093426D">
        <w:rPr>
          <w:color w:val="000000"/>
          <w:vertAlign w:val="superscript"/>
          <w:lang w:val="sv-SE"/>
        </w:rPr>
        <w:t>3,5</w:t>
      </w:r>
      <w:r w:rsidRPr="0093426D">
        <w:rPr>
          <w:color w:val="000000"/>
          <w:lang w:val="sv-SE"/>
        </w:rPr>
        <w:t xml:space="preserve"> Nils P. Hailer</w:t>
      </w:r>
      <w:r w:rsidRPr="0093426D">
        <w:rPr>
          <w:color w:val="000000"/>
          <w:vertAlign w:val="superscript"/>
          <w:lang w:val="sv-SE"/>
        </w:rPr>
        <w:t>6</w:t>
      </w:r>
    </w:p>
    <w:p w14:paraId="3AF705C4" w14:textId="77777777" w:rsidR="00363BBD" w:rsidRPr="000B5813" w:rsidRDefault="00FD60FF">
      <w:pPr>
        <w:pStyle w:val="Datum"/>
        <w:rPr>
          <w:color w:val="000000"/>
        </w:rPr>
      </w:pPr>
      <w:r w:rsidRPr="000B5813">
        <w:rPr>
          <w:color w:val="000000"/>
        </w:rPr>
        <w:t>2022-01-28</w:t>
      </w:r>
    </w:p>
    <w:p w14:paraId="31A4F97C" w14:textId="77777777" w:rsidR="00363BBD" w:rsidRPr="000B5813" w:rsidRDefault="00FD60FF">
      <w:pPr>
        <w:pStyle w:val="Compact"/>
        <w:numPr>
          <w:ilvl w:val="0"/>
          <w:numId w:val="17"/>
        </w:numPr>
        <w:rPr>
          <w:color w:val="000000"/>
        </w:rPr>
      </w:pPr>
      <w:r w:rsidRPr="000B5813">
        <w:rPr>
          <w:color w:val="000000"/>
        </w:rPr>
        <w:t xml:space="preserve">The Swedish Arthroplasty Register, Centre of Registers </w:t>
      </w:r>
      <w:proofErr w:type="spellStart"/>
      <w:r w:rsidRPr="000B5813">
        <w:rPr>
          <w:color w:val="000000"/>
        </w:rPr>
        <w:t>Västra</w:t>
      </w:r>
      <w:proofErr w:type="spellEnd"/>
      <w:r w:rsidRPr="000B5813">
        <w:rPr>
          <w:color w:val="000000"/>
        </w:rPr>
        <w:t xml:space="preserve"> </w:t>
      </w:r>
      <w:proofErr w:type="spellStart"/>
      <w:r w:rsidRPr="000B5813">
        <w:rPr>
          <w:color w:val="000000"/>
        </w:rPr>
        <w:t>Götaland</w:t>
      </w:r>
      <w:proofErr w:type="spellEnd"/>
      <w:r w:rsidRPr="000B5813">
        <w:rPr>
          <w:color w:val="000000"/>
        </w:rPr>
        <w:t>, Gothenburg, Sweden</w:t>
      </w:r>
    </w:p>
    <w:p w14:paraId="2103D640" w14:textId="77777777" w:rsidR="00363BBD" w:rsidRPr="000B5813" w:rsidRDefault="00FD60FF">
      <w:pPr>
        <w:pStyle w:val="Compact"/>
        <w:numPr>
          <w:ilvl w:val="0"/>
          <w:numId w:val="17"/>
        </w:numPr>
        <w:rPr>
          <w:color w:val="000000"/>
        </w:rPr>
      </w:pPr>
      <w:r w:rsidRPr="000B5813">
        <w:rPr>
          <w:color w:val="000000"/>
        </w:rPr>
        <w:t>Department of Orthopaedics, Institute of Clinical Sciences, The Sahlgrenska Academy, University of Gothenburg, Gothenburg, Sweden</w:t>
      </w:r>
    </w:p>
    <w:p w14:paraId="2B3F24AD" w14:textId="77777777" w:rsidR="00363BBD" w:rsidRPr="000B5813" w:rsidRDefault="00FD60FF">
      <w:pPr>
        <w:pStyle w:val="Compact"/>
        <w:numPr>
          <w:ilvl w:val="0"/>
          <w:numId w:val="17"/>
        </w:numPr>
        <w:rPr>
          <w:color w:val="000000"/>
        </w:rPr>
      </w:pPr>
      <w:r w:rsidRPr="000B5813">
        <w:rPr>
          <w:color w:val="000000"/>
        </w:rPr>
        <w:t>Department of Clinical Epidemiology, Aarhus University Hospital, Aarhus, Denmark</w:t>
      </w:r>
    </w:p>
    <w:p w14:paraId="306EC901" w14:textId="77777777" w:rsidR="00363BBD" w:rsidRPr="000B5813" w:rsidRDefault="00FD60FF">
      <w:pPr>
        <w:pStyle w:val="Compact"/>
        <w:numPr>
          <w:ilvl w:val="0"/>
          <w:numId w:val="17"/>
        </w:numPr>
        <w:rPr>
          <w:color w:val="000000"/>
        </w:rPr>
      </w:pPr>
      <w:r w:rsidRPr="000B5813">
        <w:rPr>
          <w:color w:val="000000"/>
        </w:rPr>
        <w:t>Department of Mathematics, Aarhus University, Aarhus, Denmark</w:t>
      </w:r>
    </w:p>
    <w:p w14:paraId="25220222" w14:textId="77777777" w:rsidR="00363BBD" w:rsidRPr="000B5813" w:rsidRDefault="00FD60FF">
      <w:pPr>
        <w:pStyle w:val="Compact"/>
        <w:numPr>
          <w:ilvl w:val="0"/>
          <w:numId w:val="17"/>
        </w:numPr>
        <w:rPr>
          <w:color w:val="000000"/>
        </w:rPr>
      </w:pPr>
      <w:r w:rsidRPr="000B5813">
        <w:rPr>
          <w:color w:val="000000"/>
        </w:rPr>
        <w:t>Department of Clinical Medicine, Aarhus University, Aarhus, Denmark</w:t>
      </w:r>
    </w:p>
    <w:p w14:paraId="24B892DE" w14:textId="77777777" w:rsidR="00363BBD" w:rsidRPr="000B5813" w:rsidRDefault="00FD60FF">
      <w:pPr>
        <w:pStyle w:val="Compact"/>
        <w:numPr>
          <w:ilvl w:val="0"/>
          <w:numId w:val="17"/>
        </w:numPr>
        <w:rPr>
          <w:color w:val="000000"/>
        </w:rPr>
      </w:pPr>
      <w:r w:rsidRPr="000B5813">
        <w:rPr>
          <w:color w:val="000000"/>
        </w:rPr>
        <w:t>Department of Surgical Sciences/Orthopaedics, Uppsala University Hospital, Uppsala, Sweden</w:t>
      </w:r>
    </w:p>
    <w:p w14:paraId="57E7112F" w14:textId="77777777" w:rsidR="00363BBD" w:rsidRPr="000B5813" w:rsidRDefault="00FD60FF">
      <w:pPr>
        <w:pStyle w:val="FirstParagraph"/>
        <w:rPr>
          <w:color w:val="000000"/>
        </w:rPr>
      </w:pPr>
      <w:r w:rsidRPr="000B5813">
        <w:rPr>
          <w:b/>
          <w:bCs/>
          <w:color w:val="000000"/>
        </w:rPr>
        <w:t>Corresponding author:</w:t>
      </w:r>
      <w:r w:rsidRPr="000B5813">
        <w:rPr>
          <w:color w:val="000000"/>
        </w:rPr>
        <w:t xml:space="preserve"> Erik Bülow; </w:t>
      </w:r>
      <w:hyperlink r:id="rId7">
        <w:r w:rsidRPr="000B5813">
          <w:rPr>
            <w:rStyle w:val="Hyperlnk"/>
            <w:color w:val="000000"/>
          </w:rPr>
          <w:t>erik.bulow@gu.se</w:t>
        </w:r>
      </w:hyperlink>
      <w:r w:rsidRPr="000B5813">
        <w:rPr>
          <w:color w:val="000000"/>
        </w:rPr>
        <w:t xml:space="preserve">; +46 70 08 234 28; The Swedish Arthroplasty Register, Centre of Registers </w:t>
      </w:r>
      <w:proofErr w:type="spellStart"/>
      <w:r w:rsidRPr="000B5813">
        <w:rPr>
          <w:color w:val="000000"/>
        </w:rPr>
        <w:t>Västra</w:t>
      </w:r>
      <w:proofErr w:type="spellEnd"/>
      <w:r w:rsidRPr="000B5813">
        <w:rPr>
          <w:color w:val="000000"/>
        </w:rPr>
        <w:t xml:space="preserve"> </w:t>
      </w:r>
      <w:proofErr w:type="spellStart"/>
      <w:r w:rsidRPr="000B5813">
        <w:rPr>
          <w:color w:val="000000"/>
        </w:rPr>
        <w:t>Götaland</w:t>
      </w:r>
      <w:proofErr w:type="spellEnd"/>
      <w:r w:rsidRPr="000B5813">
        <w:rPr>
          <w:color w:val="000000"/>
        </w:rPr>
        <w:t>, SE-413 45 Gothenburg, Sweden</w:t>
      </w:r>
    </w:p>
    <w:p w14:paraId="2B1AC2AD" w14:textId="55162289" w:rsidR="0093426D" w:rsidRPr="0093426D" w:rsidRDefault="00FD60FF" w:rsidP="0093426D">
      <w:pPr>
        <w:pStyle w:val="Brdtext"/>
        <w:rPr>
          <w:color w:val="000000"/>
        </w:rPr>
      </w:pPr>
      <w:r w:rsidRPr="000B5813">
        <w:rPr>
          <w:b/>
          <w:bCs/>
          <w:color w:val="000000"/>
        </w:rPr>
        <w:t>Guarantor:</w:t>
      </w:r>
      <w:r w:rsidRPr="000B5813">
        <w:rPr>
          <w:color w:val="000000"/>
        </w:rPr>
        <w:t xml:space="preserve"> NPH, as the principal investigator, affirms that this manuscript is an honest, accurate, and transparent account of the study being reported; that no important aspects of the study have been omitted; and that any discrepancies from the study as planned have been explained.</w:t>
      </w:r>
      <w:bookmarkStart w:id="0" w:name="abstract"/>
      <w:r w:rsidR="0093426D">
        <w:rPr>
          <w:color w:val="000000"/>
        </w:rPr>
        <w:br w:type="page"/>
      </w:r>
    </w:p>
    <w:p w14:paraId="5EA43EFB" w14:textId="520F2C13" w:rsidR="00363BBD" w:rsidRPr="000B5813" w:rsidRDefault="00FD60FF">
      <w:pPr>
        <w:pStyle w:val="Rubrik1"/>
        <w:rPr>
          <w:color w:val="000000"/>
        </w:rPr>
      </w:pPr>
      <w:r w:rsidRPr="000B5813">
        <w:rPr>
          <w:color w:val="000000"/>
        </w:rPr>
        <w:lastRenderedPageBreak/>
        <w:t>Abstract</w:t>
      </w:r>
    </w:p>
    <w:p w14:paraId="5E1103FD" w14:textId="77777777" w:rsidR="00363BBD" w:rsidRPr="000B5813" w:rsidRDefault="00FD60FF">
      <w:pPr>
        <w:pStyle w:val="FirstParagraph"/>
        <w:rPr>
          <w:color w:val="000000"/>
        </w:rPr>
      </w:pPr>
      <w:r w:rsidRPr="000B5813">
        <w:rPr>
          <w:b/>
          <w:bCs/>
          <w:color w:val="000000"/>
        </w:rPr>
        <w:t>PURPOSE:</w:t>
      </w:r>
      <w:r w:rsidRPr="000B5813">
        <w:rPr>
          <w:color w:val="000000"/>
        </w:rPr>
        <w:t xml:space="preserve"> To develop a parsimonious risk prediction model for periprosthetic joint infection (PJI) within 90 days after total hip arthroplasty (THA).</w:t>
      </w:r>
    </w:p>
    <w:p w14:paraId="4DD2F4D3" w14:textId="77777777" w:rsidR="00363BBD" w:rsidRPr="000B5813" w:rsidRDefault="00FD60FF">
      <w:pPr>
        <w:pStyle w:val="Brdtext"/>
        <w:rPr>
          <w:color w:val="000000"/>
        </w:rPr>
      </w:pPr>
      <w:r w:rsidRPr="000B5813">
        <w:rPr>
          <w:b/>
          <w:bCs/>
          <w:color w:val="000000"/>
        </w:rPr>
        <w:t>PATIENTS AND METHODS:</w:t>
      </w:r>
      <w:r w:rsidRPr="000B5813">
        <w:rPr>
          <w:color w:val="000000"/>
        </w:rPr>
        <w:t xml:space="preserve"> We used logistic LASSO regression with bootstrap ranking to develop a risk prediction model for PJI within 90 days based on a Swedish cohort of 88,830 patients with elective THA 2008-2015. The model was externally validated on a Danish cohort with 18,854 patients.</w:t>
      </w:r>
    </w:p>
    <w:p w14:paraId="31071C6B" w14:textId="77777777" w:rsidR="00363BBD" w:rsidRPr="000B5813" w:rsidRDefault="00FD60FF">
      <w:pPr>
        <w:pStyle w:val="Brdtext"/>
        <w:rPr>
          <w:color w:val="000000"/>
        </w:rPr>
      </w:pPr>
      <w:r w:rsidRPr="000B5813">
        <w:rPr>
          <w:b/>
          <w:bCs/>
          <w:color w:val="000000"/>
        </w:rPr>
        <w:t>RESULTS:</w:t>
      </w:r>
      <w:r w:rsidRPr="000B5813">
        <w:rPr>
          <w:color w:val="000000"/>
        </w:rPr>
        <w:t xml:space="preserve"> Incidence of PJI was 2.45 % in Sweden and 2.17 % in Denmark. A model with the underlying diagnosis for THA, body mass index (BMI), American Society for Anesthesiologists (ASA) class, sex, age, and the presence of five defined comorbidities had an area under the curve (AUC) of 0.68 (95 % CI: 0.66 to 0.69) in Sweden and 0.66 (95 % CI: 0.64 to 0.69) in Denmark. This was superior to traditional models based on ASA class, Charlson, Elixhauser, or the Rx Risk V comorbidity indices. Internal calibration was good for predicted probabilities up to 10 %.</w:t>
      </w:r>
    </w:p>
    <w:p w14:paraId="78D9FF92" w14:textId="77777777" w:rsidR="00363BBD" w:rsidRPr="000B5813" w:rsidRDefault="00FD60FF">
      <w:pPr>
        <w:pStyle w:val="Brdtext"/>
        <w:rPr>
          <w:color w:val="000000"/>
        </w:rPr>
      </w:pPr>
      <w:r w:rsidRPr="000B5813">
        <w:rPr>
          <w:b/>
          <w:bCs/>
          <w:color w:val="000000"/>
        </w:rPr>
        <w:t>CONCLUSION:</w:t>
      </w:r>
      <w:r w:rsidRPr="000B5813">
        <w:rPr>
          <w:color w:val="000000"/>
        </w:rPr>
        <w:t xml:space="preserve"> A new PJI prediction model based on easily accessible data available before THA, was developed and externally validated. The model had superior discriminatory ability compared to ASA class alone or more complex comorbidity indices and had good calibration. We provide a web-based calculator (</w:t>
      </w:r>
      <w:hyperlink r:id="rId8">
        <w:r w:rsidRPr="000B5813">
          <w:rPr>
            <w:rStyle w:val="Hyperlnk"/>
            <w:color w:val="000000"/>
          </w:rPr>
          <w:t>https://erikbulow.shinyapps.io/thamortpred/</w:t>
        </w:r>
      </w:hyperlink>
      <w:r w:rsidRPr="000B5813">
        <w:rPr>
          <w:color w:val="000000"/>
        </w:rPr>
        <w:t>) to facilitate shared decision making by patients and surgeons.</w:t>
      </w:r>
    </w:p>
    <w:p w14:paraId="5E2E87E9" w14:textId="77777777" w:rsidR="00363BBD" w:rsidRPr="000B5813" w:rsidRDefault="00FD60FF">
      <w:pPr>
        <w:pStyle w:val="Brdtext"/>
        <w:rPr>
          <w:color w:val="000000"/>
        </w:rPr>
      </w:pPr>
      <w:r w:rsidRPr="000B5813">
        <w:rPr>
          <w:b/>
          <w:bCs/>
          <w:color w:val="000000"/>
        </w:rPr>
        <w:t>KEY WORDS:</w:t>
      </w:r>
      <w:r w:rsidRPr="000B5813">
        <w:rPr>
          <w:color w:val="000000"/>
        </w:rPr>
        <w:t xml:space="preserve"> Prediction model, total hip arthroplasty, </w:t>
      </w:r>
      <w:proofErr w:type="spellStart"/>
      <w:r w:rsidRPr="000B5813">
        <w:rPr>
          <w:color w:val="000000"/>
        </w:rPr>
        <w:t>orthopaedics</w:t>
      </w:r>
      <w:proofErr w:type="spellEnd"/>
      <w:r w:rsidRPr="000B5813">
        <w:rPr>
          <w:color w:val="000000"/>
        </w:rPr>
        <w:t>, clinical decision-making tool, web calculator, external validation</w:t>
      </w:r>
    </w:p>
    <w:p w14:paraId="1BB86C33" w14:textId="77777777" w:rsidR="00363BBD" w:rsidRPr="000B5813" w:rsidRDefault="00FD60FF">
      <w:pPr>
        <w:pStyle w:val="Rubrik1"/>
        <w:rPr>
          <w:color w:val="000000"/>
        </w:rPr>
      </w:pPr>
      <w:bookmarkStart w:id="1" w:name="introduction"/>
      <w:bookmarkEnd w:id="0"/>
      <w:r w:rsidRPr="000B5813">
        <w:rPr>
          <w:color w:val="000000"/>
        </w:rPr>
        <w:lastRenderedPageBreak/>
        <w:t>Introduction</w:t>
      </w:r>
    </w:p>
    <w:p w14:paraId="0D1B9AC0" w14:textId="77777777" w:rsidR="00363BBD" w:rsidRPr="000B5813" w:rsidRDefault="00FD60FF">
      <w:pPr>
        <w:pStyle w:val="FirstParagraph"/>
        <w:rPr>
          <w:color w:val="000000"/>
        </w:rPr>
      </w:pPr>
      <w:r w:rsidRPr="000B5813">
        <w:rPr>
          <w:color w:val="000000"/>
        </w:rPr>
        <w:t>Periprosthetic joint infection (PJI) is one of the most devastating early complications after total hip arthroplasty (THA), mainly due to its association with increased mortality, re-operation risk, long-term antibiotic treatment, often persistently impaired quality of life, and socioeconomic consequences.</w:t>
      </w:r>
      <w:r w:rsidRPr="000B5813">
        <w:rPr>
          <w:color w:val="000000"/>
          <w:vertAlign w:val="superscript"/>
        </w:rPr>
        <w:t>1–4</w:t>
      </w:r>
      <w:r w:rsidRPr="000B5813">
        <w:rPr>
          <w:color w:val="000000"/>
        </w:rPr>
        <w:t xml:space="preserve"> Many risk factors for the development of PJI are identified, with </w:t>
      </w:r>
      <w:proofErr w:type="spellStart"/>
      <w:r w:rsidRPr="000B5813">
        <w:rPr>
          <w:color w:val="000000"/>
        </w:rPr>
        <w:t>anaemia</w:t>
      </w:r>
      <w:proofErr w:type="spellEnd"/>
      <w:r w:rsidRPr="000B5813">
        <w:rPr>
          <w:color w:val="000000"/>
        </w:rPr>
        <w:t>, diabetes, and obesity being important, to some extent modifiable risk factors, whereas advanced age and male sex are examples of non-modifiable risk factors.</w:t>
      </w:r>
      <w:r w:rsidRPr="000B5813">
        <w:rPr>
          <w:color w:val="000000"/>
          <w:vertAlign w:val="superscript"/>
        </w:rPr>
        <w:t>5–17</w:t>
      </w:r>
    </w:p>
    <w:p w14:paraId="770C7065" w14:textId="77777777" w:rsidR="00363BBD" w:rsidRPr="000B5813" w:rsidRDefault="00FD60FF">
      <w:pPr>
        <w:pStyle w:val="Brdtext"/>
        <w:rPr>
          <w:color w:val="000000"/>
        </w:rPr>
      </w:pPr>
      <w:r w:rsidRPr="000B5813">
        <w:rPr>
          <w:color w:val="000000"/>
        </w:rPr>
        <w:t>Several attempts have been made at developing prognostic individualized risk prediction models for clinical usage, with the Universal American College of Surgeons National Surgical Quality Improvement Program (ACS NSQIP) Surgical Risk Calculator being one of the first.</w:t>
      </w:r>
      <w:r w:rsidRPr="000B5813">
        <w:rPr>
          <w:color w:val="000000"/>
          <w:vertAlign w:val="superscript"/>
        </w:rPr>
        <w:t>18,19</w:t>
      </w:r>
      <w:r w:rsidRPr="000B5813">
        <w:rPr>
          <w:color w:val="000000"/>
        </w:rPr>
        <w:t xml:space="preserve"> Additional models have since been derived on US or Australian cohorts, but none has gained general acceptance.</w:t>
      </w:r>
      <w:r w:rsidRPr="000B5813">
        <w:rPr>
          <w:color w:val="000000"/>
          <w:vertAlign w:val="superscript"/>
        </w:rPr>
        <w:t>19–21</w:t>
      </w:r>
      <w:r w:rsidRPr="000B5813">
        <w:rPr>
          <w:color w:val="000000"/>
        </w:rPr>
        <w:t xml:space="preserve"> This is mainly due to often limited, sometimes single-center based samples, low discriminating ability or sub-optimal calibration of the prediction models, or the absence of external model validation.</w:t>
      </w:r>
    </w:p>
    <w:p w14:paraId="3340B8D2" w14:textId="77777777" w:rsidR="00363BBD" w:rsidRPr="000B5813" w:rsidRDefault="00FD60FF">
      <w:pPr>
        <w:pStyle w:val="Brdtext"/>
        <w:rPr>
          <w:color w:val="000000"/>
        </w:rPr>
      </w:pPr>
      <w:r w:rsidRPr="000B5813">
        <w:rPr>
          <w:color w:val="000000"/>
        </w:rPr>
        <w:t>We therefore aimed to develop a prognostic prediction model of PJI within 90 days after THA, a commonly used period to clinically define early PJI.</w:t>
      </w:r>
      <w:r w:rsidRPr="000B5813">
        <w:rPr>
          <w:color w:val="000000"/>
          <w:vertAlign w:val="superscript"/>
        </w:rPr>
        <w:t>14</w:t>
      </w:r>
      <w:r w:rsidRPr="000B5813">
        <w:rPr>
          <w:color w:val="000000"/>
        </w:rPr>
        <w:t xml:space="preserve"> We based the model on easily accessible data that are available pre-operatively in the setting of clinical decision-making. Furthermore, we aimed to validate the model both internally in Sweden, as well as externally on a Danish national cohort.</w:t>
      </w:r>
    </w:p>
    <w:p w14:paraId="54FF19F1" w14:textId="77777777" w:rsidR="00363BBD" w:rsidRPr="000B5813" w:rsidRDefault="00FD60FF">
      <w:pPr>
        <w:pStyle w:val="Rubrik1"/>
        <w:rPr>
          <w:color w:val="000000"/>
        </w:rPr>
      </w:pPr>
      <w:bookmarkStart w:id="2" w:name="patients-and-methods"/>
      <w:bookmarkEnd w:id="1"/>
      <w:r w:rsidRPr="000B5813">
        <w:rPr>
          <w:color w:val="000000"/>
        </w:rPr>
        <w:t>Patients and Methods</w:t>
      </w:r>
    </w:p>
    <w:p w14:paraId="59932198" w14:textId="77777777" w:rsidR="00363BBD" w:rsidRPr="000B5813" w:rsidRDefault="00FD60FF">
      <w:pPr>
        <w:pStyle w:val="FirstParagraph"/>
        <w:rPr>
          <w:color w:val="000000"/>
        </w:rPr>
      </w:pPr>
      <w:r w:rsidRPr="000B5813">
        <w:rPr>
          <w:color w:val="000000"/>
        </w:rPr>
        <w:t xml:space="preserve">The derivation cohort was based on patients from an updated linkage database including the Swedish Hip Arthroplasty Register (SHAR). The included registers and linkage process has been </w:t>
      </w:r>
      <w:r w:rsidRPr="000B5813">
        <w:rPr>
          <w:color w:val="000000"/>
        </w:rPr>
        <w:lastRenderedPageBreak/>
        <w:t>described previously.</w:t>
      </w:r>
      <w:r w:rsidRPr="000B5813">
        <w:rPr>
          <w:color w:val="000000"/>
          <w:vertAlign w:val="superscript"/>
        </w:rPr>
        <w:t>22</w:t>
      </w:r>
      <w:r w:rsidRPr="000B5813">
        <w:rPr>
          <w:color w:val="000000"/>
        </w:rPr>
        <w:t xml:space="preserve"> We included all primary elective THAs performed in Sweden 2008-2015. Only the last operated hip was considered for patients with bilateral THA.</w:t>
      </w:r>
      <w:r w:rsidRPr="000B5813">
        <w:rPr>
          <w:color w:val="000000"/>
          <w:vertAlign w:val="superscript"/>
        </w:rPr>
        <w:t>23</w:t>
      </w:r>
      <w:r w:rsidRPr="000B5813">
        <w:rPr>
          <w:color w:val="000000"/>
        </w:rPr>
        <w:t xml:space="preserve"> Patients with missing information on ASA class, or an ASA class of IV and above, were excluded, as were patients with missing information on BMI or a measurement above 50. Patients with missing information on educational levels or the type of hospital were also excluded, as were persons under the age of 18.</w:t>
      </w:r>
    </w:p>
    <w:p w14:paraId="7C7CA566" w14:textId="77777777" w:rsidR="00363BBD" w:rsidRPr="000B5813" w:rsidRDefault="00FD60FF">
      <w:pPr>
        <w:pStyle w:val="Brdtext"/>
        <w:rPr>
          <w:color w:val="000000"/>
        </w:rPr>
      </w:pPr>
      <w:r w:rsidRPr="000B5813">
        <w:rPr>
          <w:color w:val="000000"/>
        </w:rPr>
        <w:t xml:space="preserve">In addition to the Swedish derivation cohort, a Danish sample was used for external model validation. Danish THA patients were operated from 2016 until the last of September 2018. This period was chosen due to availability of information on ASA and BMI, and the possibility for all patients to have a minimum of 90 days of follow up. As in Sweden, data were linked from several national registers based on each </w:t>
      </w:r>
      <w:proofErr w:type="gramStart"/>
      <w:r w:rsidRPr="000B5813">
        <w:rPr>
          <w:color w:val="000000"/>
        </w:rPr>
        <w:t>patients</w:t>
      </w:r>
      <w:proofErr w:type="gramEnd"/>
      <w:r w:rsidRPr="000B5813">
        <w:rPr>
          <w:color w:val="000000"/>
        </w:rPr>
        <w:t xml:space="preserve"> unique identity number:</w:t>
      </w:r>
      <w:r w:rsidRPr="000B5813">
        <w:rPr>
          <w:color w:val="000000"/>
          <w:vertAlign w:val="superscript"/>
        </w:rPr>
        <w:t>24</w:t>
      </w:r>
      <w:r w:rsidRPr="000B5813">
        <w:rPr>
          <w:color w:val="000000"/>
        </w:rPr>
        <w:t xml:space="preserve"> DHR as a quality register for THA,</w:t>
      </w:r>
      <w:r w:rsidRPr="000B5813">
        <w:rPr>
          <w:color w:val="000000"/>
          <w:vertAlign w:val="superscript"/>
        </w:rPr>
        <w:t>25</w:t>
      </w:r>
      <w:r w:rsidRPr="000B5813">
        <w:rPr>
          <w:color w:val="000000"/>
        </w:rPr>
        <w:t xml:space="preserve"> the Danish National Patient Register with comorbidity data from all hospitals,</w:t>
      </w:r>
      <w:r w:rsidRPr="000B5813">
        <w:rPr>
          <w:color w:val="000000"/>
          <w:vertAlign w:val="superscript"/>
        </w:rPr>
        <w:t>26</w:t>
      </w:r>
      <w:r w:rsidRPr="000B5813">
        <w:rPr>
          <w:color w:val="000000"/>
        </w:rPr>
        <w:t xml:space="preserve"> and educational level and civil status from Statistics Denmark.</w:t>
      </w:r>
      <w:r w:rsidRPr="000B5813">
        <w:rPr>
          <w:color w:val="000000"/>
          <w:vertAlign w:val="superscript"/>
        </w:rPr>
        <w:t>27</w:t>
      </w:r>
      <w:r w:rsidRPr="000B5813">
        <w:rPr>
          <w:color w:val="000000"/>
        </w:rPr>
        <w:t xml:space="preserve"> As patients with PJI in the Swedish cohort were of age 35 to 99 years, we chose to validate the model for this age span only.</w:t>
      </w:r>
    </w:p>
    <w:p w14:paraId="54E22A72" w14:textId="77777777" w:rsidR="00363BBD" w:rsidRPr="000B5813" w:rsidRDefault="00FD60FF">
      <w:pPr>
        <w:pStyle w:val="Rubrik2"/>
        <w:rPr>
          <w:color w:val="000000"/>
        </w:rPr>
      </w:pPr>
      <w:bookmarkStart w:id="3" w:name="definitions-of-covariates-and-outcomes"/>
      <w:r w:rsidRPr="000B5813">
        <w:rPr>
          <w:color w:val="000000"/>
        </w:rPr>
        <w:t>Definitions of covariates and outcomes</w:t>
      </w:r>
    </w:p>
    <w:p w14:paraId="038342F1" w14:textId="77777777" w:rsidR="00363BBD" w:rsidRPr="000B5813" w:rsidRDefault="00FD60FF">
      <w:pPr>
        <w:pStyle w:val="FirstParagraph"/>
        <w:rPr>
          <w:color w:val="000000"/>
        </w:rPr>
      </w:pPr>
      <w:r w:rsidRPr="000B5813">
        <w:rPr>
          <w:color w:val="000000"/>
        </w:rPr>
        <w:t>Comorbidities were first identified by ICD-10 codes from each countries’ national patient register during the year before surgery. Individual conditions were grouped, first according to Elixhauser and Charlson, and then again into broader, clinically relevant, categories. Comorbidities observed for less than 10 patients with or without PJI, however, were not considered as potential predictors, to reduce the risk of overfitting the model to spurious events.</w:t>
      </w:r>
    </w:p>
    <w:p w14:paraId="5DABBDC3" w14:textId="77777777" w:rsidR="00363BBD" w:rsidRPr="000B5813" w:rsidRDefault="00FD60FF">
      <w:pPr>
        <w:pStyle w:val="Brdtext"/>
        <w:rPr>
          <w:color w:val="000000"/>
        </w:rPr>
      </w:pPr>
      <w:r w:rsidRPr="000B5813">
        <w:rPr>
          <w:color w:val="000000"/>
        </w:rPr>
        <w:t xml:space="preserve">PJI was defined by the occurrence of relevant ICD-10 or procedural Nordic Medico-Procedural Committee (NOMESCO)-codes recorded in the national patient registers for hospital episodes </w:t>
      </w:r>
      <w:r w:rsidRPr="000B5813">
        <w:rPr>
          <w:color w:val="000000"/>
        </w:rPr>
        <w:lastRenderedPageBreak/>
        <w:t>within 90 days after THA (Table 1), or if the patient was reported to SHAR or DHR as re-operated due to PJI within the same time frame.</w:t>
      </w:r>
    </w:p>
    <w:p w14:paraId="209BD41C" w14:textId="77777777" w:rsidR="00363BBD" w:rsidRPr="000B5813" w:rsidRDefault="00FD60FF">
      <w:pPr>
        <w:pStyle w:val="Rubrik2"/>
        <w:rPr>
          <w:color w:val="000000"/>
        </w:rPr>
      </w:pPr>
      <w:bookmarkStart w:id="4" w:name="model-development"/>
      <w:bookmarkEnd w:id="3"/>
      <w:r w:rsidRPr="000B5813">
        <w:rPr>
          <w:color w:val="000000"/>
        </w:rPr>
        <w:t>Model development</w:t>
      </w:r>
    </w:p>
    <w:p w14:paraId="1524E9BA" w14:textId="77777777" w:rsidR="00363BBD" w:rsidRPr="000B5813" w:rsidRDefault="00FD60FF">
      <w:pPr>
        <w:pStyle w:val="FirstParagraph"/>
        <w:rPr>
          <w:color w:val="000000"/>
        </w:rPr>
      </w:pPr>
      <w:r w:rsidRPr="000B5813">
        <w:rPr>
          <w:color w:val="000000"/>
        </w:rPr>
        <w:t>We based a statistical variable selection procedure on bootstrap ranking combined with logistic least absolute shrinkage and selection operator (LASSO) regression, in a way previously described and illustrated by Garland et al.</w:t>
      </w:r>
      <w:r w:rsidRPr="000B5813">
        <w:rPr>
          <w:color w:val="000000"/>
          <w:vertAlign w:val="superscript"/>
        </w:rPr>
        <w:t>28</w:t>
      </w:r>
      <w:r w:rsidRPr="000B5813">
        <w:rPr>
          <w:color w:val="000000"/>
        </w:rPr>
        <w:t xml:space="preserve"> The distilled predictors were then used in a multiple main effects logistic regression model, our “main model.” A more parsimonious “reduced model” was </w:t>
      </w:r>
      <w:proofErr w:type="spellStart"/>
      <w:proofErr w:type="gramStart"/>
      <w:r w:rsidRPr="000B5813">
        <w:rPr>
          <w:color w:val="000000"/>
        </w:rPr>
        <w:t>build</w:t>
      </w:r>
      <w:proofErr w:type="spellEnd"/>
      <w:proofErr w:type="gramEnd"/>
      <w:r w:rsidRPr="000B5813">
        <w:rPr>
          <w:color w:val="000000"/>
        </w:rPr>
        <w:t xml:space="preserve"> by keeping only the most influential predictors. Those two models were then compared to univariable prediction models based on either ASA class, the Charlson, Elixhauser, or the Rx Risk V comorbidity indices,</w:t>
      </w:r>
      <w:r w:rsidRPr="000B5813">
        <w:rPr>
          <w:color w:val="000000"/>
          <w:vertAlign w:val="superscript"/>
        </w:rPr>
        <w:t>29,30</w:t>
      </w:r>
      <w:r w:rsidRPr="000B5813">
        <w:rPr>
          <w:color w:val="000000"/>
        </w:rPr>
        <w:t xml:space="preserve"> as well as multivariable models combining those measures with age, </w:t>
      </w:r>
      <w:proofErr w:type="gramStart"/>
      <w:r w:rsidRPr="000B5813">
        <w:rPr>
          <w:color w:val="000000"/>
        </w:rPr>
        <w:t>sex</w:t>
      </w:r>
      <w:proofErr w:type="gramEnd"/>
      <w:r w:rsidRPr="000B5813">
        <w:rPr>
          <w:color w:val="000000"/>
        </w:rPr>
        <w:t xml:space="preserve"> and BMI.</w:t>
      </w:r>
    </w:p>
    <w:p w14:paraId="442736D9" w14:textId="77777777" w:rsidR="00363BBD" w:rsidRPr="000B5813" w:rsidRDefault="00FD60FF">
      <w:pPr>
        <w:pStyle w:val="Rubrik2"/>
        <w:rPr>
          <w:color w:val="000000"/>
        </w:rPr>
      </w:pPr>
      <w:bookmarkStart w:id="5" w:name="model-validation"/>
      <w:bookmarkEnd w:id="4"/>
      <w:r w:rsidRPr="000B5813">
        <w:rPr>
          <w:color w:val="000000"/>
        </w:rPr>
        <w:t>Model validation</w:t>
      </w:r>
    </w:p>
    <w:p w14:paraId="2F6FF81A" w14:textId="77777777" w:rsidR="00363BBD" w:rsidRPr="000B5813" w:rsidRDefault="00FD60FF">
      <w:pPr>
        <w:pStyle w:val="FirstParagraph"/>
        <w:rPr>
          <w:color w:val="000000"/>
        </w:rPr>
      </w:pPr>
      <w:r w:rsidRPr="000B5813">
        <w:rPr>
          <w:color w:val="000000"/>
        </w:rPr>
        <w:t>Receiver operating characteristic (ROC) curves and their corresponding areas under the curve (AUC) were used to describe discrimination with 95 % confidence intervals (CI) for each model. Predicted probabilities and observed proportions were also plotted with 95 % confidence bands to graphically assess model calibration.</w:t>
      </w:r>
      <w:r w:rsidRPr="000B5813">
        <w:rPr>
          <w:color w:val="000000"/>
          <w:vertAlign w:val="superscript"/>
        </w:rPr>
        <w:t>31</w:t>
      </w:r>
      <w:r w:rsidRPr="000B5813">
        <w:rPr>
          <w:color w:val="000000"/>
        </w:rPr>
        <w:t xml:space="preserve"> Coefficients of determination were estimated by </w:t>
      </w:r>
      <w:proofErr w:type="spellStart"/>
      <w:r w:rsidRPr="000B5813">
        <w:rPr>
          <w:color w:val="000000"/>
        </w:rPr>
        <w:t>Nagelkerke’s</w:t>
      </w:r>
      <w:proofErr w:type="spellEnd"/>
      <w:r w:rsidRPr="000B5813">
        <w:rPr>
          <w:color w:val="000000"/>
        </w:rPr>
        <w:t xml:space="preserve"> </w:t>
      </w:r>
      <m:oMath>
        <m:sSup>
          <m:sSupPr>
            <m:ctrlPr>
              <w:rPr>
                <w:rFonts w:ascii="Cambria Math" w:hAnsi="Cambria Math"/>
                <w:color w:val="000000"/>
              </w:rPr>
            </m:ctrlPr>
          </m:sSupPr>
          <m:e>
            <m:r>
              <w:rPr>
                <w:rFonts w:ascii="Cambria Math" w:hAnsi="Cambria Math"/>
                <w:color w:val="000000"/>
              </w:rPr>
              <m:t>R</m:t>
            </m:r>
          </m:e>
          <m:sup>
            <m:r>
              <w:rPr>
                <w:rFonts w:ascii="Cambria Math" w:hAnsi="Cambria Math"/>
                <w:color w:val="000000"/>
              </w:rPr>
              <m:t>2</m:t>
            </m:r>
          </m:sup>
        </m:sSup>
      </m:oMath>
      <w:r w:rsidRPr="000B5813">
        <w:rPr>
          <w:color w:val="000000"/>
        </w:rPr>
        <w:t xml:space="preserve"> for each model, as was the fraction of new information for each model compared to the model with lowest </w:t>
      </w:r>
      <m:oMath>
        <m:sSup>
          <m:sSupPr>
            <m:ctrlPr>
              <w:rPr>
                <w:rFonts w:ascii="Cambria Math" w:hAnsi="Cambria Math"/>
                <w:color w:val="000000"/>
              </w:rPr>
            </m:ctrlPr>
          </m:sSupPr>
          <m:e>
            <m:r>
              <w:rPr>
                <w:rFonts w:ascii="Cambria Math" w:hAnsi="Cambria Math"/>
                <w:color w:val="000000"/>
              </w:rPr>
              <m:t>R</m:t>
            </m:r>
          </m:e>
          <m:sup>
            <m:r>
              <w:rPr>
                <w:rFonts w:ascii="Cambria Math" w:hAnsi="Cambria Math"/>
                <w:color w:val="000000"/>
              </w:rPr>
              <m:t>2</m:t>
            </m:r>
          </m:sup>
        </m:sSup>
      </m:oMath>
      <w:r w:rsidRPr="000B5813">
        <w:rPr>
          <w:color w:val="000000"/>
        </w:rPr>
        <w:t>.</w:t>
      </w:r>
      <w:r w:rsidRPr="000B5813">
        <w:rPr>
          <w:color w:val="000000"/>
          <w:vertAlign w:val="superscript"/>
        </w:rPr>
        <w:t>32</w:t>
      </w:r>
    </w:p>
    <w:p w14:paraId="758DCC0B" w14:textId="77777777" w:rsidR="00363BBD" w:rsidRPr="000B5813" w:rsidRDefault="00FD60FF">
      <w:pPr>
        <w:pStyle w:val="Brdtext"/>
        <w:rPr>
          <w:color w:val="000000"/>
        </w:rPr>
      </w:pPr>
      <w:r w:rsidRPr="000B5813">
        <w:rPr>
          <w:color w:val="000000"/>
        </w:rPr>
        <w:t>The model was externally validated on the Danish cohort, both with the coefficient estimates from the Swedish cohort, and with new estimates based on the Danish cohort. The reference models, with adopted coefficient estimates, were also applied to the Danish cohort for comparison.</w:t>
      </w:r>
    </w:p>
    <w:p w14:paraId="5BD9B097" w14:textId="77777777" w:rsidR="00363BBD" w:rsidRPr="000B5813" w:rsidRDefault="00FD60FF">
      <w:pPr>
        <w:pStyle w:val="Rubrik2"/>
        <w:rPr>
          <w:color w:val="000000"/>
        </w:rPr>
      </w:pPr>
      <w:bookmarkStart w:id="6" w:name="statistical-tools"/>
      <w:bookmarkEnd w:id="5"/>
      <w:r w:rsidRPr="000B5813">
        <w:rPr>
          <w:color w:val="000000"/>
        </w:rPr>
        <w:lastRenderedPageBreak/>
        <w:t>Statistical tools</w:t>
      </w:r>
    </w:p>
    <w:p w14:paraId="49586E97" w14:textId="77777777" w:rsidR="00363BBD" w:rsidRPr="000B5813" w:rsidRDefault="00FD60FF">
      <w:pPr>
        <w:pStyle w:val="FirstParagraph"/>
        <w:rPr>
          <w:color w:val="000000"/>
        </w:rPr>
      </w:pPr>
      <w:r w:rsidRPr="000B5813">
        <w:rPr>
          <w:color w:val="000000"/>
        </w:rPr>
        <w:t>We used R version 4.1 (R Foundation for Statistical Computing, Vienna, Austria) with significant packages coder,</w:t>
      </w:r>
      <w:r w:rsidRPr="000B5813">
        <w:rPr>
          <w:color w:val="000000"/>
          <w:vertAlign w:val="superscript"/>
        </w:rPr>
        <w:t>33</w:t>
      </w:r>
      <w:r w:rsidRPr="000B5813">
        <w:rPr>
          <w:color w:val="000000"/>
        </w:rPr>
        <w:t xml:space="preserve"> decoder, </w:t>
      </w:r>
      <w:proofErr w:type="spellStart"/>
      <w:r w:rsidRPr="000B5813">
        <w:rPr>
          <w:color w:val="000000"/>
        </w:rPr>
        <w:t>furrr</w:t>
      </w:r>
      <w:proofErr w:type="spellEnd"/>
      <w:r w:rsidRPr="000B5813">
        <w:rPr>
          <w:color w:val="000000"/>
        </w:rPr>
        <w:t xml:space="preserve">, </w:t>
      </w:r>
      <w:proofErr w:type="spellStart"/>
      <w:r w:rsidRPr="000B5813">
        <w:rPr>
          <w:color w:val="000000"/>
        </w:rPr>
        <w:t>pROC</w:t>
      </w:r>
      <w:proofErr w:type="spellEnd"/>
      <w:r w:rsidRPr="000B5813">
        <w:rPr>
          <w:color w:val="000000"/>
        </w:rPr>
        <w:t xml:space="preserve">, rms, </w:t>
      </w:r>
      <w:proofErr w:type="spellStart"/>
      <w:r w:rsidRPr="000B5813">
        <w:rPr>
          <w:color w:val="000000"/>
        </w:rPr>
        <w:t>tidymodels</w:t>
      </w:r>
      <w:proofErr w:type="spellEnd"/>
      <w:r w:rsidRPr="000B5813">
        <w:rPr>
          <w:color w:val="000000"/>
        </w:rPr>
        <w:t xml:space="preserve"> and </w:t>
      </w:r>
      <w:proofErr w:type="spellStart"/>
      <w:r w:rsidRPr="000B5813">
        <w:rPr>
          <w:color w:val="000000"/>
        </w:rPr>
        <w:t>tidyverse</w:t>
      </w:r>
      <w:proofErr w:type="spellEnd"/>
      <w:r w:rsidRPr="000B5813">
        <w:rPr>
          <w:color w:val="000000"/>
        </w:rPr>
        <w:t>. We build a shiny-based web calculator to aid clinical usage (</w:t>
      </w:r>
      <w:hyperlink r:id="rId9">
        <w:r w:rsidRPr="000B5813">
          <w:rPr>
            <w:rStyle w:val="Hyperlnk"/>
            <w:color w:val="000000"/>
          </w:rPr>
          <w:t>https://erikbulow.shinyapps.io/thamortpred/</w:t>
        </w:r>
      </w:hyperlink>
      <w:r w:rsidRPr="000B5813">
        <w:rPr>
          <w:color w:val="000000"/>
        </w:rPr>
        <w:t>) and made all R scripts publicly available (</w:t>
      </w:r>
      <w:hyperlink r:id="rId10">
        <w:r w:rsidRPr="000B5813">
          <w:rPr>
            <w:rStyle w:val="Hyperlnk"/>
            <w:color w:val="000000"/>
          </w:rPr>
          <w:t>https://doi.org/10.5281/zenodo.5914599</w:t>
        </w:r>
      </w:hyperlink>
      <w:r w:rsidRPr="000B5813">
        <w:rPr>
          <w:color w:val="000000"/>
        </w:rPr>
        <w:t>).</w:t>
      </w:r>
    </w:p>
    <w:p w14:paraId="6097799C" w14:textId="77777777" w:rsidR="00363BBD" w:rsidRPr="000B5813" w:rsidRDefault="00FD60FF">
      <w:pPr>
        <w:pStyle w:val="Rubrik2"/>
        <w:rPr>
          <w:color w:val="000000"/>
        </w:rPr>
      </w:pPr>
      <w:bookmarkStart w:id="7" w:name="ethical-approval"/>
      <w:bookmarkEnd w:id="6"/>
      <w:r w:rsidRPr="000B5813">
        <w:rPr>
          <w:color w:val="000000"/>
        </w:rPr>
        <w:t>Ethical approval</w:t>
      </w:r>
    </w:p>
    <w:p w14:paraId="2E213EF3" w14:textId="77777777" w:rsidR="00363BBD" w:rsidRPr="000B5813" w:rsidRDefault="00FD60FF">
      <w:pPr>
        <w:pStyle w:val="FirstParagraph"/>
        <w:rPr>
          <w:color w:val="000000"/>
        </w:rPr>
      </w:pPr>
      <w:r w:rsidRPr="000B5813">
        <w:rPr>
          <w:color w:val="000000"/>
        </w:rPr>
        <w:t>Ethical approval for this study was obtained from the Regional Ethical Review Board in Gothenburg (360-13). The study was also approved by the Danish Data Protection Agency (journal number 2015-57-0002) and recorded at Aarhus University (journal number 2016-051-000001).</w:t>
      </w:r>
    </w:p>
    <w:p w14:paraId="4C78AB9F" w14:textId="77777777" w:rsidR="00363BBD" w:rsidRPr="000B5813" w:rsidRDefault="00FD60FF">
      <w:pPr>
        <w:pStyle w:val="Rubrik1"/>
        <w:rPr>
          <w:color w:val="000000"/>
        </w:rPr>
      </w:pPr>
      <w:bookmarkStart w:id="8" w:name="results"/>
      <w:bookmarkEnd w:id="2"/>
      <w:bookmarkEnd w:id="7"/>
      <w:r w:rsidRPr="000B5813">
        <w:rPr>
          <w:color w:val="000000"/>
        </w:rPr>
        <w:t>Results</w:t>
      </w:r>
    </w:p>
    <w:p w14:paraId="4C5CC735" w14:textId="77777777" w:rsidR="00363BBD" w:rsidRPr="000B5813" w:rsidRDefault="00FD60FF">
      <w:pPr>
        <w:pStyle w:val="FirstParagraph"/>
        <w:rPr>
          <w:color w:val="000000"/>
        </w:rPr>
      </w:pPr>
      <w:r w:rsidRPr="000B5813">
        <w:rPr>
          <w:color w:val="000000"/>
        </w:rPr>
        <w:t>We included 88,830 patients in the derivation cohort from Sweden (Figure 1). 2.45 % (n = 2,173) of these developed a PJI within 90 days. In addition, 18,854 patients were included in the external validation cohort from Denmark (Figure 2). 2.2 % (n = 410) of these developed a PJI within 90 days (Table 2).</w:t>
      </w:r>
    </w:p>
    <w:p w14:paraId="1E530AEE" w14:textId="77777777" w:rsidR="00363BBD" w:rsidRPr="000B5813" w:rsidRDefault="00FD60FF">
      <w:pPr>
        <w:pStyle w:val="Brdtext"/>
        <w:rPr>
          <w:color w:val="000000"/>
        </w:rPr>
      </w:pPr>
      <w:r w:rsidRPr="000B5813">
        <w:rPr>
          <w:color w:val="000000"/>
        </w:rPr>
        <w:t>ROC-curves (Figure 3) and AUC-values (Figure 4) were very similar for the main model and a reduced model, based on the underlying diagnosis for THA, BMI, ASA class, sex, age, and the presence of arrhythmia, CNS disease, fluid electrolyte disorders, liver disease or lung and airways disease. For simplicity, we thus focused on the reduced model, with estimated coefficient values listed in Table 3.</w:t>
      </w:r>
    </w:p>
    <w:p w14:paraId="72D71BA8" w14:textId="77777777" w:rsidR="00363BBD" w:rsidRPr="000B5813" w:rsidRDefault="00FD60FF">
      <w:pPr>
        <w:pStyle w:val="Brdtext"/>
        <w:rPr>
          <w:color w:val="000000"/>
        </w:rPr>
      </w:pPr>
      <w:r w:rsidRPr="000B5813">
        <w:rPr>
          <w:color w:val="000000"/>
        </w:rPr>
        <w:t xml:space="preserve">The univariable model with the Charlson comorbidity index had the lowest AUC and </w:t>
      </w:r>
      <w:proofErr w:type="spellStart"/>
      <w:r w:rsidRPr="000B5813">
        <w:rPr>
          <w:color w:val="000000"/>
        </w:rPr>
        <w:t>Nagelkerke’s</w:t>
      </w:r>
      <w:proofErr w:type="spellEnd"/>
      <w:r w:rsidRPr="000B5813">
        <w:rPr>
          <w:color w:val="000000"/>
        </w:rPr>
        <w:t xml:space="preserve"> </w:t>
      </w:r>
      <m:oMath>
        <m:sSup>
          <m:sSupPr>
            <m:ctrlPr>
              <w:rPr>
                <w:rFonts w:ascii="Cambria Math" w:hAnsi="Cambria Math"/>
                <w:color w:val="000000"/>
              </w:rPr>
            </m:ctrlPr>
          </m:sSupPr>
          <m:e>
            <m:r>
              <w:rPr>
                <w:rFonts w:ascii="Cambria Math" w:hAnsi="Cambria Math"/>
                <w:color w:val="000000"/>
              </w:rPr>
              <m:t>R</m:t>
            </m:r>
          </m:e>
          <m:sup>
            <m:r>
              <w:rPr>
                <w:rFonts w:ascii="Cambria Math" w:hAnsi="Cambria Math"/>
                <w:color w:val="000000"/>
              </w:rPr>
              <m:t>2</m:t>
            </m:r>
          </m:sup>
        </m:sSup>
        <m:r>
          <m:rPr>
            <m:sty m:val="p"/>
          </m:rPr>
          <w:rPr>
            <w:rFonts w:ascii="Cambria Math" w:hAnsi="Cambria Math"/>
            <w:color w:val="000000"/>
          </w:rPr>
          <m:t>=</m:t>
        </m:r>
      </m:oMath>
      <w:r w:rsidRPr="000B5813">
        <w:rPr>
          <w:color w:val="000000"/>
        </w:rPr>
        <w:t xml:space="preserve"> 0.73, and compared to this model, the fraction of new information for the </w:t>
      </w:r>
      <w:r w:rsidRPr="000B5813">
        <w:rPr>
          <w:color w:val="000000"/>
        </w:rPr>
        <w:lastRenderedPageBreak/>
        <w:t>reduced model was 84 % (Table 4). The reduced model had good internal calibration for predictions up to 10 % (Figure 6). Estimated probability density curves for patients with and without PJI were partially overlapping, but patients with PJI had on average higher predicted probabilities for this outcome (Figure 5).</w:t>
      </w:r>
    </w:p>
    <w:p w14:paraId="414CFC02" w14:textId="77777777" w:rsidR="00363BBD" w:rsidRPr="000B5813" w:rsidRDefault="00FD60FF">
      <w:pPr>
        <w:pStyle w:val="Brdtext"/>
        <w:rPr>
          <w:color w:val="000000"/>
        </w:rPr>
      </w:pPr>
      <w:r w:rsidRPr="000B5813">
        <w:rPr>
          <w:color w:val="000000"/>
        </w:rPr>
        <w:t>The reduced model derived from the Swedish cohort produced a very similar ROC curve when applied to the Danish cohort. Calibration was good for predictions up to 3 %, with a tendency to over-estimate higher probabilities, which improved after re-calibration of the model intercept to the Danish PJI incidence (Figure 6).</w:t>
      </w:r>
    </w:p>
    <w:p w14:paraId="416CBBDB" w14:textId="77777777" w:rsidR="00363BBD" w:rsidRPr="000B5813" w:rsidRDefault="00FD60FF">
      <w:pPr>
        <w:pStyle w:val="Rubrik1"/>
        <w:rPr>
          <w:color w:val="000000"/>
        </w:rPr>
      </w:pPr>
      <w:bookmarkStart w:id="9" w:name="discussion"/>
      <w:bookmarkEnd w:id="8"/>
      <w:r w:rsidRPr="000B5813">
        <w:rPr>
          <w:color w:val="000000"/>
        </w:rPr>
        <w:t>Discussion</w:t>
      </w:r>
    </w:p>
    <w:p w14:paraId="036FA651" w14:textId="77777777" w:rsidR="00363BBD" w:rsidRPr="000B5813" w:rsidRDefault="00FD60FF">
      <w:pPr>
        <w:pStyle w:val="Rubrik2"/>
        <w:rPr>
          <w:color w:val="000000"/>
        </w:rPr>
      </w:pPr>
      <w:bookmarkStart w:id="10" w:name="principal-findings"/>
      <w:r w:rsidRPr="000B5813">
        <w:rPr>
          <w:color w:val="000000"/>
        </w:rPr>
        <w:t>Principal findings</w:t>
      </w:r>
    </w:p>
    <w:p w14:paraId="6D4C1829" w14:textId="77777777" w:rsidR="00363BBD" w:rsidRPr="000B5813" w:rsidRDefault="00FD60FF">
      <w:pPr>
        <w:pStyle w:val="FirstParagraph"/>
        <w:rPr>
          <w:color w:val="000000"/>
        </w:rPr>
      </w:pPr>
      <w:r w:rsidRPr="000B5813">
        <w:rPr>
          <w:color w:val="000000"/>
        </w:rPr>
        <w:t xml:space="preserve">We propose a PJI prediction model based on the underlying diagnosis for THA, BMI, ASA class, sex, age, and the presence of arrhythmia, CNS disease, fluid electrolyte disorders, liver disease or lung and airways disease. This model was better at predicting PJI within 90 days after THA than models based on either ASA class or the Charlson, Elixhauser or Rx Risk V comorbidity indices, with or without adjustments for age and sex, in terms of AUC, </w:t>
      </w:r>
      <w:proofErr w:type="spellStart"/>
      <w:r w:rsidRPr="000B5813">
        <w:rPr>
          <w:color w:val="000000"/>
        </w:rPr>
        <w:t>Nagelkerke’s</w:t>
      </w:r>
      <w:proofErr w:type="spellEnd"/>
      <w:r w:rsidRPr="000B5813">
        <w:rPr>
          <w:color w:val="000000"/>
        </w:rPr>
        <w:t xml:space="preserve"> </w:t>
      </w:r>
      <m:oMath>
        <m:sSup>
          <m:sSupPr>
            <m:ctrlPr>
              <w:rPr>
                <w:rFonts w:ascii="Cambria Math" w:hAnsi="Cambria Math"/>
                <w:color w:val="000000"/>
              </w:rPr>
            </m:ctrlPr>
          </m:sSupPr>
          <m:e>
            <m:r>
              <w:rPr>
                <w:rFonts w:ascii="Cambria Math" w:hAnsi="Cambria Math"/>
                <w:color w:val="000000"/>
              </w:rPr>
              <m:t>R</m:t>
            </m:r>
          </m:e>
          <m:sup>
            <m:r>
              <w:rPr>
                <w:rFonts w:ascii="Cambria Math" w:hAnsi="Cambria Math"/>
                <w:color w:val="000000"/>
              </w:rPr>
              <m:t>2</m:t>
            </m:r>
          </m:sup>
        </m:sSup>
      </m:oMath>
      <w:r w:rsidRPr="000B5813">
        <w:rPr>
          <w:color w:val="000000"/>
        </w:rPr>
        <w:t xml:space="preserve"> and calibration.</w:t>
      </w:r>
    </w:p>
    <w:p w14:paraId="1B47D994" w14:textId="77777777" w:rsidR="00363BBD" w:rsidRPr="000B5813" w:rsidRDefault="00FD60FF">
      <w:pPr>
        <w:pStyle w:val="Rubrik2"/>
        <w:rPr>
          <w:color w:val="000000"/>
        </w:rPr>
      </w:pPr>
      <w:bookmarkStart w:id="11" w:name="strengths-and-weaknesses"/>
      <w:bookmarkEnd w:id="10"/>
      <w:r w:rsidRPr="000B5813">
        <w:rPr>
          <w:color w:val="000000"/>
        </w:rPr>
        <w:t>Strengths and weaknesses</w:t>
      </w:r>
    </w:p>
    <w:p w14:paraId="2E72BFD5" w14:textId="64805FE9" w:rsidR="00363BBD" w:rsidRPr="000B5813" w:rsidRDefault="00FD60FF">
      <w:pPr>
        <w:pStyle w:val="FirstParagraph"/>
        <w:rPr>
          <w:color w:val="000000"/>
        </w:rPr>
      </w:pPr>
      <w:r w:rsidRPr="000B5813">
        <w:rPr>
          <w:color w:val="000000"/>
        </w:rPr>
        <w:t xml:space="preserve">Our external model validation is a strength, supporting that the model works equally well in a different population. The validation was both geographical (different country) and temporal (different period). Discriminatory ability and calibration </w:t>
      </w:r>
      <w:r w:rsidR="00346C73" w:rsidRPr="000B5813">
        <w:rPr>
          <w:color w:val="000000"/>
        </w:rPr>
        <w:t>were</w:t>
      </w:r>
      <w:r w:rsidRPr="000B5813">
        <w:rPr>
          <w:color w:val="000000"/>
        </w:rPr>
        <w:t xml:space="preserve"> good in the validation cohort despite apparent dissimilarities between the countries (Table 2). Some of the dissimilarities can partially be explained by different coding routines. ICD-10 and NOMESCO codes are recorded for both in- and outpatient hospital visits in the national patient registries in both countries, but </w:t>
      </w:r>
      <w:r w:rsidRPr="000B5813">
        <w:rPr>
          <w:color w:val="000000"/>
        </w:rPr>
        <w:lastRenderedPageBreak/>
        <w:t>the recording of (optional) secondary diagnoses is 23 % in Denmark,</w:t>
      </w:r>
      <w:r w:rsidRPr="000B5813">
        <w:rPr>
          <w:color w:val="000000"/>
          <w:vertAlign w:val="superscript"/>
        </w:rPr>
        <w:t>26</w:t>
      </w:r>
      <w:r w:rsidRPr="000B5813">
        <w:rPr>
          <w:color w:val="000000"/>
        </w:rPr>
        <w:t xml:space="preserve"> compared to 47 % in the Swedish cohort. Serious comorbidities such as cancer, are reported equally well in both countries, while for example arterial hypertension, is less well documented in Denmark. Also, patients with chronic conditions, such as diabetes, are more commonly treated in primary care settings in </w:t>
      </w:r>
      <w:proofErr w:type="gramStart"/>
      <w:r w:rsidRPr="000B5813">
        <w:rPr>
          <w:color w:val="000000"/>
        </w:rPr>
        <w:t>Denmark, and</w:t>
      </w:r>
      <w:proofErr w:type="gramEnd"/>
      <w:r w:rsidRPr="000B5813">
        <w:rPr>
          <w:color w:val="000000"/>
        </w:rPr>
        <w:t xml:space="preserve"> are therefore less well reported to the national patient register.</w:t>
      </w:r>
      <w:r w:rsidRPr="000B5813">
        <w:rPr>
          <w:color w:val="000000"/>
          <w:vertAlign w:val="superscript"/>
        </w:rPr>
        <w:t>26</w:t>
      </w:r>
      <w:r w:rsidRPr="000B5813">
        <w:rPr>
          <w:color w:val="000000"/>
        </w:rPr>
        <w:t xml:space="preserve"> The </w:t>
      </w:r>
      <w:proofErr w:type="spellStart"/>
      <w:r w:rsidRPr="000B5813">
        <w:rPr>
          <w:color w:val="000000"/>
        </w:rPr>
        <w:t>RxRisk</w:t>
      </w:r>
      <w:proofErr w:type="spellEnd"/>
      <w:r w:rsidRPr="000B5813">
        <w:rPr>
          <w:color w:val="000000"/>
        </w:rPr>
        <w:t xml:space="preserve"> V index is a weighted index, which is difficult to compare without further analysis. Taken together, the similarities between the countries might be more pronounced than indicated by Table 2. However, the difference in the mode of THA fixation, with a dominance of cemented components in Sweden, and much more widespread usage of uncemented components in Denmark, is tangible and has been described elsewhere.</w:t>
      </w:r>
      <w:r w:rsidRPr="000B5813">
        <w:rPr>
          <w:color w:val="000000"/>
          <w:vertAlign w:val="superscript"/>
        </w:rPr>
        <w:t>34</w:t>
      </w:r>
    </w:p>
    <w:p w14:paraId="033629A5" w14:textId="77777777" w:rsidR="00363BBD" w:rsidRPr="000B5813" w:rsidRDefault="00FD60FF">
      <w:pPr>
        <w:pStyle w:val="Rubrik2"/>
        <w:rPr>
          <w:color w:val="000000"/>
        </w:rPr>
      </w:pPr>
      <w:bookmarkStart w:id="12" w:name="X713466425220a3e5eb11c0caabc3ad784b2a9fd"/>
      <w:bookmarkEnd w:id="11"/>
      <w:r w:rsidRPr="000B5813">
        <w:rPr>
          <w:color w:val="000000"/>
        </w:rPr>
        <w:t>Strengths and weaknesses in relation to other studies</w:t>
      </w:r>
    </w:p>
    <w:p w14:paraId="4FE85B8F" w14:textId="77777777" w:rsidR="00363BBD" w:rsidRPr="000B5813" w:rsidRDefault="00FD60FF">
      <w:pPr>
        <w:pStyle w:val="FirstParagraph"/>
        <w:rPr>
          <w:color w:val="000000"/>
        </w:rPr>
      </w:pPr>
      <w:r w:rsidRPr="000B5813">
        <w:rPr>
          <w:color w:val="000000"/>
        </w:rPr>
        <w:t>The standard peri-operative prophylaxis in THA surgery in Sweden is Cloxacillin (2g x 3) on the day of surgery. Those with confirmed or suspected allergy to Cloxacillin (roughly 10% of all patients) receive Clindamycin (600 mg x 2). This treatment might affect the outcome of interest, and therefore the possibility to generalize the results to countries with other treatment regimens.</w:t>
      </w:r>
    </w:p>
    <w:p w14:paraId="200D54C5" w14:textId="77777777" w:rsidR="00363BBD" w:rsidRPr="000B5813" w:rsidRDefault="00FD60FF">
      <w:pPr>
        <w:pStyle w:val="Brdtext"/>
        <w:rPr>
          <w:color w:val="000000"/>
        </w:rPr>
      </w:pPr>
      <w:r w:rsidRPr="000B5813">
        <w:rPr>
          <w:color w:val="000000"/>
        </w:rPr>
        <w:t>Cancer seems to confer an increased risk of PJI in several observational studies,</w:t>
      </w:r>
      <w:r w:rsidRPr="000B5813">
        <w:rPr>
          <w:color w:val="000000"/>
          <w:vertAlign w:val="superscript"/>
        </w:rPr>
        <w:t>10,19,35,36</w:t>
      </w:r>
      <w:r w:rsidRPr="000B5813">
        <w:rPr>
          <w:color w:val="000000"/>
        </w:rPr>
        <w:t xml:space="preserve"> but this comorbidity was not included in our model. Neither was diabetes included in our model, although it is included in previous risk calculators.</w:t>
      </w:r>
      <w:r w:rsidRPr="000B5813">
        <w:rPr>
          <w:color w:val="000000"/>
          <w:vertAlign w:val="superscript"/>
        </w:rPr>
        <w:t>19,37,38</w:t>
      </w:r>
      <w:r w:rsidRPr="000B5813">
        <w:rPr>
          <w:color w:val="000000"/>
        </w:rPr>
        <w:t xml:space="preserve"> On the other hand, diabetes is not consistently found to be associated with the risk of surgical site infection or PJI after THA surgery.</w:t>
      </w:r>
      <w:r w:rsidRPr="000B5813">
        <w:rPr>
          <w:color w:val="000000"/>
          <w:vertAlign w:val="superscript"/>
        </w:rPr>
        <w:t>39</w:t>
      </w:r>
    </w:p>
    <w:p w14:paraId="3A79CF8D" w14:textId="77777777" w:rsidR="00363BBD" w:rsidRPr="000B5813" w:rsidRDefault="00FD60FF">
      <w:pPr>
        <w:pStyle w:val="Brdtext"/>
        <w:rPr>
          <w:color w:val="000000"/>
        </w:rPr>
      </w:pPr>
      <w:r w:rsidRPr="000B5813">
        <w:rPr>
          <w:color w:val="000000"/>
        </w:rPr>
        <w:t xml:space="preserve">Information on peri-operative </w:t>
      </w:r>
      <w:proofErr w:type="spellStart"/>
      <w:r w:rsidRPr="000B5813">
        <w:rPr>
          <w:color w:val="000000"/>
        </w:rPr>
        <w:t>hyperglycaemia</w:t>
      </w:r>
      <w:proofErr w:type="spellEnd"/>
      <w:r w:rsidRPr="000B5813">
        <w:rPr>
          <w:color w:val="000000"/>
        </w:rPr>
        <w:t>, morning blood glucose, HBA1c,</w:t>
      </w:r>
      <w:r w:rsidRPr="000B5813">
        <w:rPr>
          <w:color w:val="000000"/>
          <w:vertAlign w:val="superscript"/>
        </w:rPr>
        <w:t>40,41</w:t>
      </w:r>
      <w:r w:rsidRPr="000B5813">
        <w:rPr>
          <w:color w:val="000000"/>
        </w:rPr>
        <w:t xml:space="preserve"> or low preoperative haemoglobin,</w:t>
      </w:r>
      <w:r w:rsidRPr="000B5813">
        <w:rPr>
          <w:color w:val="000000"/>
          <w:vertAlign w:val="superscript"/>
        </w:rPr>
        <w:t>12</w:t>
      </w:r>
      <w:r w:rsidRPr="000B5813">
        <w:rPr>
          <w:color w:val="000000"/>
        </w:rPr>
        <w:t xml:space="preserve"> could have improved our model. But although we had access to the ICD codes defining the presence of </w:t>
      </w:r>
      <w:proofErr w:type="spellStart"/>
      <w:r w:rsidRPr="000B5813">
        <w:rPr>
          <w:color w:val="000000"/>
        </w:rPr>
        <w:t>anaemia</w:t>
      </w:r>
      <w:proofErr w:type="spellEnd"/>
      <w:r w:rsidRPr="000B5813">
        <w:rPr>
          <w:color w:val="000000"/>
        </w:rPr>
        <w:t xml:space="preserve">, we had no information on actual laboratory findings. Use of subcutaneously applied </w:t>
      </w:r>
      <w:proofErr w:type="spellStart"/>
      <w:r w:rsidRPr="000B5813">
        <w:rPr>
          <w:color w:val="000000"/>
        </w:rPr>
        <w:t>Tumour</w:t>
      </w:r>
      <w:proofErr w:type="spellEnd"/>
      <w:r w:rsidRPr="000B5813">
        <w:rPr>
          <w:color w:val="000000"/>
        </w:rPr>
        <w:t xml:space="preserve"> Necrosis Factor-alpha blockers,</w:t>
      </w:r>
      <w:r w:rsidRPr="000B5813">
        <w:rPr>
          <w:color w:val="000000"/>
          <w:vertAlign w:val="superscript"/>
        </w:rPr>
        <w:t>42,43</w:t>
      </w:r>
      <w:r w:rsidRPr="000B5813">
        <w:rPr>
          <w:color w:val="000000"/>
        </w:rPr>
        <w:t xml:space="preserve"> intra-</w:t>
      </w:r>
      <w:r w:rsidRPr="000B5813">
        <w:rPr>
          <w:color w:val="000000"/>
        </w:rPr>
        <w:lastRenderedPageBreak/>
        <w:t>articular steroid application</w:t>
      </w:r>
      <w:r w:rsidRPr="000B5813">
        <w:rPr>
          <w:color w:val="000000"/>
          <w:vertAlign w:val="superscript"/>
        </w:rPr>
        <w:t>44</w:t>
      </w:r>
      <w:r w:rsidRPr="000B5813">
        <w:rPr>
          <w:color w:val="000000"/>
        </w:rPr>
        <w:t xml:space="preserve"> or prolonged operating time,</w:t>
      </w:r>
      <w:r w:rsidRPr="000B5813">
        <w:rPr>
          <w:color w:val="000000"/>
          <w:vertAlign w:val="superscript"/>
        </w:rPr>
        <w:t>13,45,46</w:t>
      </w:r>
      <w:r w:rsidRPr="000B5813">
        <w:rPr>
          <w:color w:val="000000"/>
        </w:rPr>
        <w:t xml:space="preserve"> </w:t>
      </w:r>
      <w:proofErr w:type="gramStart"/>
      <w:r w:rsidRPr="000B5813">
        <w:rPr>
          <w:color w:val="000000"/>
        </w:rPr>
        <w:t>are</w:t>
      </w:r>
      <w:proofErr w:type="gramEnd"/>
      <w:r w:rsidRPr="000B5813">
        <w:rPr>
          <w:color w:val="000000"/>
        </w:rPr>
        <w:t xml:space="preserve"> also associated with the risk of PJI after THA. However, we decided to only consider factors that are available in an out-patient setting prior to surgery and our model can thus be used as a tool for shared decision making. This is facilitated by use of the implemented web calculator which we believe is a strength of our model. Another strength is the closed form regression formula presented below which is more transparent than a black box model sometimes associated with machine learning and artificial intelligence.</w:t>
      </w:r>
    </w:p>
    <w:p w14:paraId="6E1C20B9" w14:textId="77777777" w:rsidR="00363BBD" w:rsidRPr="000B5813" w:rsidRDefault="00FD60FF">
      <w:pPr>
        <w:pStyle w:val="Rubrik2"/>
        <w:rPr>
          <w:color w:val="000000"/>
        </w:rPr>
      </w:pPr>
      <w:bookmarkStart w:id="13" w:name="implications-of-the-study"/>
      <w:bookmarkEnd w:id="12"/>
      <w:r w:rsidRPr="000B5813">
        <w:rPr>
          <w:color w:val="000000"/>
        </w:rPr>
        <w:t>Implications of the study</w:t>
      </w:r>
    </w:p>
    <w:p w14:paraId="48204481" w14:textId="77777777" w:rsidR="00363BBD" w:rsidRPr="000B5813" w:rsidRDefault="00FD60FF">
      <w:pPr>
        <w:pStyle w:val="FirstParagraph"/>
        <w:rPr>
          <w:color w:val="000000"/>
        </w:rPr>
      </w:pPr>
      <w:r w:rsidRPr="000B5813">
        <w:rPr>
          <w:color w:val="000000"/>
        </w:rPr>
        <w:t xml:space="preserve">Our model can be presented by a logistic regression formula, where the probability of PJI within 90 days is estimated by </w:t>
      </w:r>
      <m:oMath>
        <m:r>
          <w:rPr>
            <w:rFonts w:ascii="Cambria Math" w:hAnsi="Cambria Math"/>
            <w:color w:val="000000"/>
          </w:rPr>
          <m:t>1</m:t>
        </m:r>
        <m:r>
          <m:rPr>
            <m:sty m:val="p"/>
          </m:rP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1</m:t>
            </m:r>
            <m:r>
              <m:rPr>
                <m:sty m:val="p"/>
              </m:rPr>
              <w:rPr>
                <w:rFonts w:ascii="Cambria Math" w:hAnsi="Cambria Math"/>
                <w:color w:val="000000"/>
              </w:rPr>
              <m:t>+exp</m:t>
            </m:r>
            <m:d>
              <m:dPr>
                <m:ctrlPr>
                  <w:rPr>
                    <w:rFonts w:ascii="Cambria Math" w:hAnsi="Cambria Math"/>
                    <w:color w:val="000000"/>
                  </w:rPr>
                </m:ctrlPr>
              </m:dPr>
              <m:e>
                <m:r>
                  <w:rPr>
                    <w:rFonts w:ascii="Cambria Math" w:hAnsi="Cambria Math"/>
                    <w:color w:val="000000"/>
                  </w:rPr>
                  <m:t>6.31</m:t>
                </m:r>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x</m:t>
                    </m:r>
                  </m:e>
                  <m:sub>
                    <m:r>
                      <w:rPr>
                        <w:rFonts w:ascii="Cambria Math" w:hAnsi="Cambria Math"/>
                        <w:color w:val="000000"/>
                      </w:rPr>
                      <m:t>i</m:t>
                    </m:r>
                  </m:sub>
                </m:sSub>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β</m:t>
                        </m:r>
                      </m:e>
                    </m:acc>
                  </m:e>
                  <m:sub>
                    <m:r>
                      <w:rPr>
                        <w:rFonts w:ascii="Cambria Math" w:hAnsi="Cambria Math"/>
                        <w:color w:val="000000"/>
                      </w:rPr>
                      <m:t>i</m:t>
                    </m:r>
                  </m:sub>
                </m:sSub>
              </m:e>
            </m:d>
          </m:e>
        </m:d>
      </m:oMath>
      <w:r w:rsidRPr="000B5813">
        <w:rPr>
          <w:color w:val="000000"/>
        </w:rPr>
        <w:t xml:space="preserve"> where </w:t>
      </w:r>
      <m:oMath>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x</m:t>
            </m:r>
          </m:e>
          <m:sub>
            <m:r>
              <w:rPr>
                <w:rFonts w:ascii="Cambria Math" w:hAnsi="Cambria Math"/>
                <w:color w:val="000000"/>
              </w:rPr>
              <m:t>i</m:t>
            </m:r>
          </m:sub>
        </m:sSub>
        <m:sSub>
          <m:sSubPr>
            <m:ctrlPr>
              <w:rPr>
                <w:rFonts w:ascii="Cambria Math" w:hAnsi="Cambria Math"/>
                <w:color w:val="000000"/>
              </w:rPr>
            </m:ctrlPr>
          </m:sSubPr>
          <m:e>
            <m:acc>
              <m:accPr>
                <m:ctrlPr>
                  <w:rPr>
                    <w:rFonts w:ascii="Cambria Math" w:hAnsi="Cambria Math"/>
                    <w:color w:val="000000"/>
                  </w:rPr>
                </m:ctrlPr>
              </m:accPr>
              <m:e>
                <m:r>
                  <w:rPr>
                    <w:rFonts w:ascii="Cambria Math" w:hAnsi="Cambria Math"/>
                    <w:color w:val="000000"/>
                  </w:rPr>
                  <m:t>β</m:t>
                </m:r>
              </m:e>
            </m:acc>
          </m:e>
          <m:sub>
            <m:r>
              <w:rPr>
                <w:rFonts w:ascii="Cambria Math" w:hAnsi="Cambria Math"/>
                <w:color w:val="000000"/>
              </w:rPr>
              <m:t>i</m:t>
            </m:r>
          </m:sub>
        </m:sSub>
      </m:oMath>
      <w:r w:rsidRPr="000B5813">
        <w:rPr>
          <w:color w:val="000000"/>
        </w:rPr>
        <w:t xml:space="preserve"> indicates the sum of individual patient characteristics multiplied by the estimated coefficient values from Table 3. For example, a 60-year-old female with normal BMI, primary osteoarthritis and without comorbidities would have a probability of </w:t>
      </w:r>
      <m:oMath>
        <m:r>
          <w:rPr>
            <w:rFonts w:ascii="Cambria Math" w:hAnsi="Cambria Math"/>
            <w:color w:val="000000"/>
          </w:rPr>
          <m:t>1</m:t>
        </m:r>
        <m:r>
          <m:rPr>
            <m:sty m:val="p"/>
          </m:rP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1</m:t>
            </m:r>
            <m:r>
              <m:rPr>
                <m:sty m:val="p"/>
              </m:rPr>
              <w:rPr>
                <w:rFonts w:ascii="Cambria Math" w:hAnsi="Cambria Math"/>
                <w:color w:val="000000"/>
              </w:rPr>
              <m:t>+exp</m:t>
            </m:r>
            <m:d>
              <m:dPr>
                <m:ctrlPr>
                  <w:rPr>
                    <w:rFonts w:ascii="Cambria Math" w:hAnsi="Cambria Math"/>
                    <w:color w:val="000000"/>
                  </w:rPr>
                </m:ctrlPr>
              </m:dPr>
              <m:e>
                <m:r>
                  <w:rPr>
                    <w:rFonts w:ascii="Cambria Math" w:hAnsi="Cambria Math"/>
                    <w:color w:val="000000"/>
                  </w:rPr>
                  <m:t>6.31</m:t>
                </m:r>
                <m:r>
                  <m:rPr>
                    <m:sty m:val="p"/>
                  </m:rPr>
                  <w:rPr>
                    <w:rFonts w:ascii="Cambria Math" w:hAnsi="Cambria Math"/>
                    <w:color w:val="000000"/>
                  </w:rPr>
                  <m:t>-</m:t>
                </m:r>
                <m:r>
                  <w:rPr>
                    <w:rFonts w:ascii="Cambria Math" w:hAnsi="Cambria Math"/>
                    <w:color w:val="000000"/>
                  </w:rPr>
                  <m:t>60</m:t>
                </m:r>
                <m:r>
                  <m:rPr>
                    <m:sty m:val="p"/>
                  </m:rPr>
                  <w:rPr>
                    <w:rFonts w:ascii="Cambria Math" w:hAnsi="Cambria Math"/>
                    <w:color w:val="000000"/>
                  </w:rPr>
                  <m:t>⋅</m:t>
                </m:r>
                <m:r>
                  <w:rPr>
                    <w:rFonts w:ascii="Cambria Math" w:hAnsi="Cambria Math"/>
                    <w:color w:val="000000"/>
                  </w:rPr>
                  <m:t>0.02</m:t>
                </m:r>
              </m:e>
            </m:d>
          </m:e>
        </m:d>
        <m:r>
          <m:rPr>
            <m:sty m:val="p"/>
          </m:rPr>
          <w:rPr>
            <w:rFonts w:ascii="Cambria Math" w:hAnsi="Cambria Math"/>
            <w:color w:val="000000"/>
          </w:rPr>
          <m:t>≈</m:t>
        </m:r>
      </m:oMath>
      <w:r w:rsidRPr="000B5813">
        <w:rPr>
          <w:color w:val="000000"/>
        </w:rPr>
        <w:t xml:space="preserve"> 0.7 % of suffering from a PJI within 90 days. For comparison, an 85-year-old male with overweight, secondary osteoarthritis, psoriasis, </w:t>
      </w:r>
      <w:proofErr w:type="gramStart"/>
      <w:r w:rsidRPr="000B5813">
        <w:rPr>
          <w:color w:val="000000"/>
        </w:rPr>
        <w:t>dementia</w:t>
      </w:r>
      <w:proofErr w:type="gramEnd"/>
      <w:r w:rsidRPr="000B5813">
        <w:rPr>
          <w:color w:val="000000"/>
        </w:rPr>
        <w:t xml:space="preserve"> and an ASA class III would have a probability of 15.1 %. Note, however, that observed proportions above 10 % were rare, and predicted probabilities above this limit are subject to extrapolation.</w:t>
      </w:r>
    </w:p>
    <w:p w14:paraId="18F0E6E7" w14:textId="77777777" w:rsidR="00363BBD" w:rsidRPr="000B5813" w:rsidRDefault="00FD60FF">
      <w:pPr>
        <w:pStyle w:val="Brdtext"/>
        <w:rPr>
          <w:color w:val="000000"/>
        </w:rPr>
      </w:pPr>
      <w:r w:rsidRPr="000B5813">
        <w:rPr>
          <w:color w:val="000000"/>
        </w:rPr>
        <w:t xml:space="preserve">It should be noted that the aim of prediction is different from statistical inference. As such, CIs in table 3 were based solely on the final logistic regression model, ignoring additional uncertainty from the preceding variable selection. Hence, those CIs should not be interpreted in support of any implicit hypothesis testing concerning the relevance of any individual variable. Also, the individual odds ratios should not be interpreted as effect measures of individual relations since some variables were correlated. The selected variables are nevertheless coherent with previous </w:t>
      </w:r>
      <w:r w:rsidRPr="000B5813">
        <w:rPr>
          <w:color w:val="000000"/>
        </w:rPr>
        <w:lastRenderedPageBreak/>
        <w:t>studies. Patients with primary osteoarthritis seem less prone to developing PJI than patients receiving THA for other reasons.</w:t>
      </w:r>
      <w:r w:rsidRPr="000B5813">
        <w:rPr>
          <w:color w:val="000000"/>
          <w:vertAlign w:val="superscript"/>
        </w:rPr>
        <w:t>10,21,47,48</w:t>
      </w:r>
      <w:r w:rsidRPr="000B5813">
        <w:rPr>
          <w:color w:val="000000"/>
        </w:rPr>
        <w:t xml:space="preserve"> Obesity is associated with an increased risk of re-operations or adverse events after THA</w:t>
      </w:r>
      <w:r w:rsidRPr="000B5813">
        <w:rPr>
          <w:color w:val="000000"/>
          <w:vertAlign w:val="superscript"/>
        </w:rPr>
        <w:t>49</w:t>
      </w:r>
      <w:r w:rsidRPr="000B5813">
        <w:rPr>
          <w:color w:val="000000"/>
        </w:rPr>
        <w:t xml:space="preserve"> and with an increased risk of developing surgical site infections or PJI after THA.</w:t>
      </w:r>
      <w:r w:rsidRPr="000B5813">
        <w:rPr>
          <w:color w:val="000000"/>
          <w:vertAlign w:val="superscript"/>
        </w:rPr>
        <w:t>7,11,13,35,37</w:t>
      </w:r>
      <w:r w:rsidRPr="000B5813">
        <w:rPr>
          <w:color w:val="000000"/>
        </w:rPr>
        <w:t xml:space="preserve"> CNS disease (cerebrovascular disease, dementia, hemiplegia, and Parkinson’s disease) has also been previously associated with PJI,</w:t>
      </w:r>
      <w:r w:rsidRPr="000B5813">
        <w:rPr>
          <w:color w:val="000000"/>
          <w:vertAlign w:val="superscript"/>
        </w:rPr>
        <w:t>10</w:t>
      </w:r>
      <w:r w:rsidRPr="000B5813">
        <w:rPr>
          <w:color w:val="000000"/>
        </w:rPr>
        <w:t xml:space="preserve"> as have male sex,</w:t>
      </w:r>
      <w:r w:rsidRPr="000B5813">
        <w:rPr>
          <w:color w:val="000000"/>
          <w:vertAlign w:val="superscript"/>
        </w:rPr>
        <w:t>19,37,48</w:t>
      </w:r>
      <w:r w:rsidRPr="000B5813">
        <w:rPr>
          <w:color w:val="000000"/>
        </w:rPr>
        <w:t xml:space="preserve"> liver disease</w:t>
      </w:r>
      <w:r w:rsidRPr="000B5813">
        <w:rPr>
          <w:color w:val="000000"/>
          <w:vertAlign w:val="superscript"/>
        </w:rPr>
        <w:t>50</w:t>
      </w:r>
      <w:r w:rsidRPr="000B5813">
        <w:rPr>
          <w:color w:val="000000"/>
        </w:rPr>
        <w:t xml:space="preserve"> and ASA class.</w:t>
      </w:r>
      <w:r w:rsidRPr="000B5813">
        <w:rPr>
          <w:color w:val="000000"/>
          <w:vertAlign w:val="superscript"/>
        </w:rPr>
        <w:t>39,46,51</w:t>
      </w:r>
    </w:p>
    <w:p w14:paraId="6CD6DDD1" w14:textId="77777777" w:rsidR="00363BBD" w:rsidRPr="000B5813" w:rsidRDefault="00FD60FF">
      <w:pPr>
        <w:pStyle w:val="Rubrik2"/>
        <w:rPr>
          <w:color w:val="000000"/>
        </w:rPr>
      </w:pPr>
      <w:bookmarkStart w:id="14" w:name="unanswered-questions-and-future-research"/>
      <w:bookmarkEnd w:id="13"/>
      <w:r w:rsidRPr="000B5813">
        <w:rPr>
          <w:color w:val="000000"/>
        </w:rPr>
        <w:t>Unanswered questions and future research</w:t>
      </w:r>
    </w:p>
    <w:p w14:paraId="0A089A15" w14:textId="77777777" w:rsidR="00363BBD" w:rsidRPr="000B5813" w:rsidRDefault="00FD60FF">
      <w:pPr>
        <w:pStyle w:val="FirstParagraph"/>
        <w:rPr>
          <w:color w:val="000000"/>
        </w:rPr>
      </w:pPr>
      <w:r w:rsidRPr="000B5813">
        <w:rPr>
          <w:color w:val="000000"/>
        </w:rPr>
        <w:t>The proportion of explained variation (</w:t>
      </w:r>
      <w:proofErr w:type="spellStart"/>
      <w:r w:rsidRPr="000B5813">
        <w:rPr>
          <w:color w:val="000000"/>
        </w:rPr>
        <w:t>Nagelkerke’s</w:t>
      </w:r>
      <w:proofErr w:type="spellEnd"/>
      <w:r w:rsidRPr="000B5813">
        <w:rPr>
          <w:color w:val="000000"/>
        </w:rPr>
        <w:t xml:space="preserve"> </w:t>
      </w:r>
      <m:oMath>
        <m:sSup>
          <m:sSupPr>
            <m:ctrlPr>
              <w:rPr>
                <w:rFonts w:ascii="Cambria Math" w:hAnsi="Cambria Math"/>
                <w:color w:val="000000"/>
              </w:rPr>
            </m:ctrlPr>
          </m:sSupPr>
          <m:e>
            <m:r>
              <w:rPr>
                <w:rFonts w:ascii="Cambria Math" w:hAnsi="Cambria Math"/>
                <w:color w:val="000000"/>
              </w:rPr>
              <m:t>R</m:t>
            </m:r>
          </m:e>
          <m:sup>
            <m:r>
              <w:rPr>
                <w:rFonts w:ascii="Cambria Math" w:hAnsi="Cambria Math"/>
                <w:color w:val="000000"/>
              </w:rPr>
              <m:t>2</m:t>
            </m:r>
          </m:sup>
        </m:sSup>
      </m:oMath>
      <w:r w:rsidRPr="000B5813">
        <w:rPr>
          <w:color w:val="000000"/>
        </w:rPr>
        <w:t xml:space="preserve"> = 4.72 % from Table 4) was low. The question of what other variables might be needed to further refine prediction models remains open, but information that is notoriously difficult to obtain within the setting of large register studies, such as smoking status, might be of value. In addition, a potential underlying susceptibility to PJI -— as has been described for patients with osteomyelitis -— could be a factor of considerable influence on the outcome.</w:t>
      </w:r>
    </w:p>
    <w:p w14:paraId="070BD48D" w14:textId="77777777" w:rsidR="00363BBD" w:rsidRPr="000B5813" w:rsidRDefault="00FD60FF">
      <w:pPr>
        <w:pStyle w:val="Brdtext"/>
        <w:rPr>
          <w:color w:val="000000"/>
        </w:rPr>
      </w:pPr>
      <w:r w:rsidRPr="000B5813">
        <w:rPr>
          <w:color w:val="000000"/>
        </w:rPr>
        <w:t xml:space="preserve">It should also be noticed that our study design was </w:t>
      </w:r>
      <w:proofErr w:type="gramStart"/>
      <w:r w:rsidRPr="000B5813">
        <w:rPr>
          <w:color w:val="000000"/>
        </w:rPr>
        <w:t>observational, and</w:t>
      </w:r>
      <w:proofErr w:type="gramEnd"/>
      <w:r w:rsidRPr="000B5813">
        <w:rPr>
          <w:color w:val="000000"/>
        </w:rPr>
        <w:t xml:space="preserve"> can only yield (statistical) correlations between PJI and the included variables. Additional studies are therefore required to establish causal pathways and to identify possible modifiable risk factors.</w:t>
      </w:r>
      <w:r w:rsidRPr="000B5813">
        <w:rPr>
          <w:color w:val="000000"/>
          <w:vertAlign w:val="superscript"/>
        </w:rPr>
        <w:t>52</w:t>
      </w:r>
    </w:p>
    <w:p w14:paraId="6BE5CC2F" w14:textId="77777777" w:rsidR="00363BBD" w:rsidRPr="000B5813" w:rsidRDefault="00FD60FF">
      <w:pPr>
        <w:pStyle w:val="Rubrik1"/>
        <w:rPr>
          <w:color w:val="000000"/>
        </w:rPr>
      </w:pPr>
      <w:bookmarkStart w:id="15" w:name="conclusion"/>
      <w:bookmarkEnd w:id="9"/>
      <w:bookmarkEnd w:id="14"/>
      <w:r w:rsidRPr="000B5813">
        <w:rPr>
          <w:color w:val="000000"/>
        </w:rPr>
        <w:t>Conclusion</w:t>
      </w:r>
    </w:p>
    <w:p w14:paraId="69D7124B" w14:textId="77777777" w:rsidR="00363BBD" w:rsidRPr="000B5813" w:rsidRDefault="00FD60FF">
      <w:pPr>
        <w:pStyle w:val="FirstParagraph"/>
        <w:rPr>
          <w:color w:val="000000"/>
        </w:rPr>
      </w:pPr>
      <w:r w:rsidRPr="000B5813">
        <w:rPr>
          <w:color w:val="000000"/>
        </w:rPr>
        <w:t>Our results indicate that the risk of early PJI after THA can be pre-operatively assessed by a parsimonious prediction model based on patient demographics and a short list of well-defined comorbidities. We hope that this model, with its accompanying web calculator, will facilitate shared decision-making between physicians and patients in need of THA.</w:t>
      </w:r>
    </w:p>
    <w:p w14:paraId="7AE5C4BF" w14:textId="77777777" w:rsidR="00363BBD" w:rsidRPr="000B5813" w:rsidRDefault="00FD60FF">
      <w:pPr>
        <w:pStyle w:val="Rubrik1"/>
        <w:rPr>
          <w:color w:val="000000"/>
        </w:rPr>
      </w:pPr>
      <w:bookmarkStart w:id="16" w:name="abbreviations"/>
      <w:bookmarkEnd w:id="15"/>
      <w:r w:rsidRPr="000B5813">
        <w:rPr>
          <w:color w:val="000000"/>
        </w:rPr>
        <w:lastRenderedPageBreak/>
        <w:t>Abbreviations</w:t>
      </w:r>
    </w:p>
    <w:p w14:paraId="5BB9DD1B" w14:textId="77777777" w:rsidR="00363BBD" w:rsidRPr="000B5813" w:rsidRDefault="00FD60FF">
      <w:pPr>
        <w:pStyle w:val="Compact"/>
        <w:numPr>
          <w:ilvl w:val="0"/>
          <w:numId w:val="18"/>
        </w:numPr>
        <w:rPr>
          <w:color w:val="000000"/>
        </w:rPr>
      </w:pPr>
      <w:r w:rsidRPr="000B5813">
        <w:rPr>
          <w:color w:val="000000"/>
        </w:rPr>
        <w:t>ASA: American Society for Anesthesiologists</w:t>
      </w:r>
    </w:p>
    <w:p w14:paraId="04642942" w14:textId="77777777" w:rsidR="00363BBD" w:rsidRPr="000B5813" w:rsidRDefault="00FD60FF">
      <w:pPr>
        <w:pStyle w:val="Compact"/>
        <w:numPr>
          <w:ilvl w:val="0"/>
          <w:numId w:val="18"/>
        </w:numPr>
        <w:rPr>
          <w:color w:val="000000"/>
        </w:rPr>
      </w:pPr>
      <w:r w:rsidRPr="000B5813">
        <w:rPr>
          <w:color w:val="000000"/>
        </w:rPr>
        <w:t>AUC: area under the curve</w:t>
      </w:r>
    </w:p>
    <w:p w14:paraId="118F714B" w14:textId="77777777" w:rsidR="00363BBD" w:rsidRPr="000B5813" w:rsidRDefault="00FD60FF">
      <w:pPr>
        <w:pStyle w:val="Compact"/>
        <w:numPr>
          <w:ilvl w:val="0"/>
          <w:numId w:val="18"/>
        </w:numPr>
        <w:rPr>
          <w:color w:val="000000"/>
        </w:rPr>
      </w:pPr>
      <w:r w:rsidRPr="000B5813">
        <w:rPr>
          <w:color w:val="000000"/>
        </w:rPr>
        <w:t>BMI: body mass index</w:t>
      </w:r>
    </w:p>
    <w:p w14:paraId="46F9F315" w14:textId="77777777" w:rsidR="00363BBD" w:rsidRPr="000B5813" w:rsidRDefault="00FD60FF">
      <w:pPr>
        <w:pStyle w:val="Compact"/>
        <w:numPr>
          <w:ilvl w:val="0"/>
          <w:numId w:val="18"/>
        </w:numPr>
        <w:rPr>
          <w:color w:val="000000"/>
        </w:rPr>
      </w:pPr>
      <w:r w:rsidRPr="000B5813">
        <w:rPr>
          <w:color w:val="000000"/>
        </w:rPr>
        <w:t>CI: Confidence interval</w:t>
      </w:r>
    </w:p>
    <w:p w14:paraId="7DEF463D" w14:textId="77777777" w:rsidR="00363BBD" w:rsidRPr="000B5813" w:rsidRDefault="00FD60FF">
      <w:pPr>
        <w:pStyle w:val="Compact"/>
        <w:numPr>
          <w:ilvl w:val="0"/>
          <w:numId w:val="18"/>
        </w:numPr>
        <w:rPr>
          <w:color w:val="000000"/>
        </w:rPr>
      </w:pPr>
      <w:r w:rsidRPr="000B5813">
        <w:rPr>
          <w:color w:val="000000"/>
        </w:rPr>
        <w:t>DHR: The Danish Hip Arthroplasty Register</w:t>
      </w:r>
    </w:p>
    <w:p w14:paraId="5F669BA7" w14:textId="77777777" w:rsidR="00363BBD" w:rsidRPr="000B5813" w:rsidRDefault="00FD60FF">
      <w:pPr>
        <w:pStyle w:val="Compact"/>
        <w:numPr>
          <w:ilvl w:val="0"/>
          <w:numId w:val="18"/>
        </w:numPr>
        <w:rPr>
          <w:color w:val="000000"/>
        </w:rPr>
      </w:pPr>
      <w:r w:rsidRPr="000B5813">
        <w:rPr>
          <w:color w:val="000000"/>
        </w:rPr>
        <w:t>DK: Denmark</w:t>
      </w:r>
    </w:p>
    <w:p w14:paraId="7E6E3B7E" w14:textId="77777777" w:rsidR="00363BBD" w:rsidRPr="000B5813" w:rsidRDefault="00FD60FF">
      <w:pPr>
        <w:pStyle w:val="Compact"/>
        <w:numPr>
          <w:ilvl w:val="0"/>
          <w:numId w:val="18"/>
        </w:numPr>
        <w:rPr>
          <w:color w:val="000000"/>
        </w:rPr>
      </w:pPr>
      <w:r w:rsidRPr="000B5813">
        <w:rPr>
          <w:color w:val="000000"/>
        </w:rPr>
        <w:t>FNI: fraction of new information</w:t>
      </w:r>
    </w:p>
    <w:p w14:paraId="65ED4B34" w14:textId="77777777" w:rsidR="00363BBD" w:rsidRPr="000B5813" w:rsidRDefault="00FD60FF">
      <w:pPr>
        <w:pStyle w:val="Compact"/>
        <w:numPr>
          <w:ilvl w:val="0"/>
          <w:numId w:val="18"/>
        </w:numPr>
        <w:rPr>
          <w:color w:val="000000"/>
        </w:rPr>
      </w:pPr>
      <w:r w:rsidRPr="000B5813">
        <w:rPr>
          <w:color w:val="000000"/>
        </w:rPr>
        <w:t>ICD: International Classification of Diseases</w:t>
      </w:r>
    </w:p>
    <w:p w14:paraId="5B6B0299" w14:textId="77777777" w:rsidR="00363BBD" w:rsidRPr="000B5813" w:rsidRDefault="00FD60FF">
      <w:pPr>
        <w:pStyle w:val="Compact"/>
        <w:numPr>
          <w:ilvl w:val="0"/>
          <w:numId w:val="18"/>
        </w:numPr>
        <w:rPr>
          <w:color w:val="000000"/>
        </w:rPr>
      </w:pPr>
      <w:r w:rsidRPr="000B5813">
        <w:rPr>
          <w:color w:val="000000"/>
        </w:rPr>
        <w:t>LASSO: least absolute shrinkage and selection operator</w:t>
      </w:r>
    </w:p>
    <w:p w14:paraId="334F9953" w14:textId="77777777" w:rsidR="00363BBD" w:rsidRPr="000B5813" w:rsidRDefault="00FD60FF">
      <w:pPr>
        <w:pStyle w:val="Compact"/>
        <w:numPr>
          <w:ilvl w:val="0"/>
          <w:numId w:val="18"/>
        </w:numPr>
        <w:rPr>
          <w:color w:val="000000"/>
        </w:rPr>
      </w:pPr>
      <w:r w:rsidRPr="000B5813">
        <w:rPr>
          <w:color w:val="000000"/>
        </w:rPr>
        <w:t>NOMESCO: Nordic Medico-Procedural Committee</w:t>
      </w:r>
    </w:p>
    <w:p w14:paraId="0FB9D4A8" w14:textId="77777777" w:rsidR="00363BBD" w:rsidRPr="000B5813" w:rsidRDefault="00FD60FF">
      <w:pPr>
        <w:pStyle w:val="Compact"/>
        <w:numPr>
          <w:ilvl w:val="0"/>
          <w:numId w:val="18"/>
        </w:numPr>
        <w:rPr>
          <w:color w:val="000000"/>
        </w:rPr>
      </w:pPr>
      <w:r w:rsidRPr="000B5813">
        <w:rPr>
          <w:color w:val="000000"/>
        </w:rPr>
        <w:t>NPR: The National Patient Register</w:t>
      </w:r>
    </w:p>
    <w:p w14:paraId="671FD9CA" w14:textId="77777777" w:rsidR="00363BBD" w:rsidRPr="000B5813" w:rsidRDefault="00FD60FF">
      <w:pPr>
        <w:pStyle w:val="Compact"/>
        <w:numPr>
          <w:ilvl w:val="0"/>
          <w:numId w:val="18"/>
        </w:numPr>
        <w:rPr>
          <w:color w:val="000000"/>
        </w:rPr>
      </w:pPr>
      <w:r w:rsidRPr="000B5813">
        <w:rPr>
          <w:color w:val="000000"/>
        </w:rPr>
        <w:t xml:space="preserve">PJI: </w:t>
      </w:r>
      <w:bookmarkStart w:id="17" w:name="_Hlk95845789"/>
      <w:bookmarkStart w:id="18" w:name="_Hlk95846427"/>
      <w:r w:rsidRPr="000B5813">
        <w:rPr>
          <w:color w:val="000000"/>
        </w:rPr>
        <w:t>periprosthetic joint infection</w:t>
      </w:r>
      <w:bookmarkEnd w:id="17"/>
    </w:p>
    <w:bookmarkEnd w:id="18"/>
    <w:p w14:paraId="4BF31364" w14:textId="77777777" w:rsidR="00363BBD" w:rsidRPr="000B5813" w:rsidRDefault="00FD60FF">
      <w:pPr>
        <w:pStyle w:val="Compact"/>
        <w:numPr>
          <w:ilvl w:val="0"/>
          <w:numId w:val="18"/>
        </w:numPr>
        <w:rPr>
          <w:color w:val="000000"/>
        </w:rPr>
      </w:pPr>
      <w:r w:rsidRPr="000B5813">
        <w:rPr>
          <w:color w:val="000000"/>
        </w:rPr>
        <w:t>ROC: Receiver operating characteristic</w:t>
      </w:r>
    </w:p>
    <w:p w14:paraId="473BCA94" w14:textId="77777777" w:rsidR="00363BBD" w:rsidRPr="000B5813" w:rsidRDefault="00FD60FF">
      <w:pPr>
        <w:pStyle w:val="Compact"/>
        <w:numPr>
          <w:ilvl w:val="0"/>
          <w:numId w:val="18"/>
        </w:numPr>
        <w:rPr>
          <w:color w:val="000000"/>
        </w:rPr>
      </w:pPr>
      <w:r w:rsidRPr="000B5813">
        <w:rPr>
          <w:color w:val="000000"/>
        </w:rPr>
        <w:t>SD: Standard deviation</w:t>
      </w:r>
    </w:p>
    <w:p w14:paraId="5BD77524" w14:textId="77777777" w:rsidR="00363BBD" w:rsidRPr="000B5813" w:rsidRDefault="00FD60FF">
      <w:pPr>
        <w:pStyle w:val="Compact"/>
        <w:numPr>
          <w:ilvl w:val="0"/>
          <w:numId w:val="18"/>
        </w:numPr>
        <w:rPr>
          <w:color w:val="000000"/>
        </w:rPr>
      </w:pPr>
      <w:r w:rsidRPr="000B5813">
        <w:rPr>
          <w:color w:val="000000"/>
        </w:rPr>
        <w:t>SE: Sweden</w:t>
      </w:r>
    </w:p>
    <w:p w14:paraId="73B5DD10" w14:textId="77777777" w:rsidR="00363BBD" w:rsidRPr="000B5813" w:rsidRDefault="00FD60FF">
      <w:pPr>
        <w:pStyle w:val="Compact"/>
        <w:numPr>
          <w:ilvl w:val="0"/>
          <w:numId w:val="18"/>
        </w:numPr>
        <w:rPr>
          <w:color w:val="000000"/>
        </w:rPr>
      </w:pPr>
      <w:r w:rsidRPr="000B5813">
        <w:rPr>
          <w:color w:val="000000"/>
        </w:rPr>
        <w:t>SHAR: The Swedish Hip Arthroplasty Register</w:t>
      </w:r>
    </w:p>
    <w:p w14:paraId="22EE99BD" w14:textId="77777777" w:rsidR="00363BBD" w:rsidRPr="000B5813" w:rsidRDefault="00FD60FF">
      <w:pPr>
        <w:pStyle w:val="Compact"/>
        <w:numPr>
          <w:ilvl w:val="0"/>
          <w:numId w:val="18"/>
        </w:numPr>
        <w:rPr>
          <w:color w:val="000000"/>
        </w:rPr>
      </w:pPr>
      <w:r w:rsidRPr="000B5813">
        <w:rPr>
          <w:color w:val="000000"/>
        </w:rPr>
        <w:t>THA: total hip arthroplasty</w:t>
      </w:r>
    </w:p>
    <w:p w14:paraId="4C5351F0" w14:textId="77777777" w:rsidR="00363BBD" w:rsidRPr="000B5813" w:rsidRDefault="00FD60FF">
      <w:pPr>
        <w:pStyle w:val="Rubrik1"/>
        <w:rPr>
          <w:color w:val="000000"/>
        </w:rPr>
      </w:pPr>
      <w:bookmarkStart w:id="19" w:name="acknowledgement"/>
      <w:bookmarkEnd w:id="16"/>
      <w:r w:rsidRPr="000B5813">
        <w:rPr>
          <w:color w:val="000000"/>
        </w:rPr>
        <w:t>Acknowledgement</w:t>
      </w:r>
    </w:p>
    <w:p w14:paraId="337B36FC" w14:textId="77777777" w:rsidR="00363BBD" w:rsidRPr="000B5813" w:rsidRDefault="00FD60FF">
      <w:pPr>
        <w:pStyle w:val="FirstParagraph"/>
        <w:rPr>
          <w:color w:val="000000"/>
        </w:rPr>
      </w:pPr>
      <w:r w:rsidRPr="000B5813">
        <w:rPr>
          <w:color w:val="000000"/>
        </w:rPr>
        <w:t xml:space="preserve">We would like to thank Aurelie </w:t>
      </w:r>
      <w:proofErr w:type="spellStart"/>
      <w:r w:rsidRPr="000B5813">
        <w:rPr>
          <w:color w:val="000000"/>
        </w:rPr>
        <w:t>Mailhac</w:t>
      </w:r>
      <w:proofErr w:type="spellEnd"/>
      <w:r w:rsidRPr="000B5813">
        <w:rPr>
          <w:color w:val="000000"/>
        </w:rPr>
        <w:t>, statistician at the Department of Clinical Epidemiology at Aarhus University, for help with the external validation.</w:t>
      </w:r>
    </w:p>
    <w:p w14:paraId="18F93060" w14:textId="77777777" w:rsidR="00363BBD" w:rsidRPr="000B5813" w:rsidRDefault="00FD60FF">
      <w:pPr>
        <w:pStyle w:val="Rubrik1"/>
        <w:rPr>
          <w:color w:val="000000"/>
        </w:rPr>
      </w:pPr>
      <w:bookmarkStart w:id="20" w:name="data-sharing"/>
      <w:bookmarkEnd w:id="19"/>
      <w:r w:rsidRPr="000B5813">
        <w:rPr>
          <w:color w:val="000000"/>
        </w:rPr>
        <w:t>Data sharing</w:t>
      </w:r>
    </w:p>
    <w:p w14:paraId="2AC189A6" w14:textId="77777777" w:rsidR="00363BBD" w:rsidRPr="000B5813" w:rsidRDefault="00FD60FF">
      <w:pPr>
        <w:pStyle w:val="FirstParagraph"/>
        <w:rPr>
          <w:color w:val="000000"/>
        </w:rPr>
      </w:pPr>
      <w:r w:rsidRPr="000B5813">
        <w:rPr>
          <w:color w:val="000000"/>
        </w:rPr>
        <w:t xml:space="preserve">Access to the model derivation cohort is granted after permission from the </w:t>
      </w:r>
      <w:proofErr w:type="spellStart"/>
      <w:r w:rsidRPr="000B5813">
        <w:rPr>
          <w:color w:val="000000"/>
        </w:rPr>
        <w:t>Västra</w:t>
      </w:r>
      <w:proofErr w:type="spellEnd"/>
      <w:r w:rsidRPr="000B5813">
        <w:rPr>
          <w:color w:val="000000"/>
        </w:rPr>
        <w:t xml:space="preserve"> </w:t>
      </w:r>
      <w:proofErr w:type="spellStart"/>
      <w:r w:rsidRPr="000B5813">
        <w:rPr>
          <w:color w:val="000000"/>
        </w:rPr>
        <w:t>Götaland</w:t>
      </w:r>
      <w:proofErr w:type="spellEnd"/>
      <w:r w:rsidRPr="000B5813">
        <w:rPr>
          <w:color w:val="000000"/>
        </w:rPr>
        <w:t xml:space="preserve"> Region, as the central personal data controller agency for the SHAR, in accordance with the European General Data Protection Regulation (GDPR), as well as Swedish laws and regulations (</w:t>
      </w:r>
      <w:hyperlink r:id="rId11">
        <w:r w:rsidRPr="000B5813">
          <w:rPr>
            <w:rStyle w:val="Hyperlnk"/>
            <w:color w:val="000000"/>
          </w:rPr>
          <w:t>https://registercentrum.se/vara-tjaenster/datauttag/p/B1eeV66QE</w:t>
        </w:r>
      </w:hyperlink>
      <w:r w:rsidRPr="000B5813">
        <w:rPr>
          <w:color w:val="000000"/>
        </w:rPr>
        <w:t>).</w:t>
      </w:r>
    </w:p>
    <w:p w14:paraId="5DCA76AD" w14:textId="77777777" w:rsidR="00363BBD" w:rsidRPr="000B5813" w:rsidRDefault="00FD60FF">
      <w:pPr>
        <w:pStyle w:val="Rubrik1"/>
        <w:rPr>
          <w:color w:val="000000"/>
        </w:rPr>
      </w:pPr>
      <w:bookmarkStart w:id="21" w:name="funding"/>
      <w:bookmarkEnd w:id="20"/>
      <w:r w:rsidRPr="000B5813">
        <w:rPr>
          <w:color w:val="000000"/>
        </w:rPr>
        <w:t>Funding</w:t>
      </w:r>
    </w:p>
    <w:p w14:paraId="3B37AEBA" w14:textId="77777777" w:rsidR="00363BBD" w:rsidRPr="000B5813" w:rsidRDefault="00FD60FF">
      <w:pPr>
        <w:pStyle w:val="FirstParagraph"/>
        <w:rPr>
          <w:color w:val="000000"/>
        </w:rPr>
      </w:pPr>
      <w:r w:rsidRPr="000B5813">
        <w:rPr>
          <w:color w:val="000000"/>
        </w:rPr>
        <w:t>None</w:t>
      </w:r>
    </w:p>
    <w:p w14:paraId="6236F447" w14:textId="77777777" w:rsidR="00363BBD" w:rsidRPr="000B5813" w:rsidRDefault="00FD60FF">
      <w:pPr>
        <w:pStyle w:val="Rubrik1"/>
        <w:rPr>
          <w:color w:val="000000"/>
        </w:rPr>
      </w:pPr>
      <w:bookmarkStart w:id="22" w:name="conflict-of-interest"/>
      <w:bookmarkEnd w:id="21"/>
      <w:r w:rsidRPr="000B5813">
        <w:rPr>
          <w:color w:val="000000"/>
        </w:rPr>
        <w:lastRenderedPageBreak/>
        <w:t>Conflict of interest</w:t>
      </w:r>
    </w:p>
    <w:p w14:paraId="71463868" w14:textId="77777777" w:rsidR="00363BBD" w:rsidRPr="000B5813" w:rsidRDefault="00FD60FF">
      <w:pPr>
        <w:pStyle w:val="FirstParagraph"/>
        <w:rPr>
          <w:color w:val="000000"/>
        </w:rPr>
      </w:pPr>
      <w:r w:rsidRPr="000B5813">
        <w:rPr>
          <w:color w:val="000000"/>
        </w:rPr>
        <w:t xml:space="preserve">All authors have completed the ICMJE uniform disclosure form at </w:t>
      </w:r>
      <w:hyperlink r:id="rId12">
        <w:r w:rsidRPr="000B5813">
          <w:rPr>
            <w:rStyle w:val="Hyperlnk"/>
            <w:color w:val="000000"/>
          </w:rPr>
          <w:t>http://icmje.org/downloads/coi_disclosure.docx</w:t>
        </w:r>
      </w:hyperlink>
      <w:r w:rsidRPr="000B5813">
        <w:rPr>
          <w:color w:val="000000"/>
        </w:rPr>
        <w:t xml:space="preserve"> and declare: no support from any </w:t>
      </w:r>
      <w:proofErr w:type="spellStart"/>
      <w:r w:rsidRPr="000B5813">
        <w:rPr>
          <w:color w:val="000000"/>
        </w:rPr>
        <w:t>organisation</w:t>
      </w:r>
      <w:proofErr w:type="spellEnd"/>
      <w:r w:rsidRPr="000B5813">
        <w:rPr>
          <w:color w:val="000000"/>
        </w:rPr>
        <w:t xml:space="preserve"> for the submitted work; OR is principal investigator for research partly founded by Pfizer; OR is register director of the Swedish Arthroplasty Register (SAR) and board member of the International Society of Arthroplasty Registries; NPH has received institutional support from Waldemar Link GmbH, and Zimmer Biomet; NPH is president of the Nordic Arthroplasty Register Association, member of the steering committee of SAR, and Co-Editor of Acta </w:t>
      </w:r>
      <w:proofErr w:type="spellStart"/>
      <w:r w:rsidRPr="000B5813">
        <w:rPr>
          <w:color w:val="000000"/>
        </w:rPr>
        <w:t>Orthopaedica</w:t>
      </w:r>
      <w:proofErr w:type="spellEnd"/>
      <w:r w:rsidRPr="000B5813">
        <w:rPr>
          <w:color w:val="000000"/>
        </w:rPr>
        <w:t>; no other relationships or activities that could appear to have influenced the submitted work.</w:t>
      </w:r>
    </w:p>
    <w:p w14:paraId="2DEEEE36" w14:textId="77777777" w:rsidR="00363BBD" w:rsidRPr="000B5813" w:rsidRDefault="00FD60FF">
      <w:pPr>
        <w:pStyle w:val="Rubrik1"/>
        <w:rPr>
          <w:color w:val="000000"/>
        </w:rPr>
      </w:pPr>
      <w:bookmarkStart w:id="23" w:name="contribution-of-authors"/>
      <w:bookmarkEnd w:id="22"/>
      <w:r w:rsidRPr="000B5813">
        <w:rPr>
          <w:color w:val="000000"/>
        </w:rPr>
        <w:t>Contribution of authors</w:t>
      </w:r>
    </w:p>
    <w:p w14:paraId="2F861126" w14:textId="6F702C57" w:rsidR="00C070EC" w:rsidRPr="000B5813" w:rsidRDefault="00FD60FF" w:rsidP="00C070EC">
      <w:pPr>
        <w:pStyle w:val="FirstParagraph"/>
        <w:rPr>
          <w:color w:val="000000"/>
        </w:rPr>
      </w:pPr>
      <w:r w:rsidRPr="000B5813">
        <w:rPr>
          <w:color w:val="000000"/>
        </w:rPr>
        <w:t>All authors made a significant contribution to the work reported, whether that is in the conception, study design, execution, acquisition of data, analysis and interpretation, or in all these areas; took part in drafting, revising or critically reviewing the article; gave final approval of the version to be published; have agreed on the journal to which the article has been submitted; and agree to be accountable for all aspects of the work</w:t>
      </w:r>
      <w:r w:rsidR="00C070EC" w:rsidRPr="000B5813">
        <w:rPr>
          <w:color w:val="000000"/>
        </w:rPr>
        <w:t>.</w:t>
      </w:r>
      <w:bookmarkStart w:id="24" w:name="bibliography"/>
      <w:bookmarkEnd w:id="23"/>
    </w:p>
    <w:p w14:paraId="3D6205BC" w14:textId="77777777" w:rsidR="00C070EC" w:rsidRPr="000B5813" w:rsidRDefault="00C070EC">
      <w:pPr>
        <w:rPr>
          <w:rFonts w:ascii="Times New Roman" w:hAnsi="Times New Roman"/>
          <w:color w:val="000000"/>
        </w:rPr>
      </w:pPr>
      <w:r w:rsidRPr="000B5813">
        <w:rPr>
          <w:color w:val="000000"/>
        </w:rPr>
        <w:br w:type="page"/>
      </w:r>
    </w:p>
    <w:p w14:paraId="01D9B982" w14:textId="778B2136" w:rsidR="00363BBD" w:rsidRPr="000B5813" w:rsidRDefault="00C070EC">
      <w:pPr>
        <w:pStyle w:val="Rubrik1"/>
        <w:rPr>
          <w:color w:val="000000"/>
        </w:rPr>
      </w:pPr>
      <w:r w:rsidRPr="000B5813">
        <w:rPr>
          <w:color w:val="000000"/>
        </w:rPr>
        <w:lastRenderedPageBreak/>
        <w:t>B</w:t>
      </w:r>
      <w:r w:rsidR="00FD60FF" w:rsidRPr="000B5813">
        <w:rPr>
          <w:color w:val="000000"/>
        </w:rPr>
        <w:t>ibliography</w:t>
      </w:r>
    </w:p>
    <w:p w14:paraId="18AE6A13" w14:textId="77777777" w:rsidR="00363BBD" w:rsidRPr="0093426D" w:rsidRDefault="00FD60FF">
      <w:pPr>
        <w:pStyle w:val="Litteraturfrteckning"/>
        <w:rPr>
          <w:color w:val="000000"/>
          <w:lang w:val="sv-SE"/>
        </w:rPr>
      </w:pPr>
      <w:bookmarkStart w:id="25" w:name="ref-Zimmerli2006"/>
      <w:bookmarkStart w:id="26" w:name="refs"/>
      <w:r w:rsidRPr="000B5813">
        <w:rPr>
          <w:color w:val="000000"/>
        </w:rPr>
        <w:t xml:space="preserve">1. </w:t>
      </w:r>
      <w:r w:rsidRPr="000B5813">
        <w:rPr>
          <w:color w:val="000000"/>
        </w:rPr>
        <w:tab/>
      </w:r>
      <w:proofErr w:type="spellStart"/>
      <w:r w:rsidRPr="000B5813">
        <w:rPr>
          <w:color w:val="000000"/>
        </w:rPr>
        <w:t>Zimmerli</w:t>
      </w:r>
      <w:proofErr w:type="spellEnd"/>
      <w:r w:rsidRPr="000B5813">
        <w:rPr>
          <w:color w:val="000000"/>
        </w:rPr>
        <w:t xml:space="preserve"> W. Prosthetic-joint-associated infections. </w:t>
      </w:r>
      <w:r w:rsidRPr="000B5813">
        <w:rPr>
          <w:i/>
          <w:iCs/>
          <w:color w:val="000000"/>
        </w:rPr>
        <w:t>Best Practice &amp; Research Clinical Rheumatology</w:t>
      </w:r>
      <w:r w:rsidRPr="000B5813">
        <w:rPr>
          <w:color w:val="000000"/>
        </w:rPr>
        <w:t xml:space="preserve">. </w:t>
      </w:r>
      <w:r w:rsidRPr="0093426D">
        <w:rPr>
          <w:color w:val="000000"/>
          <w:lang w:val="sv-SE"/>
        </w:rPr>
        <w:t>2006;20(6):</w:t>
      </w:r>
      <w:proofErr w:type="gramStart"/>
      <w:r w:rsidRPr="0093426D">
        <w:rPr>
          <w:color w:val="000000"/>
          <w:lang w:val="sv-SE"/>
        </w:rPr>
        <w:t>1045-1063</w:t>
      </w:r>
      <w:proofErr w:type="gramEnd"/>
      <w:r w:rsidRPr="0093426D">
        <w:rPr>
          <w:color w:val="000000"/>
          <w:lang w:val="sv-SE"/>
        </w:rPr>
        <w:t>. doi:</w:t>
      </w:r>
      <w:hyperlink r:id="rId13">
        <w:r w:rsidRPr="0093426D">
          <w:rPr>
            <w:rStyle w:val="Hyperlnk"/>
            <w:color w:val="000000"/>
            <w:lang w:val="sv-SE"/>
          </w:rPr>
          <w:t>10.1016/j.berh.</w:t>
        </w:r>
        <w:proofErr w:type="gramStart"/>
        <w:r w:rsidRPr="0093426D">
          <w:rPr>
            <w:rStyle w:val="Hyperlnk"/>
            <w:color w:val="000000"/>
            <w:lang w:val="sv-SE"/>
          </w:rPr>
          <w:t>2006.08.003</w:t>
        </w:r>
        <w:proofErr w:type="gramEnd"/>
      </w:hyperlink>
    </w:p>
    <w:p w14:paraId="76281712" w14:textId="77777777" w:rsidR="00363BBD" w:rsidRPr="000B5813" w:rsidRDefault="00FD60FF">
      <w:pPr>
        <w:pStyle w:val="Litteraturfrteckning"/>
        <w:rPr>
          <w:color w:val="000000"/>
        </w:rPr>
      </w:pPr>
      <w:bookmarkStart w:id="27" w:name="ref-Kapadia2016"/>
      <w:bookmarkEnd w:id="25"/>
      <w:r w:rsidRPr="0093426D">
        <w:rPr>
          <w:color w:val="000000"/>
          <w:lang w:val="sv-SE"/>
        </w:rPr>
        <w:t xml:space="preserve">2. </w:t>
      </w:r>
      <w:r w:rsidRPr="0093426D">
        <w:rPr>
          <w:color w:val="000000"/>
          <w:lang w:val="sv-SE"/>
        </w:rPr>
        <w:tab/>
      </w:r>
      <w:proofErr w:type="spellStart"/>
      <w:r w:rsidRPr="0093426D">
        <w:rPr>
          <w:color w:val="000000"/>
          <w:lang w:val="sv-SE"/>
        </w:rPr>
        <w:t>Kapadia</w:t>
      </w:r>
      <w:proofErr w:type="spellEnd"/>
      <w:r w:rsidRPr="0093426D">
        <w:rPr>
          <w:color w:val="000000"/>
          <w:lang w:val="sv-SE"/>
        </w:rPr>
        <w:t xml:space="preserve"> BH, Berg RA, Daley JA, Fritz J, </w:t>
      </w:r>
      <w:proofErr w:type="spellStart"/>
      <w:r w:rsidRPr="0093426D">
        <w:rPr>
          <w:color w:val="000000"/>
          <w:lang w:val="sv-SE"/>
        </w:rPr>
        <w:t>Bhave</w:t>
      </w:r>
      <w:proofErr w:type="spellEnd"/>
      <w:r w:rsidRPr="0093426D">
        <w:rPr>
          <w:color w:val="000000"/>
          <w:lang w:val="sv-SE"/>
        </w:rPr>
        <w:t xml:space="preserve"> A, Mont MA. </w:t>
      </w:r>
      <w:r w:rsidRPr="000B5813">
        <w:rPr>
          <w:color w:val="000000"/>
        </w:rPr>
        <w:t xml:space="preserve">Periprosthetic joint infection. </w:t>
      </w:r>
      <w:r w:rsidRPr="000B5813">
        <w:rPr>
          <w:i/>
          <w:iCs/>
          <w:color w:val="000000"/>
        </w:rPr>
        <w:t>The Lancet</w:t>
      </w:r>
      <w:r w:rsidRPr="000B5813">
        <w:rPr>
          <w:color w:val="000000"/>
        </w:rPr>
        <w:t>. 2016;387(10016):386-394. doi:</w:t>
      </w:r>
      <w:hyperlink r:id="rId14">
        <w:r w:rsidRPr="000B5813">
          <w:rPr>
            <w:rStyle w:val="Hyperlnk"/>
            <w:color w:val="000000"/>
          </w:rPr>
          <w:t>10.1016/S0140-6736(14)61798-0</w:t>
        </w:r>
      </w:hyperlink>
    </w:p>
    <w:p w14:paraId="7B09F8E8" w14:textId="77777777" w:rsidR="00363BBD" w:rsidRPr="000B5813" w:rsidRDefault="00FD60FF">
      <w:pPr>
        <w:pStyle w:val="Litteraturfrteckning"/>
        <w:rPr>
          <w:color w:val="000000"/>
        </w:rPr>
      </w:pPr>
      <w:bookmarkStart w:id="28" w:name="ref-Shohat2019"/>
      <w:bookmarkEnd w:id="27"/>
      <w:r w:rsidRPr="000B5813">
        <w:rPr>
          <w:color w:val="000000"/>
        </w:rPr>
        <w:t xml:space="preserve">3. </w:t>
      </w:r>
      <w:r w:rsidRPr="000B5813">
        <w:rPr>
          <w:color w:val="000000"/>
        </w:rPr>
        <w:tab/>
      </w:r>
      <w:proofErr w:type="spellStart"/>
      <w:r w:rsidRPr="000B5813">
        <w:rPr>
          <w:color w:val="000000"/>
        </w:rPr>
        <w:t>Shohat</w:t>
      </w:r>
      <w:proofErr w:type="spellEnd"/>
      <w:r w:rsidRPr="000B5813">
        <w:rPr>
          <w:color w:val="000000"/>
        </w:rPr>
        <w:t xml:space="preserve"> N, Bauer T, Buttaro M, et al. Hip and Knee Section, </w:t>
      </w:r>
      <w:proofErr w:type="gramStart"/>
      <w:r w:rsidRPr="000B5813">
        <w:rPr>
          <w:color w:val="000000"/>
        </w:rPr>
        <w:t>What</w:t>
      </w:r>
      <w:proofErr w:type="gramEnd"/>
      <w:r w:rsidRPr="000B5813">
        <w:rPr>
          <w:color w:val="000000"/>
        </w:rPr>
        <w:t xml:space="preserve"> is the Definition of a Periprosthetic Joint Infection (PJI) of the Knee and the Hip? Can the Same Criteria be Used for Both </w:t>
      </w:r>
      <w:proofErr w:type="gramStart"/>
      <w:r w:rsidRPr="000B5813">
        <w:rPr>
          <w:color w:val="000000"/>
        </w:rPr>
        <w:t>Joints?:</w:t>
      </w:r>
      <w:proofErr w:type="gramEnd"/>
      <w:r w:rsidRPr="000B5813">
        <w:rPr>
          <w:color w:val="000000"/>
        </w:rPr>
        <w:t xml:space="preserve"> Proceedings of International Consensus on Orthopedic Infections. </w:t>
      </w:r>
      <w:r w:rsidRPr="000B5813">
        <w:rPr>
          <w:i/>
          <w:iCs/>
          <w:color w:val="000000"/>
        </w:rPr>
        <w:t>The Journal of Arthroplasty</w:t>
      </w:r>
      <w:r w:rsidRPr="000B5813">
        <w:rPr>
          <w:color w:val="000000"/>
        </w:rPr>
        <w:t>. 2019;34(2</w:t>
      </w:r>
      <w:proofErr w:type="gramStart"/>
      <w:r w:rsidRPr="000B5813">
        <w:rPr>
          <w:color w:val="000000"/>
        </w:rPr>
        <w:t>):S</w:t>
      </w:r>
      <w:proofErr w:type="gramEnd"/>
      <w:r w:rsidRPr="000B5813">
        <w:rPr>
          <w:color w:val="000000"/>
        </w:rPr>
        <w:t>325-S327. doi:</w:t>
      </w:r>
      <w:hyperlink r:id="rId15">
        <w:r w:rsidRPr="000B5813">
          <w:rPr>
            <w:rStyle w:val="Hyperlnk"/>
            <w:color w:val="000000"/>
          </w:rPr>
          <w:t>10.1016/j.arth.2018.09.045</w:t>
        </w:r>
      </w:hyperlink>
    </w:p>
    <w:p w14:paraId="489EE7B9" w14:textId="77777777" w:rsidR="00363BBD" w:rsidRPr="000B5813" w:rsidRDefault="00FD60FF">
      <w:pPr>
        <w:pStyle w:val="Litteraturfrteckning"/>
        <w:rPr>
          <w:color w:val="000000"/>
        </w:rPr>
      </w:pPr>
      <w:bookmarkStart w:id="29" w:name="ref-Malizos2016"/>
      <w:bookmarkEnd w:id="28"/>
      <w:r w:rsidRPr="000B5813">
        <w:rPr>
          <w:color w:val="000000"/>
        </w:rPr>
        <w:t xml:space="preserve">4. </w:t>
      </w:r>
      <w:r w:rsidRPr="000B5813">
        <w:rPr>
          <w:color w:val="000000"/>
        </w:rPr>
        <w:tab/>
      </w:r>
      <w:proofErr w:type="spellStart"/>
      <w:r w:rsidRPr="000B5813">
        <w:rPr>
          <w:color w:val="000000"/>
        </w:rPr>
        <w:t>Malizos</w:t>
      </w:r>
      <w:proofErr w:type="spellEnd"/>
      <w:r w:rsidRPr="000B5813">
        <w:rPr>
          <w:color w:val="000000"/>
        </w:rPr>
        <w:t xml:space="preserve"> KN, </w:t>
      </w:r>
      <w:proofErr w:type="spellStart"/>
      <w:r w:rsidRPr="000B5813">
        <w:rPr>
          <w:color w:val="000000"/>
        </w:rPr>
        <w:t>Kirketerp-Møller</w:t>
      </w:r>
      <w:proofErr w:type="spellEnd"/>
      <w:r w:rsidRPr="000B5813">
        <w:rPr>
          <w:color w:val="000000"/>
        </w:rPr>
        <w:t xml:space="preserve"> K. Incidence and Socioeconomic Impact of Bone and Joint Infections (BJIs): The European Perspective. In: </w:t>
      </w:r>
      <w:proofErr w:type="spellStart"/>
      <w:r w:rsidRPr="000B5813">
        <w:rPr>
          <w:color w:val="000000"/>
        </w:rPr>
        <w:t>Kendoff</w:t>
      </w:r>
      <w:proofErr w:type="spellEnd"/>
      <w:r w:rsidRPr="000B5813">
        <w:rPr>
          <w:color w:val="000000"/>
        </w:rPr>
        <w:t xml:space="preserve"> D, Morgan-Jones R, Haddad FS, eds. </w:t>
      </w:r>
      <w:r w:rsidRPr="000B5813">
        <w:rPr>
          <w:i/>
          <w:iCs/>
          <w:color w:val="000000"/>
        </w:rPr>
        <w:t>Periprosthetic Joint Infections: Changing Paradigms</w:t>
      </w:r>
      <w:r w:rsidRPr="000B5813">
        <w:rPr>
          <w:color w:val="000000"/>
        </w:rPr>
        <w:t>. Cham: Springer International Publishing; 2016:3-18. doi:</w:t>
      </w:r>
      <w:hyperlink r:id="rId16">
        <w:r w:rsidRPr="000B5813">
          <w:rPr>
            <w:rStyle w:val="Hyperlnk"/>
            <w:color w:val="000000"/>
          </w:rPr>
          <w:t>10.1007/978-3-319-30091-7_1</w:t>
        </w:r>
      </w:hyperlink>
    </w:p>
    <w:p w14:paraId="132C7F66" w14:textId="77777777" w:rsidR="00363BBD" w:rsidRPr="000B5813" w:rsidRDefault="00FD60FF">
      <w:pPr>
        <w:pStyle w:val="Litteraturfrteckning"/>
        <w:rPr>
          <w:color w:val="000000"/>
        </w:rPr>
      </w:pPr>
      <w:bookmarkStart w:id="30" w:name="ref-Ridgeway2005"/>
      <w:bookmarkEnd w:id="29"/>
      <w:r w:rsidRPr="000B5813">
        <w:rPr>
          <w:color w:val="000000"/>
        </w:rPr>
        <w:t xml:space="preserve">5. </w:t>
      </w:r>
      <w:r w:rsidRPr="000B5813">
        <w:rPr>
          <w:color w:val="000000"/>
        </w:rPr>
        <w:tab/>
        <w:t xml:space="preserve">Ridgeway S, Wilson J, </w:t>
      </w:r>
      <w:proofErr w:type="spellStart"/>
      <w:r w:rsidRPr="000B5813">
        <w:rPr>
          <w:color w:val="000000"/>
        </w:rPr>
        <w:t>Charlet</w:t>
      </w:r>
      <w:proofErr w:type="spellEnd"/>
      <w:r w:rsidRPr="000B5813">
        <w:rPr>
          <w:color w:val="000000"/>
        </w:rPr>
        <w:t xml:space="preserve"> A, </w:t>
      </w:r>
      <w:proofErr w:type="spellStart"/>
      <w:r w:rsidRPr="000B5813">
        <w:rPr>
          <w:color w:val="000000"/>
        </w:rPr>
        <w:t>Kafatos</w:t>
      </w:r>
      <w:proofErr w:type="spellEnd"/>
      <w:r w:rsidRPr="000B5813">
        <w:rPr>
          <w:color w:val="000000"/>
        </w:rPr>
        <w:t xml:space="preserve"> G, Pearson A, </w:t>
      </w:r>
      <w:proofErr w:type="spellStart"/>
      <w:r w:rsidRPr="000B5813">
        <w:rPr>
          <w:color w:val="000000"/>
        </w:rPr>
        <w:t>Coello</w:t>
      </w:r>
      <w:proofErr w:type="spellEnd"/>
      <w:r w:rsidRPr="000B5813">
        <w:rPr>
          <w:color w:val="000000"/>
        </w:rPr>
        <w:t xml:space="preserve"> R. Infection of the surgical site after arthroplasty of the hip. </w:t>
      </w:r>
      <w:r w:rsidRPr="000B5813">
        <w:rPr>
          <w:i/>
          <w:iCs/>
          <w:color w:val="000000"/>
        </w:rPr>
        <w:t>The Journal of Bone and Joint Surgery British volume</w:t>
      </w:r>
      <w:r w:rsidRPr="000B5813">
        <w:rPr>
          <w:color w:val="000000"/>
        </w:rPr>
        <w:t>. 2005;87-</w:t>
      </w:r>
      <w:proofErr w:type="gramStart"/>
      <w:r w:rsidRPr="000B5813">
        <w:rPr>
          <w:color w:val="000000"/>
        </w:rPr>
        <w:t>B(</w:t>
      </w:r>
      <w:proofErr w:type="gramEnd"/>
      <w:r w:rsidRPr="000B5813">
        <w:rPr>
          <w:color w:val="000000"/>
        </w:rPr>
        <w:t>6):844-850. doi:</w:t>
      </w:r>
      <w:hyperlink r:id="rId17">
        <w:r w:rsidRPr="000B5813">
          <w:rPr>
            <w:rStyle w:val="Hyperlnk"/>
            <w:color w:val="000000"/>
          </w:rPr>
          <w:t>10.1302/0301-620X.87B6.15121</w:t>
        </w:r>
      </w:hyperlink>
    </w:p>
    <w:p w14:paraId="2D2021B4" w14:textId="77777777" w:rsidR="00363BBD" w:rsidRPr="000B5813" w:rsidRDefault="00FD60FF">
      <w:pPr>
        <w:pStyle w:val="Litteraturfrteckning"/>
        <w:rPr>
          <w:color w:val="000000"/>
        </w:rPr>
      </w:pPr>
      <w:bookmarkStart w:id="31" w:name="ref-Lai2007"/>
      <w:bookmarkEnd w:id="30"/>
      <w:r w:rsidRPr="0093426D">
        <w:rPr>
          <w:color w:val="000000"/>
          <w:lang w:val="sv-SE"/>
        </w:rPr>
        <w:t xml:space="preserve">6. </w:t>
      </w:r>
      <w:r w:rsidRPr="0093426D">
        <w:rPr>
          <w:color w:val="000000"/>
          <w:lang w:val="sv-SE"/>
        </w:rPr>
        <w:tab/>
        <w:t xml:space="preserve">Lai K, Bohm ER, </w:t>
      </w:r>
      <w:proofErr w:type="spellStart"/>
      <w:r w:rsidRPr="0093426D">
        <w:rPr>
          <w:color w:val="000000"/>
          <w:lang w:val="sv-SE"/>
        </w:rPr>
        <w:t>Burnell</w:t>
      </w:r>
      <w:proofErr w:type="spellEnd"/>
      <w:r w:rsidRPr="0093426D">
        <w:rPr>
          <w:color w:val="000000"/>
          <w:lang w:val="sv-SE"/>
        </w:rPr>
        <w:t xml:space="preserve"> C, </w:t>
      </w:r>
      <w:proofErr w:type="spellStart"/>
      <w:r w:rsidRPr="0093426D">
        <w:rPr>
          <w:color w:val="000000"/>
          <w:lang w:val="sv-SE"/>
        </w:rPr>
        <w:t>Hedden</w:t>
      </w:r>
      <w:proofErr w:type="spellEnd"/>
      <w:r w:rsidRPr="0093426D">
        <w:rPr>
          <w:color w:val="000000"/>
          <w:lang w:val="sv-SE"/>
        </w:rPr>
        <w:t xml:space="preserve"> DR. </w:t>
      </w:r>
      <w:r w:rsidRPr="000B5813">
        <w:rPr>
          <w:color w:val="000000"/>
        </w:rPr>
        <w:t xml:space="preserve">Presence of Medical Comorbidities in Patients </w:t>
      </w:r>
      <w:proofErr w:type="gramStart"/>
      <w:r w:rsidRPr="000B5813">
        <w:rPr>
          <w:color w:val="000000"/>
        </w:rPr>
        <w:t>With</w:t>
      </w:r>
      <w:proofErr w:type="gramEnd"/>
      <w:r w:rsidRPr="000B5813">
        <w:rPr>
          <w:color w:val="000000"/>
        </w:rPr>
        <w:t xml:space="preserve"> Infected Primary Hip or Knee Arthroplasties. </w:t>
      </w:r>
      <w:r w:rsidRPr="000B5813">
        <w:rPr>
          <w:i/>
          <w:iCs/>
          <w:color w:val="000000"/>
        </w:rPr>
        <w:t>The Journal of Arthroplasty</w:t>
      </w:r>
      <w:r w:rsidRPr="000B5813">
        <w:rPr>
          <w:color w:val="000000"/>
        </w:rPr>
        <w:t>. 2007;22(5):651-656. doi:</w:t>
      </w:r>
      <w:hyperlink r:id="rId18">
        <w:r w:rsidRPr="000B5813">
          <w:rPr>
            <w:rStyle w:val="Hyperlnk"/>
            <w:color w:val="000000"/>
          </w:rPr>
          <w:t>10.1016/j.arth.2006.09.002</w:t>
        </w:r>
      </w:hyperlink>
    </w:p>
    <w:p w14:paraId="44B9D254" w14:textId="77777777" w:rsidR="00363BBD" w:rsidRPr="000B5813" w:rsidRDefault="00FD60FF">
      <w:pPr>
        <w:pStyle w:val="Litteraturfrteckning"/>
        <w:rPr>
          <w:color w:val="000000"/>
        </w:rPr>
      </w:pPr>
      <w:bookmarkStart w:id="32" w:name="ref-Malinzak2009"/>
      <w:bookmarkEnd w:id="31"/>
      <w:r w:rsidRPr="000B5813">
        <w:rPr>
          <w:color w:val="000000"/>
        </w:rPr>
        <w:t xml:space="preserve">7. </w:t>
      </w:r>
      <w:r w:rsidRPr="000B5813">
        <w:rPr>
          <w:color w:val="000000"/>
        </w:rPr>
        <w:tab/>
      </w:r>
      <w:proofErr w:type="spellStart"/>
      <w:r w:rsidRPr="000B5813">
        <w:rPr>
          <w:color w:val="000000"/>
        </w:rPr>
        <w:t>Malinzak</w:t>
      </w:r>
      <w:proofErr w:type="spellEnd"/>
      <w:r w:rsidRPr="000B5813">
        <w:rPr>
          <w:color w:val="000000"/>
        </w:rPr>
        <w:t xml:space="preserve"> RA, Ritter MA, Berend ME, </w:t>
      </w:r>
      <w:proofErr w:type="spellStart"/>
      <w:r w:rsidRPr="000B5813">
        <w:rPr>
          <w:color w:val="000000"/>
        </w:rPr>
        <w:t>Meding</w:t>
      </w:r>
      <w:proofErr w:type="spellEnd"/>
      <w:r w:rsidRPr="000B5813">
        <w:rPr>
          <w:color w:val="000000"/>
        </w:rPr>
        <w:t xml:space="preserve"> JB, Olberding EM, Davis KE. Morbidly Obese, Diabetic, Younger, and Unilateral Joint Arthroplasty Patients Have Elevated Total Joint Arthroplasty Infection Rates. </w:t>
      </w:r>
      <w:r w:rsidRPr="000B5813">
        <w:rPr>
          <w:i/>
          <w:iCs/>
          <w:color w:val="000000"/>
        </w:rPr>
        <w:t>The Journal of Arthroplasty</w:t>
      </w:r>
      <w:r w:rsidRPr="000B5813">
        <w:rPr>
          <w:color w:val="000000"/>
        </w:rPr>
        <w:t>. 2009;24(6):84-88. doi:</w:t>
      </w:r>
      <w:hyperlink r:id="rId19">
        <w:r w:rsidRPr="000B5813">
          <w:rPr>
            <w:rStyle w:val="Hyperlnk"/>
            <w:color w:val="000000"/>
          </w:rPr>
          <w:t>10.1016/j.arth.2009.05.016</w:t>
        </w:r>
      </w:hyperlink>
    </w:p>
    <w:p w14:paraId="27C6B57C" w14:textId="77777777" w:rsidR="00363BBD" w:rsidRPr="000B5813" w:rsidRDefault="00FD60FF">
      <w:pPr>
        <w:pStyle w:val="Litteraturfrteckning"/>
        <w:rPr>
          <w:color w:val="000000"/>
        </w:rPr>
      </w:pPr>
      <w:bookmarkStart w:id="33" w:name="ref-Ong2009"/>
      <w:bookmarkEnd w:id="32"/>
      <w:r w:rsidRPr="000B5813">
        <w:rPr>
          <w:color w:val="000000"/>
        </w:rPr>
        <w:t xml:space="preserve">8. </w:t>
      </w:r>
      <w:r w:rsidRPr="000B5813">
        <w:rPr>
          <w:color w:val="000000"/>
        </w:rPr>
        <w:tab/>
        <w:t xml:space="preserve">Ong KL, Kurtz SM, Lau E, </w:t>
      </w:r>
      <w:proofErr w:type="spellStart"/>
      <w:r w:rsidRPr="000B5813">
        <w:rPr>
          <w:color w:val="000000"/>
        </w:rPr>
        <w:t>Bozic</w:t>
      </w:r>
      <w:proofErr w:type="spellEnd"/>
      <w:r w:rsidRPr="000B5813">
        <w:rPr>
          <w:color w:val="000000"/>
        </w:rPr>
        <w:t xml:space="preserve"> KJ, Berry DJ, </w:t>
      </w:r>
      <w:proofErr w:type="spellStart"/>
      <w:r w:rsidRPr="000B5813">
        <w:rPr>
          <w:color w:val="000000"/>
        </w:rPr>
        <w:t>Parvizi</w:t>
      </w:r>
      <w:proofErr w:type="spellEnd"/>
      <w:r w:rsidRPr="000B5813">
        <w:rPr>
          <w:color w:val="000000"/>
        </w:rPr>
        <w:t xml:space="preserve"> J. Prosthetic Joint Infection Risk After Total Hip Arthroplasty in the Medicare Population. </w:t>
      </w:r>
      <w:r w:rsidRPr="000B5813">
        <w:rPr>
          <w:i/>
          <w:iCs/>
          <w:color w:val="000000"/>
        </w:rPr>
        <w:t>The Journal of Arthroplasty</w:t>
      </w:r>
      <w:r w:rsidRPr="000B5813">
        <w:rPr>
          <w:color w:val="000000"/>
        </w:rPr>
        <w:t>. 2009;24(6):105-109. doi:</w:t>
      </w:r>
      <w:hyperlink r:id="rId20">
        <w:r w:rsidRPr="000B5813">
          <w:rPr>
            <w:rStyle w:val="Hyperlnk"/>
            <w:color w:val="000000"/>
          </w:rPr>
          <w:t>10.1016/j.arth.2009.04.027</w:t>
        </w:r>
      </w:hyperlink>
    </w:p>
    <w:p w14:paraId="0D2D2F24" w14:textId="77777777" w:rsidR="00363BBD" w:rsidRPr="000B5813" w:rsidRDefault="00FD60FF">
      <w:pPr>
        <w:pStyle w:val="Litteraturfrteckning"/>
        <w:rPr>
          <w:color w:val="000000"/>
        </w:rPr>
      </w:pPr>
      <w:bookmarkStart w:id="34" w:name="ref-Pedersen2010"/>
      <w:bookmarkEnd w:id="33"/>
      <w:r w:rsidRPr="000B5813">
        <w:rPr>
          <w:color w:val="000000"/>
        </w:rPr>
        <w:t xml:space="preserve">9. </w:t>
      </w:r>
      <w:r w:rsidRPr="000B5813">
        <w:rPr>
          <w:color w:val="000000"/>
        </w:rPr>
        <w:tab/>
        <w:t xml:space="preserve">Pedersen AB, </w:t>
      </w:r>
      <w:proofErr w:type="spellStart"/>
      <w:r w:rsidRPr="000B5813">
        <w:rPr>
          <w:color w:val="000000"/>
        </w:rPr>
        <w:t>Mehnert</w:t>
      </w:r>
      <w:proofErr w:type="spellEnd"/>
      <w:r w:rsidRPr="000B5813">
        <w:rPr>
          <w:color w:val="000000"/>
        </w:rPr>
        <w:t xml:space="preserve"> F, Johnsen SP, Sørensen HT. Risk of revision of a total hip replacement in patients with diabetes mellitus: A POPULATION-BASED FOLLOW UP STUDY. </w:t>
      </w:r>
      <w:r w:rsidRPr="000B5813">
        <w:rPr>
          <w:i/>
          <w:iCs/>
          <w:color w:val="000000"/>
        </w:rPr>
        <w:t>The Journal of Bone and Joint Surgery British volume</w:t>
      </w:r>
      <w:r w:rsidRPr="000B5813">
        <w:rPr>
          <w:color w:val="000000"/>
        </w:rPr>
        <w:t>. 2010;92-</w:t>
      </w:r>
      <w:proofErr w:type="gramStart"/>
      <w:r w:rsidRPr="000B5813">
        <w:rPr>
          <w:color w:val="000000"/>
        </w:rPr>
        <w:t>B(</w:t>
      </w:r>
      <w:proofErr w:type="gramEnd"/>
      <w:r w:rsidRPr="000B5813">
        <w:rPr>
          <w:color w:val="000000"/>
        </w:rPr>
        <w:t>7):929-934. doi:</w:t>
      </w:r>
      <w:hyperlink r:id="rId21">
        <w:r w:rsidRPr="000B5813">
          <w:rPr>
            <w:rStyle w:val="Hyperlnk"/>
            <w:color w:val="000000"/>
          </w:rPr>
          <w:t>10.1302/0301-620X.92B7.24461</w:t>
        </w:r>
      </w:hyperlink>
    </w:p>
    <w:p w14:paraId="19762A6F" w14:textId="77777777" w:rsidR="00363BBD" w:rsidRPr="000B5813" w:rsidRDefault="00FD60FF">
      <w:pPr>
        <w:pStyle w:val="Litteraturfrteckning"/>
        <w:rPr>
          <w:color w:val="000000"/>
        </w:rPr>
      </w:pPr>
      <w:bookmarkStart w:id="35" w:name="ref-Bozic2012"/>
      <w:bookmarkEnd w:id="34"/>
      <w:r w:rsidRPr="000B5813">
        <w:rPr>
          <w:color w:val="000000"/>
        </w:rPr>
        <w:t xml:space="preserve">10. </w:t>
      </w:r>
      <w:r w:rsidRPr="000B5813">
        <w:rPr>
          <w:color w:val="000000"/>
        </w:rPr>
        <w:tab/>
      </w:r>
      <w:proofErr w:type="spellStart"/>
      <w:r w:rsidRPr="000B5813">
        <w:rPr>
          <w:color w:val="000000"/>
        </w:rPr>
        <w:t>Bozic</w:t>
      </w:r>
      <w:proofErr w:type="spellEnd"/>
      <w:r w:rsidRPr="000B5813">
        <w:rPr>
          <w:color w:val="000000"/>
        </w:rPr>
        <w:t xml:space="preserve"> KJ, Lau E, Kurtz S, et al. Patient-related risk factors for periprosthetic joint infection and postoperative mortality following total hip arthroplasty in </w:t>
      </w:r>
      <w:proofErr w:type="spellStart"/>
      <w:r w:rsidRPr="000B5813">
        <w:rPr>
          <w:color w:val="000000"/>
        </w:rPr>
        <w:t>medicare</w:t>
      </w:r>
      <w:proofErr w:type="spellEnd"/>
      <w:r w:rsidRPr="000B5813">
        <w:rPr>
          <w:color w:val="000000"/>
        </w:rPr>
        <w:t xml:space="preserve"> patients. </w:t>
      </w:r>
      <w:r w:rsidRPr="000B5813">
        <w:rPr>
          <w:i/>
          <w:iCs/>
          <w:color w:val="000000"/>
        </w:rPr>
        <w:t>The Journal of Bone and Joint Surgery (American)</w:t>
      </w:r>
      <w:r w:rsidRPr="000B5813">
        <w:rPr>
          <w:color w:val="000000"/>
        </w:rPr>
        <w:t>. 2012;94(9):794-800. doi:</w:t>
      </w:r>
      <w:hyperlink r:id="rId22">
        <w:r w:rsidRPr="000B5813">
          <w:rPr>
            <w:rStyle w:val="Hyperlnk"/>
            <w:color w:val="000000"/>
          </w:rPr>
          <w:t>10.2106/JBJS.K.00072</w:t>
        </w:r>
      </w:hyperlink>
    </w:p>
    <w:p w14:paraId="65469A32" w14:textId="77777777" w:rsidR="00363BBD" w:rsidRPr="000B5813" w:rsidRDefault="00FD60FF">
      <w:pPr>
        <w:pStyle w:val="Litteraturfrteckning"/>
        <w:rPr>
          <w:color w:val="000000"/>
        </w:rPr>
      </w:pPr>
      <w:bookmarkStart w:id="36" w:name="ref-Jamsen2012"/>
      <w:bookmarkEnd w:id="35"/>
      <w:r w:rsidRPr="000B5813">
        <w:rPr>
          <w:color w:val="000000"/>
        </w:rPr>
        <w:t xml:space="preserve">11. </w:t>
      </w:r>
      <w:r w:rsidRPr="000B5813">
        <w:rPr>
          <w:color w:val="000000"/>
        </w:rPr>
        <w:tab/>
      </w:r>
      <w:proofErr w:type="spellStart"/>
      <w:r w:rsidRPr="000B5813">
        <w:rPr>
          <w:color w:val="000000"/>
        </w:rPr>
        <w:t>Jämsen</w:t>
      </w:r>
      <w:proofErr w:type="spellEnd"/>
      <w:r w:rsidRPr="000B5813">
        <w:rPr>
          <w:color w:val="000000"/>
        </w:rPr>
        <w:t xml:space="preserve"> E, </w:t>
      </w:r>
      <w:proofErr w:type="spellStart"/>
      <w:r w:rsidRPr="000B5813">
        <w:rPr>
          <w:color w:val="000000"/>
        </w:rPr>
        <w:t>Nevalainen</w:t>
      </w:r>
      <w:proofErr w:type="spellEnd"/>
      <w:r w:rsidRPr="000B5813">
        <w:rPr>
          <w:color w:val="000000"/>
        </w:rPr>
        <w:t xml:space="preserve"> P, </w:t>
      </w:r>
      <w:proofErr w:type="spellStart"/>
      <w:r w:rsidRPr="000B5813">
        <w:rPr>
          <w:color w:val="000000"/>
        </w:rPr>
        <w:t>Eskelinen</w:t>
      </w:r>
      <w:proofErr w:type="spellEnd"/>
      <w:r w:rsidRPr="000B5813">
        <w:rPr>
          <w:color w:val="000000"/>
        </w:rPr>
        <w:t xml:space="preserve"> A, </w:t>
      </w:r>
      <w:proofErr w:type="spellStart"/>
      <w:r w:rsidRPr="000B5813">
        <w:rPr>
          <w:color w:val="000000"/>
        </w:rPr>
        <w:t>Huotari</w:t>
      </w:r>
      <w:proofErr w:type="spellEnd"/>
      <w:r w:rsidRPr="000B5813">
        <w:rPr>
          <w:color w:val="000000"/>
        </w:rPr>
        <w:t xml:space="preserve"> K, </w:t>
      </w:r>
      <w:proofErr w:type="spellStart"/>
      <w:r w:rsidRPr="000B5813">
        <w:rPr>
          <w:color w:val="000000"/>
        </w:rPr>
        <w:t>Kalliovalkama</w:t>
      </w:r>
      <w:proofErr w:type="spellEnd"/>
      <w:r w:rsidRPr="000B5813">
        <w:rPr>
          <w:color w:val="000000"/>
        </w:rPr>
        <w:t xml:space="preserve"> J, </w:t>
      </w:r>
      <w:proofErr w:type="spellStart"/>
      <w:r w:rsidRPr="000B5813">
        <w:rPr>
          <w:color w:val="000000"/>
        </w:rPr>
        <w:t>Moilanen</w:t>
      </w:r>
      <w:proofErr w:type="spellEnd"/>
      <w:r w:rsidRPr="000B5813">
        <w:rPr>
          <w:color w:val="000000"/>
        </w:rPr>
        <w:t xml:space="preserve"> T. Obesity, Diabetes, and Preoperative Hyperglycemia as Predictors of Periprosthetic Joint Infection: A Single-Center Analysis of 7181 Primary Hip and Knee Replacements for Osteoarthritis. </w:t>
      </w:r>
      <w:r w:rsidRPr="000B5813">
        <w:rPr>
          <w:i/>
          <w:iCs/>
          <w:color w:val="000000"/>
        </w:rPr>
        <w:t xml:space="preserve">The </w:t>
      </w:r>
      <w:r w:rsidRPr="000B5813">
        <w:rPr>
          <w:i/>
          <w:iCs/>
          <w:color w:val="000000"/>
        </w:rPr>
        <w:lastRenderedPageBreak/>
        <w:t>Journal of Bone and Joint Surgery-American Volume</w:t>
      </w:r>
      <w:r w:rsidRPr="000B5813">
        <w:rPr>
          <w:color w:val="000000"/>
        </w:rPr>
        <w:t>. 2012;94(14</w:t>
      </w:r>
      <w:proofErr w:type="gramStart"/>
      <w:r w:rsidRPr="000B5813">
        <w:rPr>
          <w:color w:val="000000"/>
        </w:rPr>
        <w:t>):e</w:t>
      </w:r>
      <w:proofErr w:type="gramEnd"/>
      <w:r w:rsidRPr="000B5813">
        <w:rPr>
          <w:color w:val="000000"/>
        </w:rPr>
        <w:t>101-1-9. doi:</w:t>
      </w:r>
      <w:hyperlink r:id="rId23">
        <w:r w:rsidRPr="000B5813">
          <w:rPr>
            <w:rStyle w:val="Hyperlnk"/>
            <w:color w:val="000000"/>
          </w:rPr>
          <w:t>10.2106/JBJS.J.01935</w:t>
        </w:r>
      </w:hyperlink>
    </w:p>
    <w:p w14:paraId="60966101" w14:textId="77777777" w:rsidR="00363BBD" w:rsidRPr="000B5813" w:rsidRDefault="00FD60FF">
      <w:pPr>
        <w:pStyle w:val="Litteraturfrteckning"/>
        <w:rPr>
          <w:color w:val="000000"/>
        </w:rPr>
      </w:pPr>
      <w:bookmarkStart w:id="37" w:name="ref-Rasouli2014a"/>
      <w:bookmarkEnd w:id="36"/>
      <w:r w:rsidRPr="000B5813">
        <w:rPr>
          <w:color w:val="000000"/>
        </w:rPr>
        <w:t xml:space="preserve">12. </w:t>
      </w:r>
      <w:r w:rsidRPr="000B5813">
        <w:rPr>
          <w:color w:val="000000"/>
        </w:rPr>
        <w:tab/>
      </w:r>
      <w:proofErr w:type="spellStart"/>
      <w:r w:rsidRPr="000B5813">
        <w:rPr>
          <w:color w:val="000000"/>
        </w:rPr>
        <w:t>Rasouli</w:t>
      </w:r>
      <w:proofErr w:type="spellEnd"/>
      <w:r w:rsidRPr="000B5813">
        <w:rPr>
          <w:color w:val="000000"/>
        </w:rPr>
        <w:t xml:space="preserve"> MR, Restrepo C, </w:t>
      </w:r>
      <w:proofErr w:type="spellStart"/>
      <w:r w:rsidRPr="000B5813">
        <w:rPr>
          <w:color w:val="000000"/>
        </w:rPr>
        <w:t>Maltenfort</w:t>
      </w:r>
      <w:proofErr w:type="spellEnd"/>
      <w:r w:rsidRPr="000B5813">
        <w:rPr>
          <w:color w:val="000000"/>
        </w:rPr>
        <w:t xml:space="preserve"> MG, </w:t>
      </w:r>
      <w:proofErr w:type="spellStart"/>
      <w:r w:rsidRPr="000B5813">
        <w:rPr>
          <w:color w:val="000000"/>
        </w:rPr>
        <w:t>Purtill</w:t>
      </w:r>
      <w:proofErr w:type="spellEnd"/>
      <w:r w:rsidRPr="000B5813">
        <w:rPr>
          <w:color w:val="000000"/>
        </w:rPr>
        <w:t xml:space="preserve"> JJ, </w:t>
      </w:r>
      <w:proofErr w:type="spellStart"/>
      <w:r w:rsidRPr="000B5813">
        <w:rPr>
          <w:color w:val="000000"/>
        </w:rPr>
        <w:t>Parvizi</w:t>
      </w:r>
      <w:proofErr w:type="spellEnd"/>
      <w:r w:rsidRPr="000B5813">
        <w:rPr>
          <w:color w:val="000000"/>
        </w:rPr>
        <w:t xml:space="preserve"> J. Risk Factors for Surgical Site Infection Following Total Joint Arthroplasty: </w:t>
      </w:r>
      <w:r w:rsidRPr="000B5813">
        <w:rPr>
          <w:i/>
          <w:iCs/>
          <w:color w:val="000000"/>
        </w:rPr>
        <w:t>The Journal of Bone and Joint Surgery-American Volume</w:t>
      </w:r>
      <w:r w:rsidRPr="000B5813">
        <w:rPr>
          <w:color w:val="000000"/>
        </w:rPr>
        <w:t>. 2014;96(18</w:t>
      </w:r>
      <w:proofErr w:type="gramStart"/>
      <w:r w:rsidRPr="000B5813">
        <w:rPr>
          <w:color w:val="000000"/>
        </w:rPr>
        <w:t>):e</w:t>
      </w:r>
      <w:proofErr w:type="gramEnd"/>
      <w:r w:rsidRPr="000B5813">
        <w:rPr>
          <w:color w:val="000000"/>
        </w:rPr>
        <w:t>158-1-5. doi:</w:t>
      </w:r>
      <w:hyperlink r:id="rId24">
        <w:r w:rsidRPr="000B5813">
          <w:rPr>
            <w:rStyle w:val="Hyperlnk"/>
            <w:color w:val="000000"/>
          </w:rPr>
          <w:t>10.2106/JBJS.M.01363</w:t>
        </w:r>
      </w:hyperlink>
    </w:p>
    <w:p w14:paraId="04145256" w14:textId="77777777" w:rsidR="00363BBD" w:rsidRPr="000B5813" w:rsidRDefault="00FD60FF">
      <w:pPr>
        <w:pStyle w:val="Litteraturfrteckning"/>
        <w:rPr>
          <w:color w:val="000000"/>
        </w:rPr>
      </w:pPr>
      <w:bookmarkStart w:id="38" w:name="ref-Maoz2015"/>
      <w:bookmarkEnd w:id="37"/>
      <w:r w:rsidRPr="000B5813">
        <w:rPr>
          <w:color w:val="000000"/>
        </w:rPr>
        <w:t xml:space="preserve">13. </w:t>
      </w:r>
      <w:r w:rsidRPr="000B5813">
        <w:rPr>
          <w:color w:val="000000"/>
        </w:rPr>
        <w:tab/>
        <w:t xml:space="preserve">Maoz G, Phillips M, Bosco J, et al. The Otto </w:t>
      </w:r>
      <w:proofErr w:type="spellStart"/>
      <w:r w:rsidRPr="000B5813">
        <w:rPr>
          <w:color w:val="000000"/>
        </w:rPr>
        <w:t>Aufranc</w:t>
      </w:r>
      <w:proofErr w:type="spellEnd"/>
      <w:r w:rsidRPr="000B5813">
        <w:rPr>
          <w:color w:val="000000"/>
        </w:rPr>
        <w:t xml:space="preserve"> Award: Modifiable versus Nonmodifiable Risk Factors for Infection After Hip Arthroplasty. </w:t>
      </w:r>
      <w:r w:rsidRPr="000B5813">
        <w:rPr>
          <w:i/>
          <w:iCs/>
          <w:color w:val="000000"/>
        </w:rPr>
        <w:t xml:space="preserve">Clin </w:t>
      </w:r>
      <w:proofErr w:type="spellStart"/>
      <w:r w:rsidRPr="000B5813">
        <w:rPr>
          <w:i/>
          <w:iCs/>
          <w:color w:val="000000"/>
        </w:rPr>
        <w:t>Orthop</w:t>
      </w:r>
      <w:proofErr w:type="spellEnd"/>
      <w:r w:rsidRPr="000B5813">
        <w:rPr>
          <w:i/>
          <w:iCs/>
          <w:color w:val="000000"/>
        </w:rPr>
        <w:t xml:space="preserve"> </w:t>
      </w:r>
      <w:proofErr w:type="spellStart"/>
      <w:r w:rsidRPr="000B5813">
        <w:rPr>
          <w:i/>
          <w:iCs/>
          <w:color w:val="000000"/>
        </w:rPr>
        <w:t>Relat</w:t>
      </w:r>
      <w:proofErr w:type="spellEnd"/>
      <w:r w:rsidRPr="000B5813">
        <w:rPr>
          <w:i/>
          <w:iCs/>
          <w:color w:val="000000"/>
        </w:rPr>
        <w:t xml:space="preserve"> Res</w:t>
      </w:r>
      <w:r w:rsidRPr="000B5813">
        <w:rPr>
          <w:color w:val="000000"/>
        </w:rPr>
        <w:t>. 2015;473(2):453-459. doi:</w:t>
      </w:r>
      <w:hyperlink r:id="rId25">
        <w:r w:rsidRPr="000B5813">
          <w:rPr>
            <w:rStyle w:val="Hyperlnk"/>
            <w:color w:val="000000"/>
          </w:rPr>
          <w:t>10.1007/s11999-014-3780-x</w:t>
        </w:r>
      </w:hyperlink>
    </w:p>
    <w:p w14:paraId="1AA76118" w14:textId="77777777" w:rsidR="00363BBD" w:rsidRPr="000B5813" w:rsidRDefault="00FD60FF">
      <w:pPr>
        <w:pStyle w:val="Litteraturfrteckning"/>
        <w:rPr>
          <w:color w:val="000000"/>
        </w:rPr>
      </w:pPr>
      <w:bookmarkStart w:id="39" w:name="ref-Lespasio2020"/>
      <w:bookmarkEnd w:id="38"/>
      <w:r w:rsidRPr="000B5813">
        <w:rPr>
          <w:color w:val="000000"/>
        </w:rPr>
        <w:t xml:space="preserve">14. </w:t>
      </w:r>
      <w:r w:rsidRPr="000B5813">
        <w:rPr>
          <w:color w:val="000000"/>
        </w:rPr>
        <w:tab/>
      </w:r>
      <w:proofErr w:type="spellStart"/>
      <w:r w:rsidRPr="000B5813">
        <w:rPr>
          <w:color w:val="000000"/>
        </w:rPr>
        <w:t>Lespasio</w:t>
      </w:r>
      <w:proofErr w:type="spellEnd"/>
      <w:r w:rsidRPr="000B5813">
        <w:rPr>
          <w:color w:val="000000"/>
        </w:rPr>
        <w:t xml:space="preserve"> M, Mont M, Guarino A. Identifying Risk Factors Associated </w:t>
      </w:r>
      <w:proofErr w:type="gramStart"/>
      <w:r w:rsidRPr="000B5813">
        <w:rPr>
          <w:color w:val="000000"/>
        </w:rPr>
        <w:t>With</w:t>
      </w:r>
      <w:proofErr w:type="gramEnd"/>
      <w:r w:rsidRPr="000B5813">
        <w:rPr>
          <w:color w:val="000000"/>
        </w:rPr>
        <w:t xml:space="preserve"> Postoperative Infection Following Elective Lower-Extremity Total Joint Arthroplasty. </w:t>
      </w:r>
      <w:r w:rsidRPr="000B5813">
        <w:rPr>
          <w:i/>
          <w:iCs/>
          <w:color w:val="000000"/>
        </w:rPr>
        <w:t>Perm J</w:t>
      </w:r>
      <w:r w:rsidRPr="000B5813">
        <w:rPr>
          <w:color w:val="000000"/>
        </w:rPr>
        <w:t xml:space="preserve">. </w:t>
      </w:r>
      <w:proofErr w:type="gramStart"/>
      <w:r w:rsidRPr="000B5813">
        <w:rPr>
          <w:color w:val="000000"/>
        </w:rPr>
        <w:t>2020;24:20</w:t>
      </w:r>
      <w:proofErr w:type="gramEnd"/>
      <w:r w:rsidRPr="000B5813">
        <w:rPr>
          <w:color w:val="000000"/>
        </w:rPr>
        <w:t>.013. doi:</w:t>
      </w:r>
      <w:hyperlink r:id="rId26">
        <w:r w:rsidRPr="000B5813">
          <w:rPr>
            <w:rStyle w:val="Hyperlnk"/>
            <w:color w:val="000000"/>
          </w:rPr>
          <w:t>10.7812/TPP/20.013</w:t>
        </w:r>
      </w:hyperlink>
    </w:p>
    <w:p w14:paraId="2244A3DF" w14:textId="77777777" w:rsidR="00363BBD" w:rsidRPr="000B5813" w:rsidRDefault="00FD60FF">
      <w:pPr>
        <w:pStyle w:val="Litteraturfrteckning"/>
        <w:rPr>
          <w:color w:val="000000"/>
        </w:rPr>
      </w:pPr>
      <w:bookmarkStart w:id="40" w:name="ref-Ren2021"/>
      <w:bookmarkEnd w:id="39"/>
      <w:r w:rsidRPr="0093426D">
        <w:rPr>
          <w:color w:val="000000"/>
          <w:lang w:val="sv-SE"/>
        </w:rPr>
        <w:t xml:space="preserve">15. </w:t>
      </w:r>
      <w:r w:rsidRPr="0093426D">
        <w:rPr>
          <w:color w:val="000000"/>
          <w:lang w:val="sv-SE"/>
        </w:rPr>
        <w:tab/>
        <w:t xml:space="preserve">Ren X, Ling L, </w:t>
      </w:r>
      <w:proofErr w:type="spellStart"/>
      <w:r w:rsidRPr="0093426D">
        <w:rPr>
          <w:color w:val="000000"/>
          <w:lang w:val="sv-SE"/>
        </w:rPr>
        <w:t>Qi</w:t>
      </w:r>
      <w:proofErr w:type="spellEnd"/>
      <w:r w:rsidRPr="0093426D">
        <w:rPr>
          <w:color w:val="000000"/>
          <w:lang w:val="sv-SE"/>
        </w:rPr>
        <w:t xml:space="preserve"> L, et al. </w:t>
      </w:r>
      <w:r w:rsidRPr="000B5813">
        <w:rPr>
          <w:color w:val="000000"/>
        </w:rPr>
        <w:t xml:space="preserve">Patients’ risk factors for periprosthetic joint infection in primary total hip arthroplasty: A meta-analysis of 40 studies. </w:t>
      </w:r>
      <w:r w:rsidRPr="000B5813">
        <w:rPr>
          <w:i/>
          <w:iCs/>
          <w:color w:val="000000"/>
        </w:rPr>
        <w:t>BMC Musculoskeletal Disorders</w:t>
      </w:r>
      <w:r w:rsidRPr="000B5813">
        <w:rPr>
          <w:color w:val="000000"/>
        </w:rPr>
        <w:t>. 2021;22(1):776. doi:</w:t>
      </w:r>
      <w:hyperlink r:id="rId27">
        <w:r w:rsidRPr="000B5813">
          <w:rPr>
            <w:rStyle w:val="Hyperlnk"/>
            <w:color w:val="000000"/>
          </w:rPr>
          <w:t>10.1186/s12891-021-04647-1</w:t>
        </w:r>
      </w:hyperlink>
    </w:p>
    <w:p w14:paraId="3E4F66CC" w14:textId="77777777" w:rsidR="00363BBD" w:rsidRPr="000B5813" w:rsidRDefault="00FD60FF">
      <w:pPr>
        <w:pStyle w:val="Litteraturfrteckning"/>
        <w:rPr>
          <w:color w:val="000000"/>
        </w:rPr>
      </w:pPr>
      <w:bookmarkStart w:id="41" w:name="ref-Resende2021"/>
      <w:bookmarkEnd w:id="40"/>
      <w:r w:rsidRPr="000B5813">
        <w:rPr>
          <w:color w:val="000000"/>
        </w:rPr>
        <w:t xml:space="preserve">16. </w:t>
      </w:r>
      <w:r w:rsidRPr="000B5813">
        <w:rPr>
          <w:color w:val="000000"/>
        </w:rPr>
        <w:tab/>
      </w:r>
      <w:proofErr w:type="spellStart"/>
      <w:r w:rsidRPr="000B5813">
        <w:rPr>
          <w:color w:val="000000"/>
        </w:rPr>
        <w:t>Resende</w:t>
      </w:r>
      <w:proofErr w:type="spellEnd"/>
      <w:r w:rsidRPr="000B5813">
        <w:rPr>
          <w:color w:val="000000"/>
        </w:rPr>
        <w:t xml:space="preserve"> VAC, Neto AC, Nunes C, Andrade R, </w:t>
      </w:r>
      <w:proofErr w:type="spellStart"/>
      <w:r w:rsidRPr="000B5813">
        <w:rPr>
          <w:color w:val="000000"/>
        </w:rPr>
        <w:t>Espregueira</w:t>
      </w:r>
      <w:proofErr w:type="spellEnd"/>
      <w:r w:rsidRPr="000B5813">
        <w:rPr>
          <w:color w:val="000000"/>
        </w:rPr>
        <w:t xml:space="preserve">-Mendes J, Lopes S. Higher age, female gender, </w:t>
      </w:r>
      <w:proofErr w:type="gramStart"/>
      <w:r w:rsidRPr="000B5813">
        <w:rPr>
          <w:color w:val="000000"/>
        </w:rPr>
        <w:t>osteoarthritis</w:t>
      </w:r>
      <w:proofErr w:type="gramEnd"/>
      <w:r w:rsidRPr="000B5813">
        <w:rPr>
          <w:color w:val="000000"/>
        </w:rPr>
        <w:t xml:space="preserve"> and blood transfusion protect against periprosthetic joint infection in total hip or knee arthroplasties: A systematic review and meta-analysis. </w:t>
      </w:r>
      <w:r w:rsidRPr="000B5813">
        <w:rPr>
          <w:i/>
          <w:iCs/>
          <w:color w:val="000000"/>
        </w:rPr>
        <w:t xml:space="preserve">Knee Surg Sports </w:t>
      </w:r>
      <w:proofErr w:type="spellStart"/>
      <w:r w:rsidRPr="000B5813">
        <w:rPr>
          <w:i/>
          <w:iCs/>
          <w:color w:val="000000"/>
        </w:rPr>
        <w:t>Traumatol</w:t>
      </w:r>
      <w:proofErr w:type="spellEnd"/>
      <w:r w:rsidRPr="000B5813">
        <w:rPr>
          <w:i/>
          <w:iCs/>
          <w:color w:val="000000"/>
        </w:rPr>
        <w:t xml:space="preserve"> </w:t>
      </w:r>
      <w:proofErr w:type="spellStart"/>
      <w:r w:rsidRPr="000B5813">
        <w:rPr>
          <w:i/>
          <w:iCs/>
          <w:color w:val="000000"/>
        </w:rPr>
        <w:t>Arthrosc</w:t>
      </w:r>
      <w:proofErr w:type="spellEnd"/>
      <w:r w:rsidRPr="000B5813">
        <w:rPr>
          <w:color w:val="000000"/>
        </w:rPr>
        <w:t>. 2021;29(1):8-43. doi:</w:t>
      </w:r>
      <w:hyperlink r:id="rId28">
        <w:r w:rsidRPr="000B5813">
          <w:rPr>
            <w:rStyle w:val="Hyperlnk"/>
            <w:color w:val="000000"/>
          </w:rPr>
          <w:t>10.1007/s00167-018-5231-9</w:t>
        </w:r>
      </w:hyperlink>
    </w:p>
    <w:p w14:paraId="07277036" w14:textId="77777777" w:rsidR="00363BBD" w:rsidRPr="000B5813" w:rsidRDefault="00FD60FF">
      <w:pPr>
        <w:pStyle w:val="Litteraturfrteckning"/>
        <w:rPr>
          <w:color w:val="000000"/>
        </w:rPr>
      </w:pPr>
      <w:bookmarkStart w:id="42" w:name="ref-Sodhi2020"/>
      <w:bookmarkEnd w:id="41"/>
      <w:r w:rsidRPr="000B5813">
        <w:rPr>
          <w:color w:val="000000"/>
        </w:rPr>
        <w:t xml:space="preserve">17. </w:t>
      </w:r>
      <w:r w:rsidRPr="000B5813">
        <w:rPr>
          <w:color w:val="000000"/>
        </w:rPr>
        <w:tab/>
        <w:t xml:space="preserve">Sodhi N, Anis HK, </w:t>
      </w:r>
      <w:proofErr w:type="spellStart"/>
      <w:r w:rsidRPr="000B5813">
        <w:rPr>
          <w:color w:val="000000"/>
        </w:rPr>
        <w:t>Vakharia</w:t>
      </w:r>
      <w:proofErr w:type="spellEnd"/>
      <w:r w:rsidRPr="000B5813">
        <w:rPr>
          <w:color w:val="000000"/>
        </w:rPr>
        <w:t xml:space="preserve"> RM, et al. What Are Risk Factors for Infection after Primary or Revision Total Joint Arthroplasty in Patients Older Than 80 Years? </w:t>
      </w:r>
      <w:r w:rsidRPr="000B5813">
        <w:rPr>
          <w:i/>
          <w:iCs/>
          <w:color w:val="000000"/>
        </w:rPr>
        <w:t>Clinical Orthopaedics and Related Research</w:t>
      </w:r>
      <w:r w:rsidRPr="000B5813">
        <w:rPr>
          <w:color w:val="000000"/>
        </w:rPr>
        <w:t>. 2020;478(8):1741-1751. doi:</w:t>
      </w:r>
      <w:hyperlink r:id="rId29">
        <w:r w:rsidRPr="000B5813">
          <w:rPr>
            <w:rStyle w:val="Hyperlnk"/>
            <w:color w:val="000000"/>
          </w:rPr>
          <w:t>10.1097/CORR.0000000000001389</w:t>
        </w:r>
      </w:hyperlink>
    </w:p>
    <w:p w14:paraId="0F0881C4" w14:textId="77777777" w:rsidR="00363BBD" w:rsidRPr="000B5813" w:rsidRDefault="00FD60FF">
      <w:pPr>
        <w:pStyle w:val="Litteraturfrteckning"/>
        <w:rPr>
          <w:color w:val="000000"/>
        </w:rPr>
      </w:pPr>
      <w:bookmarkStart w:id="43" w:name="ref-Edelstein2015"/>
      <w:bookmarkEnd w:id="42"/>
      <w:r w:rsidRPr="000B5813">
        <w:rPr>
          <w:color w:val="000000"/>
        </w:rPr>
        <w:t xml:space="preserve">18. </w:t>
      </w:r>
      <w:r w:rsidRPr="000B5813">
        <w:rPr>
          <w:color w:val="000000"/>
        </w:rPr>
        <w:tab/>
        <w:t xml:space="preserve">Edelstein AI, </w:t>
      </w:r>
      <w:proofErr w:type="spellStart"/>
      <w:r w:rsidRPr="000B5813">
        <w:rPr>
          <w:color w:val="000000"/>
        </w:rPr>
        <w:t>Kwasny</w:t>
      </w:r>
      <w:proofErr w:type="spellEnd"/>
      <w:r w:rsidRPr="000B5813">
        <w:rPr>
          <w:color w:val="000000"/>
        </w:rPr>
        <w:t xml:space="preserve"> MJ, Suleiman LI, et al. Can the </w:t>
      </w:r>
      <w:proofErr w:type="spellStart"/>
      <w:r w:rsidRPr="000B5813">
        <w:rPr>
          <w:color w:val="000000"/>
        </w:rPr>
        <w:t>american</w:t>
      </w:r>
      <w:proofErr w:type="spellEnd"/>
      <w:r w:rsidRPr="000B5813">
        <w:rPr>
          <w:color w:val="000000"/>
        </w:rPr>
        <w:t xml:space="preserve"> college of </w:t>
      </w:r>
      <w:proofErr w:type="gramStart"/>
      <w:r w:rsidRPr="000B5813">
        <w:rPr>
          <w:color w:val="000000"/>
        </w:rPr>
        <w:t>surgeons</w:t>
      </w:r>
      <w:proofErr w:type="gramEnd"/>
      <w:r w:rsidRPr="000B5813">
        <w:rPr>
          <w:color w:val="000000"/>
        </w:rPr>
        <w:t xml:space="preserve"> risk calculator predict 30-Day complications after knee and hip arthroplasty? </w:t>
      </w:r>
      <w:r w:rsidRPr="000B5813">
        <w:rPr>
          <w:i/>
          <w:iCs/>
          <w:color w:val="000000"/>
        </w:rPr>
        <w:t>Journal of Arthroplasty</w:t>
      </w:r>
      <w:r w:rsidRPr="000B5813">
        <w:rPr>
          <w:color w:val="000000"/>
        </w:rPr>
        <w:t>. 2015;30(9):5-10. doi:</w:t>
      </w:r>
      <w:hyperlink r:id="rId30">
        <w:r w:rsidRPr="000B5813">
          <w:rPr>
            <w:rStyle w:val="Hyperlnk"/>
            <w:color w:val="000000"/>
          </w:rPr>
          <w:t>10.1016/j.arth.2015.01.057</w:t>
        </w:r>
      </w:hyperlink>
    </w:p>
    <w:p w14:paraId="5466EDE1" w14:textId="77777777" w:rsidR="00363BBD" w:rsidRPr="000B5813" w:rsidRDefault="00FD60FF">
      <w:pPr>
        <w:pStyle w:val="Litteraturfrteckning"/>
        <w:rPr>
          <w:color w:val="000000"/>
        </w:rPr>
      </w:pPr>
      <w:bookmarkStart w:id="44" w:name="ref-Wingert2016a"/>
      <w:bookmarkEnd w:id="43"/>
      <w:r w:rsidRPr="000B5813">
        <w:rPr>
          <w:color w:val="000000"/>
        </w:rPr>
        <w:t xml:space="preserve">19. </w:t>
      </w:r>
      <w:r w:rsidRPr="000B5813">
        <w:rPr>
          <w:color w:val="000000"/>
        </w:rPr>
        <w:tab/>
        <w:t xml:space="preserve">Wingert NC, </w:t>
      </w:r>
      <w:proofErr w:type="spellStart"/>
      <w:r w:rsidRPr="000B5813">
        <w:rPr>
          <w:color w:val="000000"/>
        </w:rPr>
        <w:t>Gotoff</w:t>
      </w:r>
      <w:proofErr w:type="spellEnd"/>
      <w:r w:rsidRPr="000B5813">
        <w:rPr>
          <w:color w:val="000000"/>
        </w:rPr>
        <w:t xml:space="preserve"> J, Parrilla E, </w:t>
      </w:r>
      <w:proofErr w:type="spellStart"/>
      <w:r w:rsidRPr="000B5813">
        <w:rPr>
          <w:color w:val="000000"/>
        </w:rPr>
        <w:t>Gotoff</w:t>
      </w:r>
      <w:proofErr w:type="spellEnd"/>
      <w:r w:rsidRPr="000B5813">
        <w:rPr>
          <w:color w:val="000000"/>
        </w:rPr>
        <w:t xml:space="preserve"> R, Hou L, Ghanem E. The ACS NSQIP Risk Calculator Is a Fair Predictor of Acute Periprosthetic Joint Infection: </w:t>
      </w:r>
      <w:r w:rsidRPr="000B5813">
        <w:rPr>
          <w:i/>
          <w:iCs/>
          <w:color w:val="000000"/>
        </w:rPr>
        <w:t>Clinical Orthopaedics and Related Research</w:t>
      </w:r>
      <w:r w:rsidRPr="000B5813">
        <w:rPr>
          <w:color w:val="000000"/>
        </w:rPr>
        <w:t>. 2016;474(7):1643-1648. doi:</w:t>
      </w:r>
      <w:hyperlink r:id="rId31">
        <w:r w:rsidRPr="000B5813">
          <w:rPr>
            <w:rStyle w:val="Hyperlnk"/>
            <w:color w:val="000000"/>
          </w:rPr>
          <w:t>10.1007/s11999-016-4717-3</w:t>
        </w:r>
      </w:hyperlink>
    </w:p>
    <w:p w14:paraId="0BC0BAFD" w14:textId="77777777" w:rsidR="00363BBD" w:rsidRPr="000B5813" w:rsidRDefault="00FD60FF">
      <w:pPr>
        <w:pStyle w:val="Litteraturfrteckning"/>
        <w:rPr>
          <w:color w:val="000000"/>
        </w:rPr>
      </w:pPr>
      <w:bookmarkStart w:id="45" w:name="ref-Bozic2013a"/>
      <w:bookmarkEnd w:id="44"/>
      <w:r w:rsidRPr="000B5813">
        <w:rPr>
          <w:color w:val="000000"/>
        </w:rPr>
        <w:t xml:space="preserve">20. </w:t>
      </w:r>
      <w:r w:rsidRPr="000B5813">
        <w:rPr>
          <w:color w:val="000000"/>
        </w:rPr>
        <w:tab/>
      </w:r>
      <w:proofErr w:type="spellStart"/>
      <w:r w:rsidRPr="000B5813">
        <w:rPr>
          <w:color w:val="000000"/>
        </w:rPr>
        <w:t>Bozic</w:t>
      </w:r>
      <w:proofErr w:type="spellEnd"/>
      <w:r w:rsidRPr="000B5813">
        <w:rPr>
          <w:color w:val="000000"/>
        </w:rPr>
        <w:t xml:space="preserve"> KJ, Ong K, Lau E, et al. Estimating risk in </w:t>
      </w:r>
      <w:proofErr w:type="spellStart"/>
      <w:r w:rsidRPr="000B5813">
        <w:rPr>
          <w:color w:val="000000"/>
        </w:rPr>
        <w:t>medicare</w:t>
      </w:r>
      <w:proofErr w:type="spellEnd"/>
      <w:r w:rsidRPr="000B5813">
        <w:rPr>
          <w:color w:val="000000"/>
        </w:rPr>
        <w:t xml:space="preserve"> patients with THA: An electronic risk calculator for periprosthetic joint infection and mortality. </w:t>
      </w:r>
      <w:r w:rsidRPr="000B5813">
        <w:rPr>
          <w:i/>
          <w:iCs/>
          <w:color w:val="000000"/>
        </w:rPr>
        <w:t>Clinical Orthopaedics and Related Research</w:t>
      </w:r>
      <w:r w:rsidRPr="000B5813">
        <w:rPr>
          <w:color w:val="000000"/>
        </w:rPr>
        <w:t>. 2013;471(2):574-583. doi:</w:t>
      </w:r>
      <w:hyperlink r:id="rId32">
        <w:r w:rsidRPr="000B5813">
          <w:rPr>
            <w:rStyle w:val="Hyperlnk"/>
            <w:color w:val="000000"/>
          </w:rPr>
          <w:t>10.1007/s11999-012-2605-z</w:t>
        </w:r>
      </w:hyperlink>
    </w:p>
    <w:p w14:paraId="7BD2451D" w14:textId="77777777" w:rsidR="00363BBD" w:rsidRPr="000B5813" w:rsidRDefault="00FD60FF">
      <w:pPr>
        <w:pStyle w:val="Litteraturfrteckning"/>
        <w:rPr>
          <w:color w:val="000000"/>
        </w:rPr>
      </w:pPr>
      <w:bookmarkStart w:id="46" w:name="ref-Inacio2015a"/>
      <w:bookmarkEnd w:id="45"/>
      <w:r w:rsidRPr="000B5813">
        <w:rPr>
          <w:color w:val="000000"/>
        </w:rPr>
        <w:t xml:space="preserve">21. </w:t>
      </w:r>
      <w:r w:rsidRPr="000B5813">
        <w:rPr>
          <w:color w:val="000000"/>
        </w:rPr>
        <w:tab/>
      </w:r>
      <w:proofErr w:type="spellStart"/>
      <w:r w:rsidRPr="000B5813">
        <w:rPr>
          <w:color w:val="000000"/>
        </w:rPr>
        <w:t>Inacio</w:t>
      </w:r>
      <w:proofErr w:type="spellEnd"/>
      <w:r w:rsidRPr="000B5813">
        <w:rPr>
          <w:color w:val="000000"/>
        </w:rPr>
        <w:t xml:space="preserve"> MCS, Pratt NL, Roughead EE, Graves SE. Predicting Infections After Total Joint Arthroplasty Using a Prescription Based Comorbidity Measure. </w:t>
      </w:r>
      <w:r w:rsidRPr="000B5813">
        <w:rPr>
          <w:i/>
          <w:iCs/>
          <w:color w:val="000000"/>
        </w:rPr>
        <w:t>The Journal of Arthroplasty</w:t>
      </w:r>
      <w:r w:rsidRPr="000B5813">
        <w:rPr>
          <w:color w:val="000000"/>
        </w:rPr>
        <w:t>. 2015;30(10):1692-1698. doi:</w:t>
      </w:r>
      <w:hyperlink r:id="rId33">
        <w:r w:rsidRPr="000B5813">
          <w:rPr>
            <w:rStyle w:val="Hyperlnk"/>
            <w:color w:val="000000"/>
          </w:rPr>
          <w:t>10.1016/j.arth.2015.05.004</w:t>
        </w:r>
      </w:hyperlink>
    </w:p>
    <w:p w14:paraId="4CB25522" w14:textId="77777777" w:rsidR="00363BBD" w:rsidRPr="000B5813" w:rsidRDefault="00FD60FF">
      <w:pPr>
        <w:pStyle w:val="Litteraturfrteckning"/>
        <w:rPr>
          <w:color w:val="000000"/>
        </w:rPr>
      </w:pPr>
      <w:bookmarkStart w:id="47" w:name="ref-Cnudde2016"/>
      <w:bookmarkEnd w:id="46"/>
      <w:r w:rsidRPr="000B5813">
        <w:rPr>
          <w:color w:val="000000"/>
        </w:rPr>
        <w:t xml:space="preserve">22. </w:t>
      </w:r>
      <w:r w:rsidRPr="000B5813">
        <w:rPr>
          <w:color w:val="000000"/>
        </w:rPr>
        <w:tab/>
      </w:r>
      <w:proofErr w:type="spellStart"/>
      <w:r w:rsidRPr="000B5813">
        <w:rPr>
          <w:color w:val="000000"/>
        </w:rPr>
        <w:t>Cnudde</w:t>
      </w:r>
      <w:proofErr w:type="spellEnd"/>
      <w:r w:rsidRPr="000B5813">
        <w:rPr>
          <w:color w:val="000000"/>
        </w:rPr>
        <w:t xml:space="preserve"> P, Rolfson O, Nemes S, et al. Linking Swedish health data registers to establish a research database and a shared decision-making tool in hip replacement. </w:t>
      </w:r>
      <w:r w:rsidRPr="000B5813">
        <w:rPr>
          <w:i/>
          <w:iCs/>
          <w:color w:val="000000"/>
        </w:rPr>
        <w:t>BMC Musculoskeletal Disorders</w:t>
      </w:r>
      <w:r w:rsidRPr="000B5813">
        <w:rPr>
          <w:color w:val="000000"/>
        </w:rPr>
        <w:t>. 2016;17(1):414. doi:</w:t>
      </w:r>
      <w:hyperlink r:id="rId34">
        <w:r w:rsidRPr="000B5813">
          <w:rPr>
            <w:rStyle w:val="Hyperlnk"/>
            <w:color w:val="000000"/>
          </w:rPr>
          <w:t>10.1186/s12891-016-1262-x</w:t>
        </w:r>
      </w:hyperlink>
    </w:p>
    <w:p w14:paraId="7078CCE5" w14:textId="77777777" w:rsidR="00363BBD" w:rsidRPr="000B5813" w:rsidRDefault="00FD60FF">
      <w:pPr>
        <w:pStyle w:val="Litteraturfrteckning"/>
        <w:rPr>
          <w:color w:val="000000"/>
        </w:rPr>
      </w:pPr>
      <w:bookmarkStart w:id="48" w:name="ref-Bulow2020"/>
      <w:bookmarkEnd w:id="47"/>
      <w:r w:rsidRPr="000B5813">
        <w:rPr>
          <w:color w:val="000000"/>
        </w:rPr>
        <w:lastRenderedPageBreak/>
        <w:t xml:space="preserve">23. </w:t>
      </w:r>
      <w:r w:rsidRPr="000B5813">
        <w:rPr>
          <w:color w:val="000000"/>
        </w:rPr>
        <w:tab/>
        <w:t xml:space="preserve">Bülow E, Nemes S, Rolfson O. Are the first or the second hips of staged bilateral THAs more </w:t>
      </w:r>
      <w:proofErr w:type="gramStart"/>
      <w:r w:rsidRPr="000B5813">
        <w:rPr>
          <w:color w:val="000000"/>
        </w:rPr>
        <w:t>similar to</w:t>
      </w:r>
      <w:proofErr w:type="gramEnd"/>
      <w:r w:rsidRPr="000B5813">
        <w:rPr>
          <w:color w:val="000000"/>
        </w:rPr>
        <w:t xml:space="preserve"> unilateral procedures? A study from the </w:t>
      </w:r>
      <w:proofErr w:type="spellStart"/>
      <w:r w:rsidRPr="000B5813">
        <w:rPr>
          <w:color w:val="000000"/>
        </w:rPr>
        <w:t>swedish</w:t>
      </w:r>
      <w:proofErr w:type="spellEnd"/>
      <w:r w:rsidRPr="000B5813">
        <w:rPr>
          <w:color w:val="000000"/>
        </w:rPr>
        <w:t xml:space="preserve"> hip arthroplasty register. </w:t>
      </w:r>
      <w:r w:rsidRPr="000B5813">
        <w:rPr>
          <w:i/>
          <w:iCs/>
          <w:color w:val="000000"/>
        </w:rPr>
        <w:t>Clinical Orthopaedics and Related Research</w:t>
      </w:r>
      <w:r w:rsidRPr="000B5813">
        <w:rPr>
          <w:color w:val="000000"/>
        </w:rPr>
        <w:t>. 2020;2020(478):11262-11270. doi:</w:t>
      </w:r>
      <w:hyperlink r:id="rId35">
        <w:r w:rsidRPr="000B5813">
          <w:rPr>
            <w:rStyle w:val="Hyperlnk"/>
            <w:color w:val="000000"/>
          </w:rPr>
          <w:t>10.1097/CORR.0000000000001210</w:t>
        </w:r>
      </w:hyperlink>
    </w:p>
    <w:p w14:paraId="65595B56" w14:textId="77777777" w:rsidR="00363BBD" w:rsidRPr="000B5813" w:rsidRDefault="00FD60FF">
      <w:pPr>
        <w:pStyle w:val="Litteraturfrteckning"/>
        <w:rPr>
          <w:color w:val="000000"/>
        </w:rPr>
      </w:pPr>
      <w:bookmarkStart w:id="49" w:name="ref-Schmidt2014b"/>
      <w:bookmarkEnd w:id="48"/>
      <w:r w:rsidRPr="000B5813">
        <w:rPr>
          <w:color w:val="000000"/>
        </w:rPr>
        <w:t xml:space="preserve">24. </w:t>
      </w:r>
      <w:r w:rsidRPr="000B5813">
        <w:rPr>
          <w:color w:val="000000"/>
        </w:rPr>
        <w:tab/>
        <w:t xml:space="preserve">Schmidt M, Pedersen L, Sørensen HT. The Danish Civil Registration System as a tool in epidemiology. </w:t>
      </w:r>
      <w:r w:rsidRPr="000B5813">
        <w:rPr>
          <w:i/>
          <w:iCs/>
          <w:color w:val="000000"/>
        </w:rPr>
        <w:t>Eur J Epidemiol</w:t>
      </w:r>
      <w:r w:rsidRPr="000B5813">
        <w:rPr>
          <w:color w:val="000000"/>
        </w:rPr>
        <w:t>. 2014;29(8):541-549. doi:</w:t>
      </w:r>
      <w:hyperlink r:id="rId36">
        <w:r w:rsidRPr="000B5813">
          <w:rPr>
            <w:rStyle w:val="Hyperlnk"/>
            <w:color w:val="000000"/>
          </w:rPr>
          <w:t>10.1007/s10654-014-9930-3</w:t>
        </w:r>
      </w:hyperlink>
    </w:p>
    <w:p w14:paraId="3011CCAF" w14:textId="77777777" w:rsidR="00363BBD" w:rsidRPr="000B5813" w:rsidRDefault="00FD60FF">
      <w:pPr>
        <w:pStyle w:val="Litteraturfrteckning"/>
        <w:rPr>
          <w:color w:val="000000"/>
        </w:rPr>
      </w:pPr>
      <w:bookmarkStart w:id="50" w:name="ref-Gundtoft2016"/>
      <w:bookmarkEnd w:id="49"/>
      <w:r w:rsidRPr="000B5813">
        <w:rPr>
          <w:color w:val="000000"/>
        </w:rPr>
        <w:t xml:space="preserve">25. </w:t>
      </w:r>
      <w:r w:rsidRPr="000B5813">
        <w:rPr>
          <w:color w:val="000000"/>
        </w:rPr>
        <w:tab/>
      </w:r>
      <w:proofErr w:type="spellStart"/>
      <w:r w:rsidRPr="000B5813">
        <w:rPr>
          <w:color w:val="000000"/>
        </w:rPr>
        <w:t>Gundtoft</w:t>
      </w:r>
      <w:proofErr w:type="spellEnd"/>
      <w:r w:rsidRPr="000B5813">
        <w:rPr>
          <w:color w:val="000000"/>
        </w:rPr>
        <w:t xml:space="preserve"> PH, Varnum C, Pedersen AB, Overgaard S. The Danish Hip Arthroplasty Register. </w:t>
      </w:r>
      <w:r w:rsidRPr="000B5813">
        <w:rPr>
          <w:i/>
          <w:iCs/>
          <w:color w:val="000000"/>
        </w:rPr>
        <w:t>CLEP</w:t>
      </w:r>
      <w:r w:rsidRPr="000B5813">
        <w:rPr>
          <w:color w:val="000000"/>
        </w:rPr>
        <w:t xml:space="preserve">. </w:t>
      </w:r>
      <w:proofErr w:type="gramStart"/>
      <w:r w:rsidRPr="000B5813">
        <w:rPr>
          <w:color w:val="000000"/>
        </w:rPr>
        <w:t>2016;8:509</w:t>
      </w:r>
      <w:proofErr w:type="gramEnd"/>
      <w:r w:rsidRPr="000B5813">
        <w:rPr>
          <w:color w:val="000000"/>
        </w:rPr>
        <w:t>-514. doi:</w:t>
      </w:r>
      <w:hyperlink r:id="rId37">
        <w:r w:rsidRPr="000B5813">
          <w:rPr>
            <w:rStyle w:val="Hyperlnk"/>
            <w:color w:val="000000"/>
          </w:rPr>
          <w:t>10.2147/CLEP.S99498</w:t>
        </w:r>
      </w:hyperlink>
    </w:p>
    <w:p w14:paraId="35E61244" w14:textId="77777777" w:rsidR="00363BBD" w:rsidRPr="000B5813" w:rsidRDefault="00FD60FF">
      <w:pPr>
        <w:pStyle w:val="Litteraturfrteckning"/>
        <w:rPr>
          <w:color w:val="000000"/>
        </w:rPr>
      </w:pPr>
      <w:bookmarkStart w:id="51" w:name="ref-Schmidt2015"/>
      <w:bookmarkEnd w:id="50"/>
      <w:r w:rsidRPr="000B5813">
        <w:rPr>
          <w:color w:val="000000"/>
        </w:rPr>
        <w:t xml:space="preserve">26. </w:t>
      </w:r>
      <w:r w:rsidRPr="000B5813">
        <w:rPr>
          <w:color w:val="000000"/>
        </w:rPr>
        <w:tab/>
        <w:t xml:space="preserve">Schmidt M, Schmidt SAJ, </w:t>
      </w:r>
      <w:proofErr w:type="spellStart"/>
      <w:r w:rsidRPr="000B5813">
        <w:rPr>
          <w:color w:val="000000"/>
        </w:rPr>
        <w:t>Sandegaard</w:t>
      </w:r>
      <w:proofErr w:type="spellEnd"/>
      <w:r w:rsidRPr="000B5813">
        <w:rPr>
          <w:color w:val="000000"/>
        </w:rPr>
        <w:t xml:space="preserve"> JL, Ehrenstein V, Pedersen L, Sørensen HT. The Danish National Patient Registry: A review of content, data quality, and research potential. </w:t>
      </w:r>
      <w:r w:rsidRPr="000B5813">
        <w:rPr>
          <w:i/>
          <w:iCs/>
          <w:color w:val="000000"/>
        </w:rPr>
        <w:t>Clin Epidemiol</w:t>
      </w:r>
      <w:r w:rsidRPr="000B5813">
        <w:rPr>
          <w:color w:val="000000"/>
        </w:rPr>
        <w:t xml:space="preserve">. </w:t>
      </w:r>
      <w:proofErr w:type="gramStart"/>
      <w:r w:rsidRPr="000B5813">
        <w:rPr>
          <w:color w:val="000000"/>
        </w:rPr>
        <w:t>2015;7:449</w:t>
      </w:r>
      <w:proofErr w:type="gramEnd"/>
      <w:r w:rsidRPr="000B5813">
        <w:rPr>
          <w:color w:val="000000"/>
        </w:rPr>
        <w:t>-490. doi:</w:t>
      </w:r>
      <w:hyperlink r:id="rId38">
        <w:r w:rsidRPr="000B5813">
          <w:rPr>
            <w:rStyle w:val="Hyperlnk"/>
            <w:color w:val="000000"/>
          </w:rPr>
          <w:t>10.2147/CLEP.S91125</w:t>
        </w:r>
      </w:hyperlink>
    </w:p>
    <w:p w14:paraId="5657997D" w14:textId="77777777" w:rsidR="00363BBD" w:rsidRPr="000B5813" w:rsidRDefault="00FD60FF">
      <w:pPr>
        <w:pStyle w:val="Litteraturfrteckning"/>
        <w:rPr>
          <w:color w:val="000000"/>
        </w:rPr>
      </w:pPr>
      <w:bookmarkStart w:id="52" w:name="ref-zotero-2587"/>
      <w:bookmarkEnd w:id="51"/>
      <w:r w:rsidRPr="000B5813">
        <w:rPr>
          <w:color w:val="000000"/>
        </w:rPr>
        <w:t xml:space="preserve">27. </w:t>
      </w:r>
      <w:r w:rsidRPr="000B5813">
        <w:rPr>
          <w:color w:val="000000"/>
        </w:rPr>
        <w:tab/>
        <w:t xml:space="preserve">Data for research. </w:t>
      </w:r>
      <w:hyperlink r:id="rId39">
        <w:r w:rsidRPr="000B5813">
          <w:rPr>
            <w:rStyle w:val="Hyperlnk"/>
            <w:color w:val="000000"/>
          </w:rPr>
          <w:t>https://www.dst.dk/en/TilSalg/Forskningsservice</w:t>
        </w:r>
      </w:hyperlink>
      <w:r w:rsidRPr="000B5813">
        <w:rPr>
          <w:color w:val="000000"/>
        </w:rPr>
        <w:t>. Accessed June 17, 2021.</w:t>
      </w:r>
    </w:p>
    <w:p w14:paraId="79A821A1" w14:textId="77777777" w:rsidR="00363BBD" w:rsidRPr="000B5813" w:rsidRDefault="00FD60FF">
      <w:pPr>
        <w:pStyle w:val="Litteraturfrteckning"/>
        <w:rPr>
          <w:color w:val="000000"/>
        </w:rPr>
      </w:pPr>
      <w:bookmarkStart w:id="53" w:name="ref-Garland2021"/>
      <w:bookmarkEnd w:id="52"/>
      <w:r w:rsidRPr="000B5813">
        <w:rPr>
          <w:color w:val="000000"/>
        </w:rPr>
        <w:t xml:space="preserve">28. </w:t>
      </w:r>
      <w:r w:rsidRPr="000B5813">
        <w:rPr>
          <w:color w:val="000000"/>
        </w:rPr>
        <w:tab/>
        <w:t xml:space="preserve">Garland A, Bülow E, </w:t>
      </w:r>
      <w:proofErr w:type="spellStart"/>
      <w:r w:rsidRPr="000B5813">
        <w:rPr>
          <w:color w:val="000000"/>
        </w:rPr>
        <w:t>Lenguerrand</w:t>
      </w:r>
      <w:proofErr w:type="spellEnd"/>
      <w:r w:rsidRPr="000B5813">
        <w:rPr>
          <w:color w:val="000000"/>
        </w:rPr>
        <w:t xml:space="preserve"> E, et al. Prediction of 90-day mortality after total hip arthroplasty. </w:t>
      </w:r>
      <w:r w:rsidRPr="000B5813">
        <w:rPr>
          <w:i/>
          <w:iCs/>
          <w:color w:val="000000"/>
        </w:rPr>
        <w:t>The Bone &amp; Joint Journal</w:t>
      </w:r>
      <w:r w:rsidRPr="000B5813">
        <w:rPr>
          <w:color w:val="000000"/>
        </w:rPr>
        <w:t>. 2021;103-</w:t>
      </w:r>
      <w:proofErr w:type="gramStart"/>
      <w:r w:rsidRPr="000B5813">
        <w:rPr>
          <w:color w:val="000000"/>
        </w:rPr>
        <w:t>B(</w:t>
      </w:r>
      <w:proofErr w:type="gramEnd"/>
      <w:r w:rsidRPr="000B5813">
        <w:rPr>
          <w:color w:val="000000"/>
        </w:rPr>
        <w:t>3):469-478. doi:</w:t>
      </w:r>
      <w:hyperlink r:id="rId40">
        <w:r w:rsidRPr="000B5813">
          <w:rPr>
            <w:rStyle w:val="Hyperlnk"/>
            <w:color w:val="000000"/>
          </w:rPr>
          <w:t>10.1302/0301-620X.103B3.BJJ-2020-1249.R1</w:t>
        </w:r>
      </w:hyperlink>
    </w:p>
    <w:p w14:paraId="421F19CB" w14:textId="77777777" w:rsidR="00363BBD" w:rsidRPr="000B5813" w:rsidRDefault="00FD60FF">
      <w:pPr>
        <w:pStyle w:val="Litteraturfrteckning"/>
        <w:rPr>
          <w:color w:val="000000"/>
        </w:rPr>
      </w:pPr>
      <w:bookmarkStart w:id="54" w:name="ref-Kildemoes2011"/>
      <w:bookmarkEnd w:id="53"/>
      <w:r w:rsidRPr="000B5813">
        <w:rPr>
          <w:color w:val="000000"/>
        </w:rPr>
        <w:t xml:space="preserve">29. </w:t>
      </w:r>
      <w:r w:rsidRPr="000B5813">
        <w:rPr>
          <w:color w:val="000000"/>
        </w:rPr>
        <w:tab/>
      </w:r>
      <w:proofErr w:type="spellStart"/>
      <w:r w:rsidRPr="000B5813">
        <w:rPr>
          <w:color w:val="000000"/>
        </w:rPr>
        <w:t>Kildemoes</w:t>
      </w:r>
      <w:proofErr w:type="spellEnd"/>
      <w:r w:rsidRPr="000B5813">
        <w:rPr>
          <w:color w:val="000000"/>
        </w:rPr>
        <w:t xml:space="preserve"> HW, </w:t>
      </w:r>
      <w:proofErr w:type="spellStart"/>
      <w:r w:rsidRPr="000B5813">
        <w:rPr>
          <w:color w:val="000000"/>
        </w:rPr>
        <w:t>Sørensen</w:t>
      </w:r>
      <w:proofErr w:type="spellEnd"/>
      <w:r w:rsidRPr="000B5813">
        <w:rPr>
          <w:color w:val="000000"/>
        </w:rPr>
        <w:t xml:space="preserve"> HT, Hallas J. The Danish National Prescription Registry. </w:t>
      </w:r>
      <w:proofErr w:type="spellStart"/>
      <w:r w:rsidRPr="000B5813">
        <w:rPr>
          <w:i/>
          <w:iCs/>
          <w:color w:val="000000"/>
        </w:rPr>
        <w:t>Scand</w:t>
      </w:r>
      <w:proofErr w:type="spellEnd"/>
      <w:r w:rsidRPr="000B5813">
        <w:rPr>
          <w:i/>
          <w:iCs/>
          <w:color w:val="000000"/>
        </w:rPr>
        <w:t xml:space="preserve"> J Public Health</w:t>
      </w:r>
      <w:r w:rsidRPr="000B5813">
        <w:rPr>
          <w:color w:val="000000"/>
        </w:rPr>
        <w:t>. 2011;39(7 Suppl):38-41. doi:</w:t>
      </w:r>
      <w:hyperlink r:id="rId41">
        <w:r w:rsidRPr="000B5813">
          <w:rPr>
            <w:rStyle w:val="Hyperlnk"/>
            <w:color w:val="000000"/>
          </w:rPr>
          <w:t>10.1177/1403494810394717</w:t>
        </w:r>
      </w:hyperlink>
    </w:p>
    <w:p w14:paraId="3E2D67C6" w14:textId="77777777" w:rsidR="00363BBD" w:rsidRPr="000B5813" w:rsidRDefault="00FD60FF">
      <w:pPr>
        <w:pStyle w:val="Litteraturfrteckning"/>
        <w:rPr>
          <w:color w:val="000000"/>
        </w:rPr>
      </w:pPr>
      <w:bookmarkStart w:id="55" w:name="ref-Pratt2018"/>
      <w:bookmarkEnd w:id="54"/>
      <w:r w:rsidRPr="000B5813">
        <w:rPr>
          <w:color w:val="000000"/>
        </w:rPr>
        <w:t xml:space="preserve">30. </w:t>
      </w:r>
      <w:r w:rsidRPr="000B5813">
        <w:rPr>
          <w:color w:val="000000"/>
        </w:rPr>
        <w:tab/>
        <w:t xml:space="preserve">Pratt NL, Kerr M, Barratt JD, et al. The validity of the Rx-Risk comorbidity index using medicines mapped to the anatomical therapeutic chemical (ATC) classification system. </w:t>
      </w:r>
      <w:r w:rsidRPr="000B5813">
        <w:rPr>
          <w:i/>
          <w:iCs/>
          <w:color w:val="000000"/>
        </w:rPr>
        <w:t>BMJ Open</w:t>
      </w:r>
      <w:r w:rsidRPr="000B5813">
        <w:rPr>
          <w:color w:val="000000"/>
        </w:rPr>
        <w:t>. 2018;8(4). doi:</w:t>
      </w:r>
      <w:hyperlink r:id="rId42">
        <w:r w:rsidRPr="000B5813">
          <w:rPr>
            <w:rStyle w:val="Hyperlnk"/>
            <w:color w:val="000000"/>
          </w:rPr>
          <w:t>10.1136/bmjopen-2017-021122</w:t>
        </w:r>
      </w:hyperlink>
    </w:p>
    <w:p w14:paraId="6EF2E766" w14:textId="77777777" w:rsidR="00363BBD" w:rsidRPr="000B5813" w:rsidRDefault="00FD60FF">
      <w:pPr>
        <w:pStyle w:val="Litteraturfrteckning"/>
        <w:rPr>
          <w:color w:val="000000"/>
        </w:rPr>
      </w:pPr>
      <w:bookmarkStart w:id="56" w:name="ref-Nattino2016"/>
      <w:bookmarkEnd w:id="55"/>
      <w:r w:rsidRPr="000B5813">
        <w:rPr>
          <w:color w:val="000000"/>
        </w:rPr>
        <w:t xml:space="preserve">31. </w:t>
      </w:r>
      <w:r w:rsidRPr="000B5813">
        <w:rPr>
          <w:color w:val="000000"/>
        </w:rPr>
        <w:tab/>
      </w:r>
      <w:proofErr w:type="spellStart"/>
      <w:r w:rsidRPr="000B5813">
        <w:rPr>
          <w:color w:val="000000"/>
        </w:rPr>
        <w:t>Nattino</w:t>
      </w:r>
      <w:proofErr w:type="spellEnd"/>
      <w:r w:rsidRPr="000B5813">
        <w:rPr>
          <w:color w:val="000000"/>
        </w:rPr>
        <w:t xml:space="preserve"> G, </w:t>
      </w:r>
      <w:proofErr w:type="spellStart"/>
      <w:r w:rsidRPr="000B5813">
        <w:rPr>
          <w:color w:val="000000"/>
        </w:rPr>
        <w:t>Finazzi</w:t>
      </w:r>
      <w:proofErr w:type="spellEnd"/>
      <w:r w:rsidRPr="000B5813">
        <w:rPr>
          <w:color w:val="000000"/>
        </w:rPr>
        <w:t xml:space="preserve"> S, </w:t>
      </w:r>
      <w:proofErr w:type="spellStart"/>
      <w:r w:rsidRPr="000B5813">
        <w:rPr>
          <w:color w:val="000000"/>
        </w:rPr>
        <w:t>Bertolini</w:t>
      </w:r>
      <w:proofErr w:type="spellEnd"/>
      <w:r w:rsidRPr="000B5813">
        <w:rPr>
          <w:color w:val="000000"/>
        </w:rPr>
        <w:t xml:space="preserve"> G. A new test and graphical tool to assess the goodness of fit of logistic regression models. </w:t>
      </w:r>
      <w:r w:rsidRPr="000B5813">
        <w:rPr>
          <w:i/>
          <w:iCs/>
          <w:color w:val="000000"/>
        </w:rPr>
        <w:t>Statistics in Medicine</w:t>
      </w:r>
      <w:r w:rsidRPr="000B5813">
        <w:rPr>
          <w:color w:val="000000"/>
        </w:rPr>
        <w:t>. 2016;35(5):709-720. doi:</w:t>
      </w:r>
      <w:hyperlink r:id="rId43">
        <w:r w:rsidRPr="000B5813">
          <w:rPr>
            <w:rStyle w:val="Hyperlnk"/>
            <w:color w:val="000000"/>
          </w:rPr>
          <w:t>10.1002/sim.6744</w:t>
        </w:r>
      </w:hyperlink>
    </w:p>
    <w:p w14:paraId="77A43767" w14:textId="77777777" w:rsidR="00363BBD" w:rsidRPr="000B5813" w:rsidRDefault="00FD60FF">
      <w:pPr>
        <w:pStyle w:val="Litteraturfrteckning"/>
        <w:rPr>
          <w:color w:val="000000"/>
        </w:rPr>
      </w:pPr>
      <w:bookmarkStart w:id="57" w:name="ref-Harrell2018"/>
      <w:bookmarkEnd w:id="56"/>
      <w:r w:rsidRPr="000B5813">
        <w:rPr>
          <w:color w:val="000000"/>
        </w:rPr>
        <w:t xml:space="preserve">32. </w:t>
      </w:r>
      <w:r w:rsidRPr="000B5813">
        <w:rPr>
          <w:color w:val="000000"/>
        </w:rPr>
        <w:tab/>
        <w:t xml:space="preserve">Harrell F. Statistically Efficient Ways to Quantify Added Predictive Value of New Measurements. </w:t>
      </w:r>
      <w:r w:rsidRPr="000B5813">
        <w:rPr>
          <w:i/>
          <w:iCs/>
          <w:color w:val="000000"/>
        </w:rPr>
        <w:t>Statistical Thinking</w:t>
      </w:r>
      <w:r w:rsidRPr="000B5813">
        <w:rPr>
          <w:color w:val="000000"/>
        </w:rPr>
        <w:t xml:space="preserve">. October 2018. </w:t>
      </w:r>
      <w:hyperlink r:id="rId44">
        <w:r w:rsidRPr="000B5813">
          <w:rPr>
            <w:rStyle w:val="Hyperlnk"/>
            <w:color w:val="000000"/>
          </w:rPr>
          <w:t>https://www.fharrell.com/post/addvalue/</w:t>
        </w:r>
      </w:hyperlink>
      <w:r w:rsidRPr="000B5813">
        <w:rPr>
          <w:color w:val="000000"/>
        </w:rPr>
        <w:t>. Accessed May 11, 2021.</w:t>
      </w:r>
    </w:p>
    <w:p w14:paraId="71EE544A" w14:textId="77777777" w:rsidR="00363BBD" w:rsidRPr="000B5813" w:rsidRDefault="00FD60FF">
      <w:pPr>
        <w:pStyle w:val="Litteraturfrteckning"/>
        <w:rPr>
          <w:color w:val="000000"/>
        </w:rPr>
      </w:pPr>
      <w:bookmarkStart w:id="58" w:name="ref-Bulow2020b"/>
      <w:bookmarkEnd w:id="57"/>
      <w:r w:rsidRPr="000B5813">
        <w:rPr>
          <w:color w:val="000000"/>
        </w:rPr>
        <w:t xml:space="preserve">33. </w:t>
      </w:r>
      <w:r w:rsidRPr="000B5813">
        <w:rPr>
          <w:color w:val="000000"/>
        </w:rPr>
        <w:tab/>
        <w:t xml:space="preserve">Bülow E. Coder: An R package for code-based item classification and categorization. </w:t>
      </w:r>
      <w:r w:rsidRPr="000B5813">
        <w:rPr>
          <w:i/>
          <w:iCs/>
          <w:color w:val="000000"/>
        </w:rPr>
        <w:t xml:space="preserve">Journal of </w:t>
      </w:r>
      <w:proofErr w:type="gramStart"/>
      <w:r w:rsidRPr="000B5813">
        <w:rPr>
          <w:i/>
          <w:iCs/>
          <w:color w:val="000000"/>
        </w:rPr>
        <w:t>Open Source</w:t>
      </w:r>
      <w:proofErr w:type="gramEnd"/>
      <w:r w:rsidRPr="000B5813">
        <w:rPr>
          <w:i/>
          <w:iCs/>
          <w:color w:val="000000"/>
        </w:rPr>
        <w:t xml:space="preserve"> Software</w:t>
      </w:r>
      <w:r w:rsidRPr="000B5813">
        <w:rPr>
          <w:color w:val="000000"/>
        </w:rPr>
        <w:t>. 2020;5(56):2916. doi:</w:t>
      </w:r>
      <w:hyperlink r:id="rId45">
        <w:r w:rsidRPr="000B5813">
          <w:rPr>
            <w:rStyle w:val="Hyperlnk"/>
            <w:color w:val="000000"/>
          </w:rPr>
          <w:t>10.21105/joss.02916</w:t>
        </w:r>
      </w:hyperlink>
    </w:p>
    <w:p w14:paraId="5F248E0C" w14:textId="77777777" w:rsidR="00363BBD" w:rsidRPr="000B5813" w:rsidRDefault="00FD60FF">
      <w:pPr>
        <w:pStyle w:val="Litteraturfrteckning"/>
        <w:rPr>
          <w:color w:val="000000"/>
        </w:rPr>
      </w:pPr>
      <w:bookmarkStart w:id="59" w:name="ref-Bunyoz2020"/>
      <w:bookmarkEnd w:id="58"/>
      <w:r w:rsidRPr="000B5813">
        <w:rPr>
          <w:color w:val="000000"/>
        </w:rPr>
        <w:t xml:space="preserve">34. </w:t>
      </w:r>
      <w:r w:rsidRPr="000B5813">
        <w:rPr>
          <w:color w:val="000000"/>
        </w:rPr>
        <w:tab/>
      </w:r>
      <w:proofErr w:type="spellStart"/>
      <w:r w:rsidRPr="000B5813">
        <w:rPr>
          <w:color w:val="000000"/>
        </w:rPr>
        <w:t>Bunyoz</w:t>
      </w:r>
      <w:proofErr w:type="spellEnd"/>
      <w:r w:rsidRPr="000B5813">
        <w:rPr>
          <w:color w:val="000000"/>
        </w:rPr>
        <w:t xml:space="preserve"> KI, Malchau E, Malchau H, </w:t>
      </w:r>
      <w:proofErr w:type="spellStart"/>
      <w:r w:rsidRPr="000B5813">
        <w:rPr>
          <w:color w:val="000000"/>
        </w:rPr>
        <w:t>Troelsen</w:t>
      </w:r>
      <w:proofErr w:type="spellEnd"/>
      <w:r w:rsidRPr="000B5813">
        <w:rPr>
          <w:color w:val="000000"/>
        </w:rPr>
        <w:t xml:space="preserve"> A. Has the Use of Fixation Techniques in THA Changed in This Decade? The Uncemented Paradox Revisited. </w:t>
      </w:r>
      <w:r w:rsidRPr="000B5813">
        <w:rPr>
          <w:i/>
          <w:iCs/>
          <w:color w:val="000000"/>
        </w:rPr>
        <w:t>Clinical Orthopaedics and Related Research</w:t>
      </w:r>
      <w:r w:rsidRPr="000B5813">
        <w:rPr>
          <w:color w:val="000000"/>
        </w:rPr>
        <w:t>. 2020;478(4):697-704. doi:</w:t>
      </w:r>
      <w:hyperlink r:id="rId46">
        <w:r w:rsidRPr="000B5813">
          <w:rPr>
            <w:rStyle w:val="Hyperlnk"/>
            <w:color w:val="000000"/>
          </w:rPr>
          <w:t>10.1097/CORR.0000000000001117</w:t>
        </w:r>
      </w:hyperlink>
    </w:p>
    <w:p w14:paraId="186A433F" w14:textId="77777777" w:rsidR="00363BBD" w:rsidRPr="000B5813" w:rsidRDefault="00FD60FF">
      <w:pPr>
        <w:pStyle w:val="Litteraturfrteckning"/>
        <w:rPr>
          <w:color w:val="000000"/>
        </w:rPr>
      </w:pPr>
      <w:bookmarkStart w:id="60" w:name="ref-Everhart2013"/>
      <w:bookmarkEnd w:id="59"/>
      <w:r w:rsidRPr="000B5813">
        <w:rPr>
          <w:color w:val="000000"/>
        </w:rPr>
        <w:t xml:space="preserve">35. </w:t>
      </w:r>
      <w:r w:rsidRPr="000B5813">
        <w:rPr>
          <w:color w:val="000000"/>
        </w:rPr>
        <w:tab/>
        <w:t xml:space="preserve">Everhart JS, </w:t>
      </w:r>
      <w:proofErr w:type="spellStart"/>
      <w:r w:rsidRPr="000B5813">
        <w:rPr>
          <w:color w:val="000000"/>
        </w:rPr>
        <w:t>Altneu</w:t>
      </w:r>
      <w:proofErr w:type="spellEnd"/>
      <w:r w:rsidRPr="000B5813">
        <w:rPr>
          <w:color w:val="000000"/>
        </w:rPr>
        <w:t xml:space="preserve"> E, Calhoun JH. Medical Comorbidities Are Independent Preoperative Risk Factors for Surgical Infection After Total Joint Arthroplasty. </w:t>
      </w:r>
      <w:r w:rsidRPr="000B5813">
        <w:rPr>
          <w:i/>
          <w:iCs/>
          <w:color w:val="000000"/>
        </w:rPr>
        <w:t xml:space="preserve">Clin </w:t>
      </w:r>
      <w:proofErr w:type="spellStart"/>
      <w:r w:rsidRPr="000B5813">
        <w:rPr>
          <w:i/>
          <w:iCs/>
          <w:color w:val="000000"/>
        </w:rPr>
        <w:t>Orthop</w:t>
      </w:r>
      <w:proofErr w:type="spellEnd"/>
      <w:r w:rsidRPr="000B5813">
        <w:rPr>
          <w:i/>
          <w:iCs/>
          <w:color w:val="000000"/>
        </w:rPr>
        <w:t xml:space="preserve"> </w:t>
      </w:r>
      <w:proofErr w:type="spellStart"/>
      <w:r w:rsidRPr="000B5813">
        <w:rPr>
          <w:i/>
          <w:iCs/>
          <w:color w:val="000000"/>
        </w:rPr>
        <w:t>Relat</w:t>
      </w:r>
      <w:proofErr w:type="spellEnd"/>
      <w:r w:rsidRPr="000B5813">
        <w:rPr>
          <w:i/>
          <w:iCs/>
          <w:color w:val="000000"/>
        </w:rPr>
        <w:t xml:space="preserve"> Res</w:t>
      </w:r>
      <w:r w:rsidRPr="000B5813">
        <w:rPr>
          <w:color w:val="000000"/>
        </w:rPr>
        <w:t>. 2013;471(10):3112-3119. doi:</w:t>
      </w:r>
      <w:hyperlink r:id="rId47">
        <w:r w:rsidRPr="000B5813">
          <w:rPr>
            <w:rStyle w:val="Hyperlnk"/>
            <w:color w:val="000000"/>
          </w:rPr>
          <w:t>10.1007/s11999-013-2923-9</w:t>
        </w:r>
      </w:hyperlink>
    </w:p>
    <w:p w14:paraId="3FA2760B" w14:textId="77777777" w:rsidR="00363BBD" w:rsidRPr="000B5813" w:rsidRDefault="00FD60FF">
      <w:pPr>
        <w:pStyle w:val="Litteraturfrteckning"/>
        <w:rPr>
          <w:color w:val="000000"/>
        </w:rPr>
      </w:pPr>
      <w:bookmarkStart w:id="61" w:name="ref-Poultsides2013"/>
      <w:bookmarkEnd w:id="60"/>
      <w:r w:rsidRPr="000B5813">
        <w:rPr>
          <w:color w:val="000000"/>
        </w:rPr>
        <w:lastRenderedPageBreak/>
        <w:t xml:space="preserve">36. </w:t>
      </w:r>
      <w:r w:rsidRPr="000B5813">
        <w:rPr>
          <w:color w:val="000000"/>
        </w:rPr>
        <w:tab/>
      </w:r>
      <w:proofErr w:type="spellStart"/>
      <w:r w:rsidRPr="000B5813">
        <w:rPr>
          <w:color w:val="000000"/>
        </w:rPr>
        <w:t>Poultsides</w:t>
      </w:r>
      <w:proofErr w:type="spellEnd"/>
      <w:r w:rsidRPr="000B5813">
        <w:rPr>
          <w:color w:val="000000"/>
        </w:rPr>
        <w:t xml:space="preserve"> LA, Ma Y, Della Valle AG, Chiu YL, </w:t>
      </w:r>
      <w:proofErr w:type="spellStart"/>
      <w:r w:rsidRPr="000B5813">
        <w:rPr>
          <w:color w:val="000000"/>
        </w:rPr>
        <w:t>Sculco</w:t>
      </w:r>
      <w:proofErr w:type="spellEnd"/>
      <w:r w:rsidRPr="000B5813">
        <w:rPr>
          <w:color w:val="000000"/>
        </w:rPr>
        <w:t xml:space="preserve"> TP, </w:t>
      </w:r>
      <w:proofErr w:type="spellStart"/>
      <w:r w:rsidRPr="000B5813">
        <w:rPr>
          <w:color w:val="000000"/>
        </w:rPr>
        <w:t>Memtsoudis</w:t>
      </w:r>
      <w:proofErr w:type="spellEnd"/>
      <w:r w:rsidRPr="000B5813">
        <w:rPr>
          <w:color w:val="000000"/>
        </w:rPr>
        <w:t xml:space="preserve"> SG. In-Hospital Surgical Site Infections after Primary Hip and Knee </w:t>
      </w:r>
      <w:proofErr w:type="gramStart"/>
      <w:r w:rsidRPr="000B5813">
        <w:rPr>
          <w:color w:val="000000"/>
        </w:rPr>
        <w:t>Arthroplasty  Incidence</w:t>
      </w:r>
      <w:proofErr w:type="gramEnd"/>
      <w:r w:rsidRPr="000B5813">
        <w:rPr>
          <w:color w:val="000000"/>
        </w:rPr>
        <w:t xml:space="preserve"> and Risk Factors. </w:t>
      </w:r>
      <w:r w:rsidRPr="000B5813">
        <w:rPr>
          <w:i/>
          <w:iCs/>
          <w:color w:val="000000"/>
        </w:rPr>
        <w:t>The Journal of Arthroplasty</w:t>
      </w:r>
      <w:r w:rsidRPr="000B5813">
        <w:rPr>
          <w:color w:val="000000"/>
        </w:rPr>
        <w:t>. 2013;28(3):385-389. doi:</w:t>
      </w:r>
      <w:hyperlink r:id="rId48">
        <w:r w:rsidRPr="000B5813">
          <w:rPr>
            <w:rStyle w:val="Hyperlnk"/>
            <w:color w:val="000000"/>
          </w:rPr>
          <w:t>10.1016/j.arth.2012.06.027</w:t>
        </w:r>
      </w:hyperlink>
    </w:p>
    <w:p w14:paraId="569759A3" w14:textId="77777777" w:rsidR="00363BBD" w:rsidRPr="000B5813" w:rsidRDefault="00FD60FF">
      <w:pPr>
        <w:pStyle w:val="Litteraturfrteckning"/>
        <w:rPr>
          <w:color w:val="000000"/>
        </w:rPr>
      </w:pPr>
      <w:bookmarkStart w:id="62" w:name="ref-Tan2018"/>
      <w:bookmarkEnd w:id="61"/>
      <w:r w:rsidRPr="000B5813">
        <w:rPr>
          <w:color w:val="000000"/>
        </w:rPr>
        <w:t xml:space="preserve">37. </w:t>
      </w:r>
      <w:r w:rsidRPr="000B5813">
        <w:rPr>
          <w:color w:val="000000"/>
        </w:rPr>
        <w:tab/>
        <w:t xml:space="preserve">Tan TL, </w:t>
      </w:r>
      <w:proofErr w:type="spellStart"/>
      <w:r w:rsidRPr="000B5813">
        <w:rPr>
          <w:color w:val="000000"/>
        </w:rPr>
        <w:t>Maltenfort</w:t>
      </w:r>
      <w:proofErr w:type="spellEnd"/>
      <w:r w:rsidRPr="000B5813">
        <w:rPr>
          <w:color w:val="000000"/>
        </w:rPr>
        <w:t xml:space="preserve"> MG, Chen AF, et al. Development and evaluation of a preoperative risk calculator for periprosthetic joint infection following total joint arthroplasty. </w:t>
      </w:r>
      <w:r w:rsidRPr="000B5813">
        <w:rPr>
          <w:i/>
          <w:iCs/>
          <w:color w:val="000000"/>
        </w:rPr>
        <w:t>The Journal of Bone and Joint Surgery</w:t>
      </w:r>
      <w:r w:rsidRPr="000B5813">
        <w:rPr>
          <w:color w:val="000000"/>
        </w:rPr>
        <w:t>. 2018. doi:</w:t>
      </w:r>
      <w:hyperlink r:id="rId49">
        <w:r w:rsidRPr="000B5813">
          <w:rPr>
            <w:rStyle w:val="Hyperlnk"/>
            <w:color w:val="000000"/>
          </w:rPr>
          <w:t>10.2106/JBJS.16.01435</w:t>
        </w:r>
      </w:hyperlink>
    </w:p>
    <w:p w14:paraId="0756B3A9" w14:textId="77777777" w:rsidR="00363BBD" w:rsidRPr="000B5813" w:rsidRDefault="00FD60FF">
      <w:pPr>
        <w:pStyle w:val="Litteraturfrteckning"/>
        <w:rPr>
          <w:color w:val="000000"/>
        </w:rPr>
      </w:pPr>
      <w:bookmarkStart w:id="63" w:name="ref-Inacio2015"/>
      <w:bookmarkEnd w:id="62"/>
      <w:r w:rsidRPr="000B5813">
        <w:rPr>
          <w:color w:val="000000"/>
        </w:rPr>
        <w:t xml:space="preserve">38. </w:t>
      </w:r>
      <w:r w:rsidRPr="000B5813">
        <w:rPr>
          <w:color w:val="000000"/>
        </w:rPr>
        <w:tab/>
      </w:r>
      <w:proofErr w:type="spellStart"/>
      <w:r w:rsidRPr="000B5813">
        <w:rPr>
          <w:color w:val="000000"/>
        </w:rPr>
        <w:t>Inacio</w:t>
      </w:r>
      <w:proofErr w:type="spellEnd"/>
      <w:r w:rsidRPr="000B5813">
        <w:rPr>
          <w:color w:val="000000"/>
        </w:rPr>
        <w:t xml:space="preserve"> MCS, Pratt NL, Roughead EE, Graves SE. Comparing co-morbidities in total joint arthroplasty patients using the </w:t>
      </w:r>
      <w:proofErr w:type="spellStart"/>
      <w:r w:rsidRPr="000B5813">
        <w:rPr>
          <w:color w:val="000000"/>
        </w:rPr>
        <w:t>RxRisk</w:t>
      </w:r>
      <w:proofErr w:type="spellEnd"/>
      <w:r w:rsidRPr="000B5813">
        <w:rPr>
          <w:color w:val="000000"/>
        </w:rPr>
        <w:t xml:space="preserve">-V, Elixhauser, and Charlson Measures: A cross-sectional evaluation. </w:t>
      </w:r>
      <w:r w:rsidRPr="000B5813">
        <w:rPr>
          <w:i/>
          <w:iCs/>
          <w:color w:val="000000"/>
        </w:rPr>
        <w:t>BMC Musculoskeletal Disorders</w:t>
      </w:r>
      <w:r w:rsidRPr="000B5813">
        <w:rPr>
          <w:color w:val="000000"/>
        </w:rPr>
        <w:t>. 2015;16(1):385. doi:</w:t>
      </w:r>
      <w:hyperlink r:id="rId50">
        <w:r w:rsidRPr="000B5813">
          <w:rPr>
            <w:rStyle w:val="Hyperlnk"/>
            <w:color w:val="000000"/>
          </w:rPr>
          <w:t>10.1186/s12891-015-0835-4</w:t>
        </w:r>
      </w:hyperlink>
    </w:p>
    <w:p w14:paraId="24370E06" w14:textId="77777777" w:rsidR="00363BBD" w:rsidRPr="000B5813" w:rsidRDefault="00FD60FF">
      <w:pPr>
        <w:pStyle w:val="Litteraturfrteckning"/>
        <w:rPr>
          <w:color w:val="000000"/>
        </w:rPr>
      </w:pPr>
      <w:bookmarkStart w:id="64" w:name="ref-Namba2012"/>
      <w:bookmarkEnd w:id="63"/>
      <w:r w:rsidRPr="000B5813">
        <w:rPr>
          <w:color w:val="000000"/>
        </w:rPr>
        <w:t xml:space="preserve">39. </w:t>
      </w:r>
      <w:r w:rsidRPr="000B5813">
        <w:rPr>
          <w:color w:val="000000"/>
        </w:rPr>
        <w:tab/>
      </w:r>
      <w:proofErr w:type="spellStart"/>
      <w:r w:rsidRPr="000B5813">
        <w:rPr>
          <w:color w:val="000000"/>
        </w:rPr>
        <w:t>Namba</w:t>
      </w:r>
      <w:proofErr w:type="spellEnd"/>
      <w:r w:rsidRPr="000B5813">
        <w:rPr>
          <w:color w:val="000000"/>
        </w:rPr>
        <w:t xml:space="preserve"> RS, </w:t>
      </w:r>
      <w:proofErr w:type="spellStart"/>
      <w:r w:rsidRPr="000B5813">
        <w:rPr>
          <w:color w:val="000000"/>
        </w:rPr>
        <w:t>Inacio</w:t>
      </w:r>
      <w:proofErr w:type="spellEnd"/>
      <w:r w:rsidRPr="000B5813">
        <w:rPr>
          <w:color w:val="000000"/>
        </w:rPr>
        <w:t xml:space="preserve"> MCS, Paxton EW. Risk factors associated with surgical site infection in 30 491 primary total hip replacements. </w:t>
      </w:r>
      <w:r w:rsidRPr="000B5813">
        <w:rPr>
          <w:i/>
          <w:iCs/>
          <w:color w:val="000000"/>
        </w:rPr>
        <w:t>The Journal of Bone and Joint Surgery British volume</w:t>
      </w:r>
      <w:r w:rsidRPr="000B5813">
        <w:rPr>
          <w:color w:val="000000"/>
        </w:rPr>
        <w:t>. 2012;94-</w:t>
      </w:r>
      <w:proofErr w:type="gramStart"/>
      <w:r w:rsidRPr="000B5813">
        <w:rPr>
          <w:color w:val="000000"/>
        </w:rPr>
        <w:t>B(</w:t>
      </w:r>
      <w:proofErr w:type="gramEnd"/>
      <w:r w:rsidRPr="000B5813">
        <w:rPr>
          <w:color w:val="000000"/>
        </w:rPr>
        <w:t>10):1330-1338. doi:</w:t>
      </w:r>
      <w:hyperlink r:id="rId51">
        <w:r w:rsidRPr="000B5813">
          <w:rPr>
            <w:rStyle w:val="Hyperlnk"/>
            <w:color w:val="000000"/>
          </w:rPr>
          <w:t>10.1302/0301-620X.94B10.29184</w:t>
        </w:r>
      </w:hyperlink>
    </w:p>
    <w:p w14:paraId="6F21B56C" w14:textId="77777777" w:rsidR="00363BBD" w:rsidRPr="000B5813" w:rsidRDefault="00FD60FF">
      <w:pPr>
        <w:pStyle w:val="Litteraturfrteckning"/>
        <w:rPr>
          <w:color w:val="000000"/>
        </w:rPr>
      </w:pPr>
      <w:bookmarkStart w:id="65" w:name="ref-Mraovic2011"/>
      <w:bookmarkEnd w:id="64"/>
      <w:r w:rsidRPr="000B5813">
        <w:rPr>
          <w:color w:val="000000"/>
        </w:rPr>
        <w:t xml:space="preserve">40. </w:t>
      </w:r>
      <w:r w:rsidRPr="000B5813">
        <w:rPr>
          <w:color w:val="000000"/>
        </w:rPr>
        <w:tab/>
      </w:r>
      <w:proofErr w:type="spellStart"/>
      <w:r w:rsidRPr="000B5813">
        <w:rPr>
          <w:color w:val="000000"/>
        </w:rPr>
        <w:t>Mraovic</w:t>
      </w:r>
      <w:proofErr w:type="spellEnd"/>
      <w:r w:rsidRPr="000B5813">
        <w:rPr>
          <w:color w:val="000000"/>
        </w:rPr>
        <w:t xml:space="preserve"> B, Suh D, </w:t>
      </w:r>
      <w:proofErr w:type="spellStart"/>
      <w:r w:rsidRPr="000B5813">
        <w:rPr>
          <w:color w:val="000000"/>
        </w:rPr>
        <w:t>Jacovides</w:t>
      </w:r>
      <w:proofErr w:type="spellEnd"/>
      <w:r w:rsidRPr="000B5813">
        <w:rPr>
          <w:color w:val="000000"/>
        </w:rPr>
        <w:t xml:space="preserve"> C, </w:t>
      </w:r>
      <w:proofErr w:type="spellStart"/>
      <w:r w:rsidRPr="000B5813">
        <w:rPr>
          <w:color w:val="000000"/>
        </w:rPr>
        <w:t>Parvizi</w:t>
      </w:r>
      <w:proofErr w:type="spellEnd"/>
      <w:r w:rsidRPr="000B5813">
        <w:rPr>
          <w:color w:val="000000"/>
        </w:rPr>
        <w:t xml:space="preserve"> J. Perioperative Hyperglycemia and Postoperative Infection after Lower Limb Arthroplasty. </w:t>
      </w:r>
      <w:r w:rsidRPr="000B5813">
        <w:rPr>
          <w:i/>
          <w:iCs/>
          <w:color w:val="000000"/>
        </w:rPr>
        <w:t>J Diabetes Sci Technol</w:t>
      </w:r>
      <w:r w:rsidRPr="000B5813">
        <w:rPr>
          <w:color w:val="000000"/>
        </w:rPr>
        <w:t>. 2011;5(2):412-418. doi:</w:t>
      </w:r>
      <w:hyperlink r:id="rId52">
        <w:r w:rsidRPr="000B5813">
          <w:rPr>
            <w:rStyle w:val="Hyperlnk"/>
            <w:color w:val="000000"/>
          </w:rPr>
          <w:t>10.1177/193229681100500231</w:t>
        </w:r>
      </w:hyperlink>
    </w:p>
    <w:p w14:paraId="7B39E7BE" w14:textId="77777777" w:rsidR="00363BBD" w:rsidRPr="000B5813" w:rsidRDefault="00FD60FF">
      <w:pPr>
        <w:pStyle w:val="Litteraturfrteckning"/>
        <w:rPr>
          <w:color w:val="000000"/>
        </w:rPr>
      </w:pPr>
      <w:bookmarkStart w:id="66" w:name="ref-Iorio2012"/>
      <w:bookmarkEnd w:id="65"/>
      <w:r w:rsidRPr="000B5813">
        <w:rPr>
          <w:color w:val="000000"/>
        </w:rPr>
        <w:t xml:space="preserve">41. </w:t>
      </w:r>
      <w:r w:rsidRPr="000B5813">
        <w:rPr>
          <w:color w:val="000000"/>
        </w:rPr>
        <w:tab/>
        <w:t xml:space="preserve">Iorio R, Williams KM, Marcantonio AJ, Specht LM, </w:t>
      </w:r>
      <w:proofErr w:type="spellStart"/>
      <w:r w:rsidRPr="000B5813">
        <w:rPr>
          <w:color w:val="000000"/>
        </w:rPr>
        <w:t>Tilzey</w:t>
      </w:r>
      <w:proofErr w:type="spellEnd"/>
      <w:r w:rsidRPr="000B5813">
        <w:rPr>
          <w:color w:val="000000"/>
        </w:rPr>
        <w:t xml:space="preserve"> JF, Healy WL. Diabetes Mellitus, Hemoglobin A1C, and the Incidence of Total Joint Arthroplasty Infection. </w:t>
      </w:r>
      <w:r w:rsidRPr="000B5813">
        <w:rPr>
          <w:i/>
          <w:iCs/>
          <w:color w:val="000000"/>
        </w:rPr>
        <w:t>The Journal of Arthroplasty</w:t>
      </w:r>
      <w:r w:rsidRPr="000B5813">
        <w:rPr>
          <w:color w:val="000000"/>
        </w:rPr>
        <w:t>. 2012;27(5):726-729.e1. doi:</w:t>
      </w:r>
      <w:hyperlink r:id="rId53">
        <w:r w:rsidRPr="000B5813">
          <w:rPr>
            <w:rStyle w:val="Hyperlnk"/>
            <w:color w:val="000000"/>
          </w:rPr>
          <w:t>10.1016/j.arth.2011.09.013</w:t>
        </w:r>
      </w:hyperlink>
    </w:p>
    <w:p w14:paraId="777C596F" w14:textId="77777777" w:rsidR="00363BBD" w:rsidRPr="000B5813" w:rsidRDefault="00FD60FF">
      <w:pPr>
        <w:pStyle w:val="Litteraturfrteckning"/>
        <w:rPr>
          <w:color w:val="000000"/>
        </w:rPr>
      </w:pPr>
      <w:bookmarkStart w:id="67" w:name="ref-Gilson2010"/>
      <w:bookmarkEnd w:id="66"/>
      <w:r w:rsidRPr="000B5813">
        <w:rPr>
          <w:color w:val="000000"/>
        </w:rPr>
        <w:t xml:space="preserve">42. </w:t>
      </w:r>
      <w:r w:rsidRPr="000B5813">
        <w:rPr>
          <w:color w:val="000000"/>
        </w:rPr>
        <w:tab/>
        <w:t xml:space="preserve">Gilson M, </w:t>
      </w:r>
      <w:proofErr w:type="spellStart"/>
      <w:r w:rsidRPr="000B5813">
        <w:rPr>
          <w:color w:val="000000"/>
        </w:rPr>
        <w:t>Gossec</w:t>
      </w:r>
      <w:proofErr w:type="spellEnd"/>
      <w:r w:rsidRPr="000B5813">
        <w:rPr>
          <w:color w:val="000000"/>
        </w:rPr>
        <w:t xml:space="preserve"> L, Mariette X, et al. Risk factors for total joint arthroplasty infection in patients receiving tumor necrosis factor </w:t>
      </w:r>
      <m:oMath>
        <m:r>
          <w:rPr>
            <w:rFonts w:ascii="Cambria Math" w:hAnsi="Cambria Math"/>
            <w:color w:val="000000"/>
          </w:rPr>
          <m:t>α</m:t>
        </m:r>
      </m:oMath>
      <w:r w:rsidRPr="000B5813">
        <w:rPr>
          <w:color w:val="000000"/>
        </w:rPr>
        <w:t xml:space="preserve">-blockers: A case-control study. </w:t>
      </w:r>
      <w:r w:rsidRPr="000B5813">
        <w:rPr>
          <w:i/>
          <w:iCs/>
          <w:color w:val="000000"/>
        </w:rPr>
        <w:t xml:space="preserve">Arthritis Res </w:t>
      </w:r>
      <w:proofErr w:type="spellStart"/>
      <w:r w:rsidRPr="000B5813">
        <w:rPr>
          <w:i/>
          <w:iCs/>
          <w:color w:val="000000"/>
        </w:rPr>
        <w:t>Ther</w:t>
      </w:r>
      <w:proofErr w:type="spellEnd"/>
      <w:r w:rsidRPr="000B5813">
        <w:rPr>
          <w:color w:val="000000"/>
        </w:rPr>
        <w:t>. 2010;12(4</w:t>
      </w:r>
      <w:proofErr w:type="gramStart"/>
      <w:r w:rsidRPr="000B5813">
        <w:rPr>
          <w:color w:val="000000"/>
        </w:rPr>
        <w:t>):R</w:t>
      </w:r>
      <w:proofErr w:type="gramEnd"/>
      <w:r w:rsidRPr="000B5813">
        <w:rPr>
          <w:color w:val="000000"/>
        </w:rPr>
        <w:t>145. doi:</w:t>
      </w:r>
      <w:hyperlink r:id="rId54">
        <w:r w:rsidRPr="000B5813">
          <w:rPr>
            <w:rStyle w:val="Hyperlnk"/>
            <w:color w:val="000000"/>
          </w:rPr>
          <w:t>10.1186/ar3087</w:t>
        </w:r>
      </w:hyperlink>
    </w:p>
    <w:p w14:paraId="787FE970" w14:textId="77777777" w:rsidR="00363BBD" w:rsidRPr="000B5813" w:rsidRDefault="00FD60FF">
      <w:pPr>
        <w:pStyle w:val="Litteraturfrteckning"/>
        <w:rPr>
          <w:color w:val="000000"/>
        </w:rPr>
      </w:pPr>
      <w:bookmarkStart w:id="68" w:name="ref-Momohara2011"/>
      <w:bookmarkEnd w:id="67"/>
      <w:r w:rsidRPr="000B5813">
        <w:rPr>
          <w:color w:val="000000"/>
        </w:rPr>
        <w:t xml:space="preserve">43. </w:t>
      </w:r>
      <w:r w:rsidRPr="000B5813">
        <w:rPr>
          <w:color w:val="000000"/>
        </w:rPr>
        <w:tab/>
      </w:r>
      <w:proofErr w:type="spellStart"/>
      <w:r w:rsidRPr="000B5813">
        <w:rPr>
          <w:color w:val="000000"/>
        </w:rPr>
        <w:t>Momohara</w:t>
      </w:r>
      <w:proofErr w:type="spellEnd"/>
      <w:r w:rsidRPr="000B5813">
        <w:rPr>
          <w:color w:val="000000"/>
        </w:rPr>
        <w:t xml:space="preserve"> S, Kawakami K, Iwamoto T, et al. Prosthetic joint infection after total hip or knee arthroplasty in rheumatoid arthritis patients treated with nonbiologic and biologic disease-modifying antirheumatic drugs. </w:t>
      </w:r>
      <w:r w:rsidRPr="000B5813">
        <w:rPr>
          <w:i/>
          <w:iCs/>
          <w:color w:val="000000"/>
        </w:rPr>
        <w:t>Modern Rheumatology</w:t>
      </w:r>
      <w:r w:rsidRPr="000B5813">
        <w:rPr>
          <w:color w:val="000000"/>
        </w:rPr>
        <w:t>. 2011;21(5):469-475. doi:</w:t>
      </w:r>
      <w:hyperlink r:id="rId55">
        <w:r w:rsidRPr="000B5813">
          <w:rPr>
            <w:rStyle w:val="Hyperlnk"/>
            <w:color w:val="000000"/>
          </w:rPr>
          <w:t>10.3109/s10165-011-0423-x</w:t>
        </w:r>
      </w:hyperlink>
    </w:p>
    <w:p w14:paraId="5E2B601A" w14:textId="77777777" w:rsidR="00363BBD" w:rsidRPr="000B5813" w:rsidRDefault="00FD60FF">
      <w:pPr>
        <w:pStyle w:val="Litteraturfrteckning"/>
        <w:rPr>
          <w:color w:val="000000"/>
        </w:rPr>
      </w:pPr>
      <w:bookmarkStart w:id="69" w:name="ref-Cancienne2015"/>
      <w:bookmarkEnd w:id="68"/>
      <w:r w:rsidRPr="000B5813">
        <w:rPr>
          <w:color w:val="000000"/>
        </w:rPr>
        <w:t xml:space="preserve">44. </w:t>
      </w:r>
      <w:r w:rsidRPr="000B5813">
        <w:rPr>
          <w:color w:val="000000"/>
        </w:rPr>
        <w:tab/>
      </w:r>
      <w:proofErr w:type="spellStart"/>
      <w:r w:rsidRPr="000B5813">
        <w:rPr>
          <w:color w:val="000000"/>
        </w:rPr>
        <w:t>Cancienne</w:t>
      </w:r>
      <w:proofErr w:type="spellEnd"/>
      <w:r w:rsidRPr="000B5813">
        <w:rPr>
          <w:color w:val="000000"/>
        </w:rPr>
        <w:t xml:space="preserve"> JM, Werner BC, Luetkemeyer LM, Browne JA. Does Timing of Previous Intra-Articular Steroid Injection Affect the Post-Operative Rate of Infection in Total Knee Arthroplasty? </w:t>
      </w:r>
      <w:r w:rsidRPr="000B5813">
        <w:rPr>
          <w:i/>
          <w:iCs/>
          <w:color w:val="000000"/>
        </w:rPr>
        <w:t>The Journal of Arthroplasty</w:t>
      </w:r>
      <w:r w:rsidRPr="000B5813">
        <w:rPr>
          <w:color w:val="000000"/>
        </w:rPr>
        <w:t>. 2015;30(11):1879-1882. doi:</w:t>
      </w:r>
      <w:hyperlink r:id="rId56">
        <w:r w:rsidRPr="000B5813">
          <w:rPr>
            <w:rStyle w:val="Hyperlnk"/>
            <w:color w:val="000000"/>
          </w:rPr>
          <w:t>10.1016/j.arth.2015.05.027</w:t>
        </w:r>
      </w:hyperlink>
    </w:p>
    <w:p w14:paraId="4112AD5F" w14:textId="77777777" w:rsidR="00363BBD" w:rsidRPr="000B5813" w:rsidRDefault="00FD60FF">
      <w:pPr>
        <w:pStyle w:val="Litteraturfrteckning"/>
        <w:rPr>
          <w:color w:val="000000"/>
        </w:rPr>
      </w:pPr>
      <w:bookmarkStart w:id="70" w:name="ref-Willis-Owen2010"/>
      <w:bookmarkEnd w:id="69"/>
      <w:r w:rsidRPr="000B5813">
        <w:rPr>
          <w:color w:val="000000"/>
        </w:rPr>
        <w:t xml:space="preserve">45. </w:t>
      </w:r>
      <w:r w:rsidRPr="000B5813">
        <w:rPr>
          <w:color w:val="000000"/>
        </w:rPr>
        <w:tab/>
        <w:t xml:space="preserve">Willis-Owen CA, </w:t>
      </w:r>
      <w:proofErr w:type="spellStart"/>
      <w:r w:rsidRPr="000B5813">
        <w:rPr>
          <w:color w:val="000000"/>
        </w:rPr>
        <w:t>Konyves</w:t>
      </w:r>
      <w:proofErr w:type="spellEnd"/>
      <w:r w:rsidRPr="000B5813">
        <w:rPr>
          <w:color w:val="000000"/>
        </w:rPr>
        <w:t xml:space="preserve"> A, Martin DK. Factors affecting the incidence of infection in hip and knee replacement: AN ANALYSIS OF 5277 CASES. </w:t>
      </w:r>
      <w:r w:rsidRPr="000B5813">
        <w:rPr>
          <w:i/>
          <w:iCs/>
          <w:color w:val="000000"/>
        </w:rPr>
        <w:t>The Journal of Bone and Joint Surgery British volume</w:t>
      </w:r>
      <w:r w:rsidRPr="000B5813">
        <w:rPr>
          <w:color w:val="000000"/>
        </w:rPr>
        <w:t>. 2010;92-</w:t>
      </w:r>
      <w:proofErr w:type="gramStart"/>
      <w:r w:rsidRPr="000B5813">
        <w:rPr>
          <w:color w:val="000000"/>
        </w:rPr>
        <w:t>B(</w:t>
      </w:r>
      <w:proofErr w:type="gramEnd"/>
      <w:r w:rsidRPr="000B5813">
        <w:rPr>
          <w:color w:val="000000"/>
        </w:rPr>
        <w:t>8):1128-1133. doi:</w:t>
      </w:r>
      <w:hyperlink r:id="rId57">
        <w:r w:rsidRPr="000B5813">
          <w:rPr>
            <w:rStyle w:val="Hyperlnk"/>
            <w:color w:val="000000"/>
          </w:rPr>
          <w:t>10.1302/0301-620X.92B8.24333</w:t>
        </w:r>
      </w:hyperlink>
    </w:p>
    <w:p w14:paraId="0491ECE2" w14:textId="77777777" w:rsidR="00363BBD" w:rsidRPr="000B5813" w:rsidRDefault="00FD60FF">
      <w:pPr>
        <w:pStyle w:val="Litteraturfrteckning"/>
        <w:rPr>
          <w:color w:val="000000"/>
        </w:rPr>
      </w:pPr>
      <w:bookmarkStart w:id="71" w:name="ref-Berbari2012"/>
      <w:bookmarkEnd w:id="70"/>
      <w:r w:rsidRPr="0093426D">
        <w:rPr>
          <w:color w:val="000000"/>
          <w:lang w:val="sv-SE"/>
        </w:rPr>
        <w:t xml:space="preserve">46. </w:t>
      </w:r>
      <w:r w:rsidRPr="0093426D">
        <w:rPr>
          <w:color w:val="000000"/>
          <w:lang w:val="sv-SE"/>
        </w:rPr>
        <w:tab/>
      </w:r>
      <w:proofErr w:type="spellStart"/>
      <w:r w:rsidRPr="0093426D">
        <w:rPr>
          <w:color w:val="000000"/>
          <w:lang w:val="sv-SE"/>
        </w:rPr>
        <w:t>Berbari</w:t>
      </w:r>
      <w:proofErr w:type="spellEnd"/>
      <w:r w:rsidRPr="0093426D">
        <w:rPr>
          <w:color w:val="000000"/>
          <w:lang w:val="sv-SE"/>
        </w:rPr>
        <w:t xml:space="preserve"> EF, </w:t>
      </w:r>
      <w:proofErr w:type="spellStart"/>
      <w:r w:rsidRPr="0093426D">
        <w:rPr>
          <w:color w:val="000000"/>
          <w:lang w:val="sv-SE"/>
        </w:rPr>
        <w:t>Osmon</w:t>
      </w:r>
      <w:proofErr w:type="spellEnd"/>
      <w:r w:rsidRPr="0093426D">
        <w:rPr>
          <w:color w:val="000000"/>
          <w:lang w:val="sv-SE"/>
        </w:rPr>
        <w:t xml:space="preserve"> DR, </w:t>
      </w:r>
      <w:proofErr w:type="spellStart"/>
      <w:r w:rsidRPr="0093426D">
        <w:rPr>
          <w:color w:val="000000"/>
          <w:lang w:val="sv-SE"/>
        </w:rPr>
        <w:t>Lahr</w:t>
      </w:r>
      <w:proofErr w:type="spellEnd"/>
      <w:r w:rsidRPr="0093426D">
        <w:rPr>
          <w:color w:val="000000"/>
          <w:lang w:val="sv-SE"/>
        </w:rPr>
        <w:t xml:space="preserve"> B, et al. </w:t>
      </w:r>
      <w:r w:rsidRPr="000B5813">
        <w:rPr>
          <w:color w:val="000000"/>
        </w:rPr>
        <w:t xml:space="preserve">The Mayo Prosthetic Joint Infection Risk Score: Implication for Surgical Site Infection Reporting and Risk Stratification. </w:t>
      </w:r>
      <w:r w:rsidRPr="000B5813">
        <w:rPr>
          <w:i/>
          <w:iCs/>
          <w:color w:val="000000"/>
        </w:rPr>
        <w:t>Infect Control Hosp Epidemiol</w:t>
      </w:r>
      <w:r w:rsidRPr="000B5813">
        <w:rPr>
          <w:color w:val="000000"/>
        </w:rPr>
        <w:t>. 2012;33(8):774-781. doi:</w:t>
      </w:r>
      <w:hyperlink r:id="rId58">
        <w:r w:rsidRPr="000B5813">
          <w:rPr>
            <w:rStyle w:val="Hyperlnk"/>
            <w:color w:val="000000"/>
          </w:rPr>
          <w:t>10.1086/666641</w:t>
        </w:r>
      </w:hyperlink>
    </w:p>
    <w:p w14:paraId="6D3945A2" w14:textId="77777777" w:rsidR="00363BBD" w:rsidRPr="000B5813" w:rsidRDefault="00FD60FF">
      <w:pPr>
        <w:pStyle w:val="Litteraturfrteckning"/>
        <w:rPr>
          <w:color w:val="000000"/>
        </w:rPr>
      </w:pPr>
      <w:bookmarkStart w:id="72" w:name="ref-Pedersen2010a"/>
      <w:bookmarkEnd w:id="71"/>
      <w:r w:rsidRPr="000B5813">
        <w:rPr>
          <w:color w:val="000000"/>
        </w:rPr>
        <w:t xml:space="preserve">47. </w:t>
      </w:r>
      <w:r w:rsidRPr="000B5813">
        <w:rPr>
          <w:color w:val="000000"/>
        </w:rPr>
        <w:tab/>
        <w:t xml:space="preserve">Pedersen AB, </w:t>
      </w:r>
      <w:proofErr w:type="spellStart"/>
      <w:r w:rsidRPr="000B5813">
        <w:rPr>
          <w:color w:val="000000"/>
        </w:rPr>
        <w:t>Svendsson</w:t>
      </w:r>
      <w:proofErr w:type="spellEnd"/>
      <w:r w:rsidRPr="000B5813">
        <w:rPr>
          <w:color w:val="000000"/>
        </w:rPr>
        <w:t xml:space="preserve"> JE, Johnsen SP, Riis A, Overgaard S. Risk factors for revision due to infection after primary total hip arthroplasty: A population-based study of 80,756 </w:t>
      </w:r>
      <w:r w:rsidRPr="000B5813">
        <w:rPr>
          <w:color w:val="000000"/>
        </w:rPr>
        <w:lastRenderedPageBreak/>
        <w:t xml:space="preserve">primary procedures in the Danish Hip Arthroplasty Registry. </w:t>
      </w:r>
      <w:r w:rsidRPr="000B5813">
        <w:rPr>
          <w:i/>
          <w:iCs/>
          <w:color w:val="000000"/>
        </w:rPr>
        <w:t xml:space="preserve">Acta </w:t>
      </w:r>
      <w:proofErr w:type="spellStart"/>
      <w:r w:rsidRPr="000B5813">
        <w:rPr>
          <w:i/>
          <w:iCs/>
          <w:color w:val="000000"/>
        </w:rPr>
        <w:t>Orthopaedica</w:t>
      </w:r>
      <w:proofErr w:type="spellEnd"/>
      <w:r w:rsidRPr="000B5813">
        <w:rPr>
          <w:color w:val="000000"/>
        </w:rPr>
        <w:t>. 2010;81(5):542-547. doi:</w:t>
      </w:r>
      <w:hyperlink r:id="rId59">
        <w:r w:rsidRPr="000B5813">
          <w:rPr>
            <w:rStyle w:val="Hyperlnk"/>
            <w:color w:val="000000"/>
          </w:rPr>
          <w:t>10.3109/17453674.2010.519908</w:t>
        </w:r>
      </w:hyperlink>
    </w:p>
    <w:p w14:paraId="49314625" w14:textId="77777777" w:rsidR="00363BBD" w:rsidRPr="000B5813" w:rsidRDefault="00FD60FF">
      <w:pPr>
        <w:pStyle w:val="Litteraturfrteckning"/>
        <w:rPr>
          <w:color w:val="000000"/>
        </w:rPr>
      </w:pPr>
      <w:bookmarkStart w:id="73" w:name="ref-Dale2012"/>
      <w:bookmarkEnd w:id="72"/>
      <w:r w:rsidRPr="000B5813">
        <w:rPr>
          <w:color w:val="000000"/>
        </w:rPr>
        <w:t xml:space="preserve">48. </w:t>
      </w:r>
      <w:r w:rsidRPr="000B5813">
        <w:rPr>
          <w:color w:val="000000"/>
        </w:rPr>
        <w:tab/>
        <w:t xml:space="preserve">Dale H, </w:t>
      </w:r>
      <w:proofErr w:type="spellStart"/>
      <w:r w:rsidRPr="000B5813">
        <w:rPr>
          <w:color w:val="000000"/>
        </w:rPr>
        <w:t>Fenstad</w:t>
      </w:r>
      <w:proofErr w:type="spellEnd"/>
      <w:r w:rsidRPr="000B5813">
        <w:rPr>
          <w:color w:val="000000"/>
        </w:rPr>
        <w:t xml:space="preserve"> AM, </w:t>
      </w:r>
      <w:proofErr w:type="spellStart"/>
      <w:r w:rsidRPr="000B5813">
        <w:rPr>
          <w:color w:val="000000"/>
        </w:rPr>
        <w:t>Hallan</w:t>
      </w:r>
      <w:proofErr w:type="spellEnd"/>
      <w:r w:rsidRPr="000B5813">
        <w:rPr>
          <w:color w:val="000000"/>
        </w:rPr>
        <w:t xml:space="preserve"> G, et al. Increasing risk of prosthetic joint infection after total hip arthroplasty: 2,778 revisions due to infection after 432,168 primary THAs in the Nordic Arthroplasty Register Association (NARA). </w:t>
      </w:r>
      <w:r w:rsidRPr="000B5813">
        <w:rPr>
          <w:i/>
          <w:iCs/>
          <w:color w:val="000000"/>
        </w:rPr>
        <w:t xml:space="preserve">Acta </w:t>
      </w:r>
      <w:proofErr w:type="spellStart"/>
      <w:r w:rsidRPr="000B5813">
        <w:rPr>
          <w:i/>
          <w:iCs/>
          <w:color w:val="000000"/>
        </w:rPr>
        <w:t>Orthopaedica</w:t>
      </w:r>
      <w:proofErr w:type="spellEnd"/>
      <w:r w:rsidRPr="000B5813">
        <w:rPr>
          <w:color w:val="000000"/>
        </w:rPr>
        <w:t>. 2012;83(5):449-458. doi:</w:t>
      </w:r>
      <w:hyperlink r:id="rId60">
        <w:r w:rsidRPr="000B5813">
          <w:rPr>
            <w:rStyle w:val="Hyperlnk"/>
            <w:color w:val="000000"/>
          </w:rPr>
          <w:t>10.3109/17453674.2012.733918</w:t>
        </w:r>
      </w:hyperlink>
    </w:p>
    <w:p w14:paraId="025CE1AC" w14:textId="77777777" w:rsidR="00363BBD" w:rsidRPr="000B5813" w:rsidRDefault="00FD60FF">
      <w:pPr>
        <w:pStyle w:val="Litteraturfrteckning"/>
        <w:rPr>
          <w:color w:val="000000"/>
        </w:rPr>
      </w:pPr>
      <w:bookmarkStart w:id="74" w:name="ref-Sayed-Noor2019"/>
      <w:bookmarkEnd w:id="73"/>
      <w:r w:rsidRPr="000B5813">
        <w:rPr>
          <w:color w:val="000000"/>
        </w:rPr>
        <w:t xml:space="preserve">49. </w:t>
      </w:r>
      <w:r w:rsidRPr="000B5813">
        <w:rPr>
          <w:color w:val="000000"/>
        </w:rPr>
        <w:tab/>
        <w:t xml:space="preserve">Sayed-Noor AS, </w:t>
      </w:r>
      <w:proofErr w:type="spellStart"/>
      <w:r w:rsidRPr="000B5813">
        <w:rPr>
          <w:color w:val="000000"/>
        </w:rPr>
        <w:t>Mukka</w:t>
      </w:r>
      <w:proofErr w:type="spellEnd"/>
      <w:r w:rsidRPr="000B5813">
        <w:rPr>
          <w:color w:val="000000"/>
        </w:rPr>
        <w:t xml:space="preserve"> S, Mohaddes M, Kärrholm J, Rolfson O. Body mass index is associated with risk of reoperation and revision after primary total hip arthroplasty: A study of the Swedish Hip Arthroplasty Register including 83,146 patients. </w:t>
      </w:r>
      <w:r w:rsidRPr="000B5813">
        <w:rPr>
          <w:i/>
          <w:iCs/>
          <w:color w:val="000000"/>
        </w:rPr>
        <w:t xml:space="preserve">Acta </w:t>
      </w:r>
      <w:proofErr w:type="spellStart"/>
      <w:r w:rsidRPr="000B5813">
        <w:rPr>
          <w:i/>
          <w:iCs/>
          <w:color w:val="000000"/>
        </w:rPr>
        <w:t>Orthopaedica</w:t>
      </w:r>
      <w:proofErr w:type="spellEnd"/>
      <w:r w:rsidRPr="000B5813">
        <w:rPr>
          <w:color w:val="000000"/>
        </w:rPr>
        <w:t>. 2019;90(3):220-225. doi:</w:t>
      </w:r>
      <w:hyperlink r:id="rId61">
        <w:r w:rsidRPr="000B5813">
          <w:rPr>
            <w:rStyle w:val="Hyperlnk"/>
            <w:color w:val="000000"/>
          </w:rPr>
          <w:t>10.1080/17453674.2019.1594015</w:t>
        </w:r>
      </w:hyperlink>
    </w:p>
    <w:p w14:paraId="404A29FF" w14:textId="77777777" w:rsidR="00363BBD" w:rsidRPr="000B5813" w:rsidRDefault="00FD60FF">
      <w:pPr>
        <w:pStyle w:val="Litteraturfrteckning"/>
        <w:rPr>
          <w:color w:val="000000"/>
        </w:rPr>
      </w:pPr>
      <w:bookmarkStart w:id="75" w:name="ref-Deleuran2015"/>
      <w:bookmarkEnd w:id="74"/>
      <w:r w:rsidRPr="000B5813">
        <w:rPr>
          <w:color w:val="000000"/>
        </w:rPr>
        <w:t xml:space="preserve">50. </w:t>
      </w:r>
      <w:r w:rsidRPr="000B5813">
        <w:rPr>
          <w:color w:val="000000"/>
        </w:rPr>
        <w:tab/>
      </w:r>
      <w:proofErr w:type="spellStart"/>
      <w:r w:rsidRPr="000B5813">
        <w:rPr>
          <w:color w:val="000000"/>
        </w:rPr>
        <w:t>Deleuran</w:t>
      </w:r>
      <w:proofErr w:type="spellEnd"/>
      <w:r w:rsidRPr="000B5813">
        <w:rPr>
          <w:color w:val="000000"/>
        </w:rPr>
        <w:t xml:space="preserve"> T, </w:t>
      </w:r>
      <w:proofErr w:type="spellStart"/>
      <w:r w:rsidRPr="000B5813">
        <w:rPr>
          <w:color w:val="000000"/>
        </w:rPr>
        <w:t>Vilstrup</w:t>
      </w:r>
      <w:proofErr w:type="spellEnd"/>
      <w:r w:rsidRPr="000B5813">
        <w:rPr>
          <w:color w:val="000000"/>
        </w:rPr>
        <w:t xml:space="preserve"> H, Overgaard S, Jepsen P. Cirrhosis patients have increased risk of complications after hip or knee arthroplasty: A Danish population-based cohort study. </w:t>
      </w:r>
      <w:r w:rsidRPr="000B5813">
        <w:rPr>
          <w:i/>
          <w:iCs/>
          <w:color w:val="000000"/>
        </w:rPr>
        <w:t xml:space="preserve">Acta </w:t>
      </w:r>
      <w:proofErr w:type="spellStart"/>
      <w:r w:rsidRPr="000B5813">
        <w:rPr>
          <w:i/>
          <w:iCs/>
          <w:color w:val="000000"/>
        </w:rPr>
        <w:t>Orthopaedica</w:t>
      </w:r>
      <w:proofErr w:type="spellEnd"/>
      <w:r w:rsidRPr="000B5813">
        <w:rPr>
          <w:color w:val="000000"/>
        </w:rPr>
        <w:t>. 2015;86(1):108-113. doi:</w:t>
      </w:r>
      <w:hyperlink r:id="rId62">
        <w:r w:rsidRPr="000B5813">
          <w:rPr>
            <w:rStyle w:val="Hyperlnk"/>
            <w:color w:val="000000"/>
          </w:rPr>
          <w:t>10.3109/17453674.2014.961397</w:t>
        </w:r>
      </w:hyperlink>
    </w:p>
    <w:p w14:paraId="783A0369" w14:textId="77777777" w:rsidR="00363BBD" w:rsidRPr="000B5813" w:rsidRDefault="00FD60FF">
      <w:pPr>
        <w:pStyle w:val="Litteraturfrteckning"/>
        <w:rPr>
          <w:color w:val="000000"/>
        </w:rPr>
      </w:pPr>
      <w:bookmarkStart w:id="76" w:name="ref-Pulido2008"/>
      <w:bookmarkEnd w:id="75"/>
      <w:r w:rsidRPr="000B5813">
        <w:rPr>
          <w:color w:val="000000"/>
        </w:rPr>
        <w:t xml:space="preserve">51. </w:t>
      </w:r>
      <w:r w:rsidRPr="000B5813">
        <w:rPr>
          <w:color w:val="000000"/>
        </w:rPr>
        <w:tab/>
        <w:t xml:space="preserve">Pulido L, Ghanem E, Joshi A, </w:t>
      </w:r>
      <w:proofErr w:type="spellStart"/>
      <w:r w:rsidRPr="000B5813">
        <w:rPr>
          <w:color w:val="000000"/>
        </w:rPr>
        <w:t>Purtill</w:t>
      </w:r>
      <w:proofErr w:type="spellEnd"/>
      <w:r w:rsidRPr="000B5813">
        <w:rPr>
          <w:color w:val="000000"/>
        </w:rPr>
        <w:t xml:space="preserve"> JJ, </w:t>
      </w:r>
      <w:proofErr w:type="spellStart"/>
      <w:r w:rsidRPr="000B5813">
        <w:rPr>
          <w:color w:val="000000"/>
        </w:rPr>
        <w:t>Parvizi</w:t>
      </w:r>
      <w:proofErr w:type="spellEnd"/>
      <w:r w:rsidRPr="000B5813">
        <w:rPr>
          <w:color w:val="000000"/>
        </w:rPr>
        <w:t xml:space="preserve"> J. Periprosthetic Joint Infection: The Incidence, Timing, and Predisposing Factors. </w:t>
      </w:r>
      <w:r w:rsidRPr="000B5813">
        <w:rPr>
          <w:i/>
          <w:iCs/>
          <w:color w:val="000000"/>
        </w:rPr>
        <w:t xml:space="preserve">Clin </w:t>
      </w:r>
      <w:proofErr w:type="spellStart"/>
      <w:r w:rsidRPr="000B5813">
        <w:rPr>
          <w:i/>
          <w:iCs/>
          <w:color w:val="000000"/>
        </w:rPr>
        <w:t>Orthop</w:t>
      </w:r>
      <w:proofErr w:type="spellEnd"/>
      <w:r w:rsidRPr="000B5813">
        <w:rPr>
          <w:i/>
          <w:iCs/>
          <w:color w:val="000000"/>
        </w:rPr>
        <w:t xml:space="preserve"> </w:t>
      </w:r>
      <w:proofErr w:type="spellStart"/>
      <w:r w:rsidRPr="000B5813">
        <w:rPr>
          <w:i/>
          <w:iCs/>
          <w:color w:val="000000"/>
        </w:rPr>
        <w:t>Relat</w:t>
      </w:r>
      <w:proofErr w:type="spellEnd"/>
      <w:r w:rsidRPr="000B5813">
        <w:rPr>
          <w:i/>
          <w:iCs/>
          <w:color w:val="000000"/>
        </w:rPr>
        <w:t xml:space="preserve"> Res</w:t>
      </w:r>
      <w:r w:rsidRPr="000B5813">
        <w:rPr>
          <w:color w:val="000000"/>
        </w:rPr>
        <w:t>. 2008;466(7):1710-1715. doi:</w:t>
      </w:r>
      <w:hyperlink r:id="rId63">
        <w:r w:rsidRPr="000B5813">
          <w:rPr>
            <w:rStyle w:val="Hyperlnk"/>
            <w:color w:val="000000"/>
          </w:rPr>
          <w:t>10.1007/s11999-008-0209-4</w:t>
        </w:r>
      </w:hyperlink>
    </w:p>
    <w:p w14:paraId="64A1D9F0" w14:textId="07AC1555" w:rsidR="00765237" w:rsidRPr="000B5813" w:rsidRDefault="00FD60FF">
      <w:pPr>
        <w:pStyle w:val="Litteraturfrteckning"/>
        <w:rPr>
          <w:rStyle w:val="Hyperlnk"/>
          <w:color w:val="000000"/>
        </w:rPr>
      </w:pPr>
      <w:bookmarkStart w:id="77" w:name="ref-deMast2022"/>
      <w:bookmarkEnd w:id="76"/>
      <w:r w:rsidRPr="000B5813">
        <w:rPr>
          <w:color w:val="000000"/>
        </w:rPr>
        <w:t xml:space="preserve">52. </w:t>
      </w:r>
      <w:r w:rsidRPr="000B5813">
        <w:rPr>
          <w:color w:val="000000"/>
        </w:rPr>
        <w:tab/>
        <w:t xml:space="preserve">de Mast J, Steiner SH, </w:t>
      </w:r>
      <w:proofErr w:type="spellStart"/>
      <w:r w:rsidRPr="000B5813">
        <w:rPr>
          <w:color w:val="000000"/>
        </w:rPr>
        <w:t>Nuijten</w:t>
      </w:r>
      <w:proofErr w:type="spellEnd"/>
      <w:r w:rsidRPr="000B5813">
        <w:rPr>
          <w:color w:val="000000"/>
        </w:rPr>
        <w:t xml:space="preserve"> WPM, </w:t>
      </w:r>
      <w:proofErr w:type="spellStart"/>
      <w:r w:rsidRPr="000B5813">
        <w:rPr>
          <w:color w:val="000000"/>
        </w:rPr>
        <w:t>Kapitan</w:t>
      </w:r>
      <w:proofErr w:type="spellEnd"/>
      <w:r w:rsidRPr="000B5813">
        <w:rPr>
          <w:color w:val="000000"/>
        </w:rPr>
        <w:t xml:space="preserve"> D. Analytical problem solving based on causal, correlational and deductive models. </w:t>
      </w:r>
      <w:r w:rsidRPr="000B5813">
        <w:rPr>
          <w:i/>
          <w:iCs/>
          <w:color w:val="000000"/>
        </w:rPr>
        <w:t>The American Statistician</w:t>
      </w:r>
      <w:r w:rsidRPr="000B5813">
        <w:rPr>
          <w:color w:val="000000"/>
        </w:rPr>
        <w:t>. January 2022:1-19. doi:</w:t>
      </w:r>
      <w:hyperlink r:id="rId64">
        <w:r w:rsidRPr="000B5813">
          <w:rPr>
            <w:rStyle w:val="Hyperlnk"/>
            <w:color w:val="000000"/>
          </w:rPr>
          <w:t>10.1080/00031305.2021.2023633</w:t>
        </w:r>
      </w:hyperlink>
    </w:p>
    <w:p w14:paraId="15E9081E" w14:textId="4B2C9DCC" w:rsidR="00C070EC" w:rsidRPr="000B5813" w:rsidRDefault="00765237" w:rsidP="00C070EC">
      <w:pPr>
        <w:pStyle w:val="Rubrik1"/>
        <w:rPr>
          <w:color w:val="000000"/>
        </w:rPr>
      </w:pPr>
      <w:r w:rsidRPr="000B5813">
        <w:rPr>
          <w:rStyle w:val="Hyperlnk"/>
          <w:color w:val="000000"/>
        </w:rPr>
        <w:br w:type="page"/>
      </w:r>
      <w:commentRangeStart w:id="78"/>
      <w:r w:rsidR="00C070EC" w:rsidRPr="000B5813">
        <w:rPr>
          <w:color w:val="000000"/>
        </w:rPr>
        <w:lastRenderedPageBreak/>
        <w:t>Figure legends</w:t>
      </w:r>
      <w:commentRangeEnd w:id="78"/>
      <w:r w:rsidR="00C47E74">
        <w:rPr>
          <w:rStyle w:val="Kommentarsreferens"/>
          <w:rFonts w:asciiTheme="minorHAnsi" w:eastAsiaTheme="minorHAnsi" w:hAnsiTheme="minorHAnsi" w:cstheme="minorBidi"/>
          <w:b w:val="0"/>
          <w:bCs w:val="0"/>
        </w:rPr>
        <w:commentReference w:id="78"/>
      </w:r>
    </w:p>
    <w:p w14:paraId="27E91189" w14:textId="77777777" w:rsidR="00C070EC" w:rsidRPr="000B5813" w:rsidRDefault="00C070EC" w:rsidP="00C070EC">
      <w:pPr>
        <w:pStyle w:val="ImageCaption"/>
        <w:rPr>
          <w:i w:val="0"/>
          <w:iCs/>
          <w:color w:val="000000"/>
        </w:rPr>
      </w:pPr>
    </w:p>
    <w:p w14:paraId="335275CF" w14:textId="613AA362" w:rsidR="00C070EC" w:rsidRPr="000B5813" w:rsidRDefault="00C070EC" w:rsidP="00C070EC">
      <w:pPr>
        <w:pStyle w:val="ImageCaption"/>
        <w:rPr>
          <w:i w:val="0"/>
          <w:iCs/>
          <w:color w:val="000000"/>
        </w:rPr>
      </w:pPr>
      <w:r w:rsidRPr="000B5813">
        <w:rPr>
          <w:i w:val="0"/>
          <w:iCs/>
          <w:color w:val="000000"/>
        </w:rPr>
        <w:t>Figure 1: Flowchart with inclusion criteria and number of patients. Data from the Swedish Hip Arthroplasty Register were used for model derivation and internal validation</w:t>
      </w:r>
      <w:r w:rsidR="0093426D">
        <w:rPr>
          <w:i w:val="0"/>
          <w:iCs/>
          <w:color w:val="000000"/>
        </w:rPr>
        <w:t xml:space="preserve">. THA, total hip arthroplasty; BMI, body mass index; ASA, </w:t>
      </w:r>
      <w:r w:rsidR="0093426D" w:rsidRPr="0093426D">
        <w:rPr>
          <w:i w:val="0"/>
          <w:iCs/>
          <w:color w:val="000000"/>
        </w:rPr>
        <w:t>American Society for Anesthesiologists</w:t>
      </w:r>
      <w:r w:rsidR="0093426D">
        <w:rPr>
          <w:i w:val="0"/>
          <w:iCs/>
          <w:color w:val="000000"/>
        </w:rPr>
        <w:t xml:space="preserve"> classification.</w:t>
      </w:r>
    </w:p>
    <w:p w14:paraId="7D7E5326" w14:textId="77777777" w:rsidR="00C070EC" w:rsidRPr="000B5813" w:rsidRDefault="00C070EC" w:rsidP="00C070EC">
      <w:pPr>
        <w:pStyle w:val="CaptionedFigure"/>
        <w:rPr>
          <w:iCs/>
          <w:color w:val="000000"/>
        </w:rPr>
      </w:pPr>
    </w:p>
    <w:p w14:paraId="5495998F" w14:textId="77777777" w:rsidR="0093426D" w:rsidRPr="000B5813" w:rsidRDefault="00C070EC" w:rsidP="0093426D">
      <w:pPr>
        <w:pStyle w:val="ImageCaption"/>
        <w:rPr>
          <w:i w:val="0"/>
          <w:iCs/>
          <w:color w:val="000000"/>
        </w:rPr>
      </w:pPr>
      <w:r w:rsidRPr="000B5813">
        <w:rPr>
          <w:i w:val="0"/>
          <w:iCs/>
          <w:color w:val="000000"/>
        </w:rPr>
        <w:t>Figure 2: Flowchart with inclusion criteria and number of patients. Data from the Danish Hip Arthroplasty Register were used for external model validation.</w:t>
      </w:r>
      <w:bookmarkStart w:id="79" w:name="page-break-4"/>
      <w:r w:rsidR="0093426D">
        <w:rPr>
          <w:i w:val="0"/>
          <w:iCs/>
          <w:color w:val="000000"/>
        </w:rPr>
        <w:t xml:space="preserve"> </w:t>
      </w:r>
      <w:r w:rsidR="0093426D">
        <w:rPr>
          <w:i w:val="0"/>
          <w:iCs/>
          <w:color w:val="000000"/>
        </w:rPr>
        <w:t xml:space="preserve">THA, total hip arthroplasty; BMI, body mass index; ASA, </w:t>
      </w:r>
      <w:r w:rsidR="0093426D" w:rsidRPr="0093426D">
        <w:rPr>
          <w:i w:val="0"/>
          <w:iCs/>
          <w:color w:val="000000"/>
        </w:rPr>
        <w:t>American Society for Anesthesiologists</w:t>
      </w:r>
      <w:r w:rsidR="0093426D">
        <w:rPr>
          <w:i w:val="0"/>
          <w:iCs/>
          <w:color w:val="000000"/>
        </w:rPr>
        <w:t xml:space="preserve"> classification.</w:t>
      </w:r>
    </w:p>
    <w:p w14:paraId="7248C78C" w14:textId="0A30E782" w:rsidR="00C070EC" w:rsidRPr="000B5813" w:rsidRDefault="00C070EC" w:rsidP="00C070EC">
      <w:pPr>
        <w:pStyle w:val="ImageCaption"/>
        <w:rPr>
          <w:i w:val="0"/>
          <w:iCs/>
          <w:color w:val="000000"/>
        </w:rPr>
      </w:pPr>
    </w:p>
    <w:p w14:paraId="6D1C31AE" w14:textId="77777777" w:rsidR="00C070EC" w:rsidRPr="000B5813" w:rsidRDefault="00C070EC" w:rsidP="00C070EC">
      <w:pPr>
        <w:pStyle w:val="ImageCaption"/>
        <w:rPr>
          <w:i w:val="0"/>
          <w:iCs/>
          <w:color w:val="000000"/>
        </w:rPr>
      </w:pPr>
    </w:p>
    <w:p w14:paraId="6DAAC8BC" w14:textId="4FAD9237" w:rsidR="00C070EC" w:rsidRPr="000B5813" w:rsidRDefault="00C070EC" w:rsidP="00C070EC">
      <w:pPr>
        <w:pStyle w:val="ImageCaption"/>
        <w:rPr>
          <w:i w:val="0"/>
          <w:iCs/>
          <w:color w:val="000000"/>
        </w:rPr>
      </w:pPr>
      <w:r w:rsidRPr="000B5813">
        <w:rPr>
          <w:i w:val="0"/>
          <w:iCs/>
          <w:color w:val="000000"/>
        </w:rPr>
        <w:t xml:space="preserve">Figure 3: Receiver Operation Characteristics (ROC) curves combines sensitivity and specificity to illustrate discriminative abilities of the different models. The main and reduced models performed almost identical for prediction of </w:t>
      </w:r>
      <w:r w:rsidR="0093426D" w:rsidRPr="0093426D">
        <w:rPr>
          <w:i w:val="0"/>
          <w:iCs/>
          <w:color w:val="000000"/>
        </w:rPr>
        <w:t>periprosthetic joint infection</w:t>
      </w:r>
      <w:r w:rsidR="0093426D">
        <w:rPr>
          <w:i w:val="0"/>
          <w:iCs/>
          <w:color w:val="000000"/>
        </w:rPr>
        <w:t xml:space="preserve"> (</w:t>
      </w:r>
      <w:r w:rsidRPr="000B5813">
        <w:rPr>
          <w:i w:val="0"/>
          <w:iCs/>
          <w:color w:val="000000"/>
        </w:rPr>
        <w:t>PJI</w:t>
      </w:r>
      <w:r w:rsidR="0093426D">
        <w:rPr>
          <w:i w:val="0"/>
          <w:iCs/>
          <w:color w:val="000000"/>
        </w:rPr>
        <w:t>)</w:t>
      </w:r>
      <w:r w:rsidRPr="000B5813">
        <w:rPr>
          <w:i w:val="0"/>
          <w:iCs/>
          <w:color w:val="000000"/>
        </w:rPr>
        <w:t xml:space="preserve"> within 90 days after surgery. They both performed better than all other models. Area under the curve (AUC) are stated for each curve within parenthesis.</w:t>
      </w:r>
      <w:bookmarkStart w:id="80" w:name="page-break-5"/>
      <w:bookmarkEnd w:id="79"/>
      <w:r w:rsidR="0093426D">
        <w:rPr>
          <w:i w:val="0"/>
          <w:iCs/>
          <w:color w:val="000000"/>
        </w:rPr>
        <w:t xml:space="preserve"> </w:t>
      </w:r>
      <w:r w:rsidR="0093426D">
        <w:rPr>
          <w:i w:val="0"/>
          <w:iCs/>
          <w:color w:val="000000"/>
        </w:rPr>
        <w:t xml:space="preserve">BMI, body mass index; ASA, </w:t>
      </w:r>
      <w:r w:rsidR="0093426D" w:rsidRPr="0093426D">
        <w:rPr>
          <w:i w:val="0"/>
          <w:iCs/>
          <w:color w:val="000000"/>
        </w:rPr>
        <w:t>American Society for Anesthesiologists</w:t>
      </w:r>
      <w:r w:rsidR="0093426D">
        <w:rPr>
          <w:i w:val="0"/>
          <w:iCs/>
          <w:color w:val="000000"/>
        </w:rPr>
        <w:t xml:space="preserve"> classification</w:t>
      </w:r>
      <w:r w:rsidR="0093426D">
        <w:rPr>
          <w:i w:val="0"/>
          <w:iCs/>
          <w:color w:val="000000"/>
        </w:rPr>
        <w:t>; Charlson, Charlson comorbidity index; Elixhauser, Elixhauser comorbidity index.</w:t>
      </w:r>
    </w:p>
    <w:p w14:paraId="4BE3BD1F" w14:textId="77777777" w:rsidR="00C070EC" w:rsidRPr="000B5813" w:rsidRDefault="00C070EC" w:rsidP="00C070EC">
      <w:pPr>
        <w:pStyle w:val="ImageCaption"/>
        <w:rPr>
          <w:i w:val="0"/>
          <w:iCs/>
          <w:color w:val="000000"/>
        </w:rPr>
      </w:pPr>
    </w:p>
    <w:p w14:paraId="19FCDA7D" w14:textId="43FE685B" w:rsidR="008C5F4C" w:rsidRPr="000B5813" w:rsidRDefault="00C070EC" w:rsidP="008C5F4C">
      <w:pPr>
        <w:pStyle w:val="ImageCaption"/>
        <w:rPr>
          <w:i w:val="0"/>
          <w:iCs/>
          <w:color w:val="000000"/>
        </w:rPr>
      </w:pPr>
      <w:r w:rsidRPr="000B5813">
        <w:rPr>
          <w:i w:val="0"/>
          <w:iCs/>
          <w:color w:val="000000"/>
        </w:rPr>
        <w:t xml:space="preserve">Figure 4: Area Under the Receiver Operation Characteristics Curve (AUC) as a measure of predictive discriminative ability with 95 % confidence intervals. The reduced model performed no different than the main model on the Swedish data, and </w:t>
      </w:r>
      <w:proofErr w:type="gramStart"/>
      <w:r w:rsidRPr="000B5813">
        <w:rPr>
          <w:i w:val="0"/>
          <w:iCs/>
          <w:color w:val="000000"/>
        </w:rPr>
        <w:t>both of these</w:t>
      </w:r>
      <w:proofErr w:type="gramEnd"/>
      <w:r w:rsidRPr="000B5813">
        <w:rPr>
          <w:i w:val="0"/>
          <w:iCs/>
          <w:color w:val="000000"/>
        </w:rPr>
        <w:t xml:space="preserve"> models performed better than all other models (left panel). Similar models were fitted to the Danish cohort (right panel). The reduced model (SE) with coefficients based on the Swedish data, performed almost as good as the reduced model (DK) with coefficient values refitted to the Danish cohort.</w:t>
      </w:r>
      <w:bookmarkStart w:id="81" w:name="page-break-6"/>
      <w:bookmarkEnd w:id="80"/>
      <w:r w:rsidR="008C5F4C">
        <w:rPr>
          <w:i w:val="0"/>
          <w:iCs/>
          <w:color w:val="000000"/>
        </w:rPr>
        <w:t xml:space="preserve"> </w:t>
      </w:r>
      <w:r w:rsidR="008C5F4C">
        <w:rPr>
          <w:i w:val="0"/>
          <w:iCs/>
          <w:color w:val="000000"/>
        </w:rPr>
        <w:t xml:space="preserve">BMI, body mass index; ASA, </w:t>
      </w:r>
      <w:r w:rsidR="008C5F4C" w:rsidRPr="0093426D">
        <w:rPr>
          <w:i w:val="0"/>
          <w:iCs/>
          <w:color w:val="000000"/>
        </w:rPr>
        <w:t>American Society for Anesthesiologists</w:t>
      </w:r>
      <w:r w:rsidR="008C5F4C">
        <w:rPr>
          <w:i w:val="0"/>
          <w:iCs/>
          <w:color w:val="000000"/>
        </w:rPr>
        <w:t xml:space="preserve"> classification; Charlson, Charlson comorbidity index; Elixhauser, Elixhauser comorbidity index</w:t>
      </w:r>
      <w:r w:rsidR="008C5F4C">
        <w:rPr>
          <w:i w:val="0"/>
          <w:iCs/>
          <w:color w:val="000000"/>
        </w:rPr>
        <w:t>; DK, Denmark; SE, Sweden.</w:t>
      </w:r>
    </w:p>
    <w:p w14:paraId="454AB75C" w14:textId="77777777" w:rsidR="00C070EC" w:rsidRPr="000B5813" w:rsidRDefault="00C070EC" w:rsidP="00C070EC">
      <w:pPr>
        <w:pStyle w:val="ImageCaption"/>
        <w:rPr>
          <w:i w:val="0"/>
          <w:iCs/>
          <w:color w:val="000000"/>
        </w:rPr>
      </w:pPr>
    </w:p>
    <w:p w14:paraId="5E690CE0" w14:textId="07E882F9" w:rsidR="00C070EC" w:rsidRPr="000B5813" w:rsidRDefault="00C070EC" w:rsidP="00C070EC">
      <w:pPr>
        <w:pStyle w:val="ImageCaption"/>
        <w:rPr>
          <w:i w:val="0"/>
          <w:iCs/>
          <w:color w:val="000000"/>
        </w:rPr>
      </w:pPr>
      <w:r w:rsidRPr="000B5813">
        <w:rPr>
          <w:i w:val="0"/>
          <w:iCs/>
          <w:color w:val="000000"/>
        </w:rPr>
        <w:t xml:space="preserve">Figure 5: Patients with observed </w:t>
      </w:r>
      <w:r w:rsidR="0093426D" w:rsidRPr="0093426D">
        <w:rPr>
          <w:i w:val="0"/>
          <w:iCs/>
          <w:color w:val="000000"/>
        </w:rPr>
        <w:t>periprosthetic joint infection</w:t>
      </w:r>
      <w:r w:rsidR="0093426D" w:rsidRPr="0093426D">
        <w:rPr>
          <w:i w:val="0"/>
          <w:iCs/>
          <w:color w:val="000000"/>
        </w:rPr>
        <w:t xml:space="preserve"> </w:t>
      </w:r>
      <w:r w:rsidR="0093426D">
        <w:rPr>
          <w:i w:val="0"/>
          <w:iCs/>
          <w:color w:val="000000"/>
        </w:rPr>
        <w:t>(</w:t>
      </w:r>
      <w:r w:rsidRPr="000B5813">
        <w:rPr>
          <w:i w:val="0"/>
          <w:iCs/>
          <w:color w:val="000000"/>
        </w:rPr>
        <w:t>PJI</w:t>
      </w:r>
      <w:r w:rsidR="0093426D">
        <w:rPr>
          <w:i w:val="0"/>
          <w:iCs/>
          <w:color w:val="000000"/>
        </w:rPr>
        <w:t>)</w:t>
      </w:r>
      <w:r w:rsidRPr="000B5813">
        <w:rPr>
          <w:i w:val="0"/>
          <w:iCs/>
          <w:color w:val="000000"/>
        </w:rPr>
        <w:t xml:space="preserve"> had, on average, higher predicted probabilities for this adverse event</w:t>
      </w:r>
      <w:r w:rsidR="008C5F4C">
        <w:rPr>
          <w:i w:val="0"/>
          <w:iCs/>
          <w:color w:val="000000"/>
        </w:rPr>
        <w:t>, compared to patients with no PJI.</w:t>
      </w:r>
      <w:r w:rsidRPr="000B5813">
        <w:rPr>
          <w:i w:val="0"/>
          <w:iCs/>
          <w:color w:val="000000"/>
        </w:rPr>
        <w:t xml:space="preserve"> </w:t>
      </w:r>
      <w:r w:rsidR="008C5F4C">
        <w:rPr>
          <w:i w:val="0"/>
          <w:iCs/>
          <w:color w:val="000000"/>
        </w:rPr>
        <w:t>T</w:t>
      </w:r>
      <w:r w:rsidRPr="000B5813">
        <w:rPr>
          <w:i w:val="0"/>
          <w:iCs/>
          <w:color w:val="000000"/>
        </w:rPr>
        <w:t>he x-axis is log-transformed for visual clarity and each curve is normalized on the y-axis which therefore has no direct interpretation.</w:t>
      </w:r>
      <w:bookmarkStart w:id="82" w:name="page-break-7"/>
      <w:bookmarkEnd w:id="81"/>
    </w:p>
    <w:p w14:paraId="7F1FE003" w14:textId="77777777" w:rsidR="00C070EC" w:rsidRPr="000B5813" w:rsidRDefault="00C070EC" w:rsidP="00C070EC">
      <w:pPr>
        <w:pStyle w:val="CaptionedFigure"/>
        <w:rPr>
          <w:iCs/>
          <w:color w:val="000000"/>
        </w:rPr>
      </w:pPr>
    </w:p>
    <w:p w14:paraId="2C9286CC" w14:textId="1B0AB528" w:rsidR="00C070EC" w:rsidRPr="000B5813" w:rsidRDefault="00C070EC" w:rsidP="008C5F4C">
      <w:pPr>
        <w:pStyle w:val="ImageCaption"/>
        <w:rPr>
          <w:i w:val="0"/>
          <w:color w:val="000000"/>
        </w:rPr>
      </w:pPr>
      <w:r w:rsidRPr="000B5813">
        <w:rPr>
          <w:i w:val="0"/>
          <w:iCs/>
          <w:color w:val="000000"/>
        </w:rPr>
        <w:t xml:space="preserve">Figure 6: Calibration for the reduced model. Proportions of </w:t>
      </w:r>
      <w:r w:rsidR="0093426D" w:rsidRPr="0093426D">
        <w:rPr>
          <w:i w:val="0"/>
          <w:iCs/>
          <w:color w:val="000000"/>
        </w:rPr>
        <w:t>periprosthetic joint infection</w:t>
      </w:r>
      <w:r w:rsidR="0093426D" w:rsidRPr="0093426D">
        <w:rPr>
          <w:i w:val="0"/>
          <w:iCs/>
          <w:color w:val="000000"/>
        </w:rPr>
        <w:t xml:space="preserve"> </w:t>
      </w:r>
      <w:r w:rsidR="0093426D">
        <w:rPr>
          <w:i w:val="0"/>
          <w:iCs/>
          <w:color w:val="000000"/>
        </w:rPr>
        <w:t>(</w:t>
      </w:r>
      <w:r w:rsidRPr="000B5813">
        <w:rPr>
          <w:i w:val="0"/>
          <w:iCs/>
          <w:color w:val="000000"/>
        </w:rPr>
        <w:t>PJI</w:t>
      </w:r>
      <w:r w:rsidR="0093426D">
        <w:rPr>
          <w:i w:val="0"/>
          <w:iCs/>
          <w:color w:val="000000"/>
        </w:rPr>
        <w:t>)</w:t>
      </w:r>
      <w:r w:rsidRPr="000B5813">
        <w:rPr>
          <w:i w:val="0"/>
          <w:iCs/>
          <w:color w:val="000000"/>
        </w:rPr>
        <w:t xml:space="preserve"> above 10 % were rarely observed and are therefore omitted. Internal calibration (95 % confidence band between the green lines) is good; predicted probabilities are </w:t>
      </w:r>
      <w:proofErr w:type="gramStart"/>
      <w:r w:rsidRPr="000B5813">
        <w:rPr>
          <w:i w:val="0"/>
          <w:iCs/>
          <w:color w:val="000000"/>
        </w:rPr>
        <w:t>similar to</w:t>
      </w:r>
      <w:proofErr w:type="gramEnd"/>
      <w:r w:rsidRPr="000B5813">
        <w:rPr>
          <w:i w:val="0"/>
          <w:iCs/>
          <w:color w:val="000000"/>
        </w:rPr>
        <w:t xml:space="preserve"> observed proportions, as indicated by close proximity to the diagonal line. External </w:t>
      </w:r>
      <w:r w:rsidRPr="000B5813">
        <w:rPr>
          <w:i w:val="0"/>
          <w:iCs/>
          <w:color w:val="000000"/>
        </w:rPr>
        <w:lastRenderedPageBreak/>
        <w:t>calibration with the same model (red) indicates some over-estimation and less accuracy. This is expected due to smaller sample size in the Danish cohort, and due to national differences. Calibration improves after re-calibration of the model intercept to better resemble the Danish base incidence (blue).</w:t>
      </w:r>
      <w:r w:rsidR="008C5F4C">
        <w:rPr>
          <w:i w:val="0"/>
          <w:iCs/>
          <w:color w:val="000000"/>
        </w:rPr>
        <w:t xml:space="preserve"> </w:t>
      </w:r>
      <w:r w:rsidR="008C5F4C">
        <w:rPr>
          <w:i w:val="0"/>
          <w:iCs/>
          <w:color w:val="000000"/>
        </w:rPr>
        <w:t>DK, Denmark; SE, Sweden</w:t>
      </w:r>
      <w:bookmarkEnd w:id="82"/>
      <w:r w:rsidR="008C5F4C">
        <w:rPr>
          <w:i w:val="0"/>
          <w:iCs/>
          <w:color w:val="000000"/>
        </w:rPr>
        <w:t>.</w:t>
      </w:r>
      <w:r w:rsidRPr="000B5813">
        <w:rPr>
          <w:color w:val="000000"/>
        </w:rPr>
        <w:br w:type="page"/>
      </w:r>
    </w:p>
    <w:p w14:paraId="4F584A30" w14:textId="3D34F679" w:rsidR="00765237" w:rsidRPr="008C5F4C" w:rsidRDefault="00765237" w:rsidP="00765237">
      <w:pPr>
        <w:pStyle w:val="TableCaption"/>
        <w:rPr>
          <w:i w:val="0"/>
          <w:iCs/>
          <w:color w:val="000000"/>
        </w:rPr>
      </w:pPr>
      <w:commentRangeStart w:id="83"/>
      <w:commentRangeStart w:id="84"/>
      <w:r w:rsidRPr="008C5F4C">
        <w:rPr>
          <w:i w:val="0"/>
          <w:iCs/>
          <w:color w:val="000000"/>
        </w:rPr>
        <w:lastRenderedPageBreak/>
        <w:t xml:space="preserve">Table 1: Codes identifying </w:t>
      </w:r>
      <w:r w:rsidR="008C5F4C" w:rsidRPr="008C5F4C">
        <w:rPr>
          <w:i w:val="0"/>
          <w:iCs/>
          <w:color w:val="000000"/>
        </w:rPr>
        <w:t>periprosthetic joint infection</w:t>
      </w:r>
      <w:r w:rsidR="008C5F4C">
        <w:rPr>
          <w:i w:val="0"/>
          <w:iCs/>
          <w:color w:val="000000"/>
        </w:rPr>
        <w:t xml:space="preserve"> (</w:t>
      </w:r>
      <w:r w:rsidRPr="008C5F4C">
        <w:rPr>
          <w:i w:val="0"/>
          <w:iCs/>
          <w:color w:val="000000"/>
        </w:rPr>
        <w:t>PJI</w:t>
      </w:r>
      <w:r w:rsidR="008C5F4C">
        <w:rPr>
          <w:i w:val="0"/>
          <w:iCs/>
          <w:color w:val="000000"/>
        </w:rPr>
        <w:t>)</w:t>
      </w:r>
      <w:r w:rsidRPr="008C5F4C">
        <w:rPr>
          <w:i w:val="0"/>
          <w:iCs/>
          <w:color w:val="000000"/>
        </w:rPr>
        <w:t xml:space="preserve"> if recorded in the Swedish and Danish National Patient Registers within 90 days after </w:t>
      </w:r>
      <w:r w:rsidR="008C5F4C">
        <w:rPr>
          <w:i w:val="0"/>
          <w:iCs/>
          <w:color w:val="000000"/>
        </w:rPr>
        <w:t>total hip arthroplasty (</w:t>
      </w:r>
      <w:r w:rsidRPr="008C5F4C">
        <w:rPr>
          <w:i w:val="0"/>
          <w:iCs/>
          <w:color w:val="000000"/>
        </w:rPr>
        <w:t>THA</w:t>
      </w:r>
      <w:r w:rsidR="008C5F4C">
        <w:rPr>
          <w:i w:val="0"/>
          <w:iCs/>
          <w:color w:val="000000"/>
        </w:rPr>
        <w:t>)</w:t>
      </w:r>
      <w:r w:rsidRPr="008C5F4C">
        <w:rPr>
          <w:i w:val="0"/>
          <w:iCs/>
          <w:color w:val="000000"/>
        </w:rPr>
        <w:t>.</w:t>
      </w:r>
      <w:commentRangeEnd w:id="83"/>
      <w:r w:rsidR="007115D2" w:rsidRPr="008C5F4C">
        <w:rPr>
          <w:rStyle w:val="Kommentarsreferens"/>
          <w:i w:val="0"/>
          <w:iCs/>
        </w:rPr>
        <w:commentReference w:id="83"/>
      </w:r>
      <w:commentRangeEnd w:id="84"/>
      <w:r w:rsidR="008C5F4C">
        <w:rPr>
          <w:rStyle w:val="Kommentarsreferens"/>
          <w:i w:val="0"/>
        </w:rPr>
        <w:commentReference w:id="84"/>
      </w:r>
    </w:p>
    <w:p w14:paraId="27559F66" w14:textId="77777777" w:rsidR="00765237" w:rsidRPr="000B5813" w:rsidRDefault="00765237" w:rsidP="00765237">
      <w:pPr>
        <w:pStyle w:val="TableCaption"/>
        <w:rPr>
          <w:color w:val="000000"/>
        </w:rPr>
      </w:pPr>
    </w:p>
    <w:tbl>
      <w:tblPr>
        <w:tblStyle w:val="Rutntstabell1ljus"/>
        <w:tblW w:w="5000" w:type="pct"/>
        <w:tblLook w:val="0020" w:firstRow="1" w:lastRow="0" w:firstColumn="0" w:lastColumn="0" w:noHBand="0" w:noVBand="0"/>
        <w:tblCaption w:val="Table 1: Codes identifying PJI if recorded in the Swedish and Danish National Patient Registers within 90 days after THA."/>
      </w:tblPr>
      <w:tblGrid>
        <w:gridCol w:w="1372"/>
        <w:gridCol w:w="8024"/>
      </w:tblGrid>
      <w:tr w:rsidR="00765237" w:rsidRPr="000B5813" w14:paraId="2A8177D0" w14:textId="77777777" w:rsidTr="00765237">
        <w:trPr>
          <w:cnfStyle w:val="100000000000" w:firstRow="1" w:lastRow="0" w:firstColumn="0" w:lastColumn="0" w:oddVBand="0" w:evenVBand="0" w:oddHBand="0" w:evenHBand="0" w:firstRowFirstColumn="0" w:firstRowLastColumn="0" w:lastRowFirstColumn="0" w:lastRowLastColumn="0"/>
        </w:trPr>
        <w:tc>
          <w:tcPr>
            <w:tcW w:w="0" w:type="auto"/>
          </w:tcPr>
          <w:p w14:paraId="0922F094" w14:textId="66AC55C8" w:rsidR="00765237" w:rsidRPr="000B5813" w:rsidRDefault="00765237" w:rsidP="007C2015">
            <w:pPr>
              <w:pStyle w:val="Compact"/>
              <w:rPr>
                <w:color w:val="000000"/>
                <w:sz w:val="20"/>
                <w:szCs w:val="20"/>
              </w:rPr>
            </w:pPr>
            <w:r w:rsidRPr="000B5813">
              <w:rPr>
                <w:color w:val="000000"/>
                <w:sz w:val="20"/>
                <w:szCs w:val="20"/>
              </w:rPr>
              <w:t>Classification</w:t>
            </w:r>
          </w:p>
        </w:tc>
        <w:tc>
          <w:tcPr>
            <w:tcW w:w="0" w:type="auto"/>
          </w:tcPr>
          <w:p w14:paraId="1C7408C7" w14:textId="78146E26" w:rsidR="00765237" w:rsidRPr="000B5813" w:rsidRDefault="00765237" w:rsidP="007C2015">
            <w:pPr>
              <w:pStyle w:val="Compact"/>
              <w:rPr>
                <w:color w:val="000000"/>
                <w:sz w:val="20"/>
                <w:szCs w:val="20"/>
              </w:rPr>
            </w:pPr>
            <w:r w:rsidRPr="000B5813">
              <w:rPr>
                <w:color w:val="000000"/>
                <w:sz w:val="20"/>
                <w:szCs w:val="20"/>
              </w:rPr>
              <w:t>Codes</w:t>
            </w:r>
          </w:p>
        </w:tc>
      </w:tr>
      <w:tr w:rsidR="00765237" w:rsidRPr="000B5813" w14:paraId="37C7439F" w14:textId="77777777" w:rsidTr="00765237">
        <w:tc>
          <w:tcPr>
            <w:tcW w:w="0" w:type="auto"/>
          </w:tcPr>
          <w:p w14:paraId="43DE1EE9" w14:textId="77777777" w:rsidR="00765237" w:rsidRPr="000B5813" w:rsidRDefault="00765237" w:rsidP="007C2015">
            <w:pPr>
              <w:pStyle w:val="Compact"/>
              <w:rPr>
                <w:color w:val="000000"/>
                <w:sz w:val="20"/>
                <w:szCs w:val="20"/>
              </w:rPr>
            </w:pPr>
            <w:r w:rsidRPr="000B5813">
              <w:rPr>
                <w:color w:val="000000"/>
                <w:sz w:val="20"/>
                <w:szCs w:val="20"/>
              </w:rPr>
              <w:t>ICD-10</w:t>
            </w:r>
          </w:p>
        </w:tc>
        <w:tc>
          <w:tcPr>
            <w:tcW w:w="0" w:type="auto"/>
          </w:tcPr>
          <w:p w14:paraId="3B549AE6" w14:textId="77777777" w:rsidR="00765237" w:rsidRPr="000B5813" w:rsidRDefault="00765237" w:rsidP="007C2015">
            <w:pPr>
              <w:pStyle w:val="Compact"/>
              <w:rPr>
                <w:color w:val="000000"/>
                <w:sz w:val="20"/>
                <w:szCs w:val="20"/>
              </w:rPr>
            </w:pPr>
            <w:r w:rsidRPr="000B5813">
              <w:rPr>
                <w:color w:val="000000"/>
                <w:sz w:val="20"/>
                <w:szCs w:val="20"/>
              </w:rPr>
              <w:t>M000, M000F, M001, M002, M002F, M008, M008F, M009, M009F, M860F, M861F, M866, M866F, T814, T845, T845F, T845X, T847, T847F</w:t>
            </w:r>
          </w:p>
        </w:tc>
      </w:tr>
      <w:tr w:rsidR="00765237" w:rsidRPr="000B5813" w14:paraId="6BDC652E" w14:textId="77777777" w:rsidTr="00765237">
        <w:tc>
          <w:tcPr>
            <w:tcW w:w="0" w:type="auto"/>
          </w:tcPr>
          <w:p w14:paraId="7279EAF9" w14:textId="77777777" w:rsidR="00765237" w:rsidRPr="000B5813" w:rsidRDefault="00765237" w:rsidP="007C2015">
            <w:pPr>
              <w:pStyle w:val="Compact"/>
              <w:rPr>
                <w:color w:val="000000"/>
                <w:sz w:val="20"/>
                <w:szCs w:val="20"/>
              </w:rPr>
            </w:pPr>
            <w:r w:rsidRPr="000B5813">
              <w:rPr>
                <w:color w:val="000000"/>
                <w:sz w:val="20"/>
                <w:szCs w:val="20"/>
              </w:rPr>
              <w:t>NOMESCO</w:t>
            </w:r>
          </w:p>
        </w:tc>
        <w:tc>
          <w:tcPr>
            <w:tcW w:w="0" w:type="auto"/>
          </w:tcPr>
          <w:p w14:paraId="4A3845D9" w14:textId="77777777" w:rsidR="00765237" w:rsidRPr="000B5813" w:rsidRDefault="00765237" w:rsidP="007C2015">
            <w:pPr>
              <w:pStyle w:val="Compact"/>
              <w:rPr>
                <w:color w:val="000000"/>
                <w:sz w:val="20"/>
                <w:szCs w:val="20"/>
              </w:rPr>
            </w:pPr>
            <w:r w:rsidRPr="000B5813">
              <w:rPr>
                <w:color w:val="000000"/>
                <w:sz w:val="20"/>
                <w:szCs w:val="20"/>
              </w:rPr>
              <w:t>NFS09, NFS19, NFS29, NFS39, NFS49, NFS59, NFS99</w:t>
            </w:r>
          </w:p>
        </w:tc>
      </w:tr>
    </w:tbl>
    <w:p w14:paraId="01227D44" w14:textId="77777777" w:rsidR="00765237" w:rsidRPr="000B5813" w:rsidRDefault="00765237" w:rsidP="00765237">
      <w:pPr>
        <w:rPr>
          <w:color w:val="000000"/>
        </w:rPr>
      </w:pPr>
    </w:p>
    <w:p w14:paraId="410FFA4C" w14:textId="77777777" w:rsidR="00765237" w:rsidRPr="000B5813" w:rsidRDefault="00765237">
      <w:pPr>
        <w:rPr>
          <w:i/>
          <w:color w:val="000000"/>
        </w:rPr>
      </w:pPr>
      <w:r w:rsidRPr="000B5813">
        <w:rPr>
          <w:color w:val="000000"/>
        </w:rPr>
        <w:br w:type="page"/>
      </w:r>
    </w:p>
    <w:p w14:paraId="232C4E61" w14:textId="154D00D5" w:rsidR="00765237" w:rsidRPr="008C5F4C" w:rsidRDefault="00765237" w:rsidP="00765237">
      <w:pPr>
        <w:pStyle w:val="TableCaption"/>
        <w:rPr>
          <w:i w:val="0"/>
          <w:iCs/>
          <w:color w:val="000000"/>
        </w:rPr>
      </w:pPr>
      <w:commentRangeStart w:id="86"/>
      <w:r w:rsidRPr="008C5F4C">
        <w:rPr>
          <w:i w:val="0"/>
          <w:iCs/>
          <w:color w:val="000000"/>
        </w:rPr>
        <w:lastRenderedPageBreak/>
        <w:t>Table 2:</w:t>
      </w:r>
      <w:commentRangeEnd w:id="86"/>
      <w:r w:rsidR="007115D2" w:rsidRPr="008C5F4C">
        <w:rPr>
          <w:rStyle w:val="Kommentarsreferens"/>
          <w:i w:val="0"/>
          <w:iCs/>
        </w:rPr>
        <w:commentReference w:id="86"/>
      </w:r>
      <w:r w:rsidRPr="008C5F4C">
        <w:rPr>
          <w:i w:val="0"/>
          <w:iCs/>
          <w:color w:val="000000"/>
        </w:rPr>
        <w:t xml:space="preserve"> Patient characteristics in Sweden 2008-2015 and Denmark 2016 to September 2018. </w:t>
      </w:r>
    </w:p>
    <w:p w14:paraId="36081B9F" w14:textId="77777777" w:rsidR="00765237" w:rsidRPr="000B5813" w:rsidRDefault="00765237" w:rsidP="00765237">
      <w:pPr>
        <w:pStyle w:val="TableCaption"/>
        <w:rPr>
          <w:color w:val="000000"/>
        </w:rPr>
      </w:pPr>
    </w:p>
    <w:tbl>
      <w:tblPr>
        <w:tblStyle w:val="Rutntstabell1ljus"/>
        <w:tblW w:w="5107" w:type="pct"/>
        <w:tblLook w:val="0020" w:firstRow="1" w:lastRow="0" w:firstColumn="0" w:lastColumn="0" w:noHBand="0" w:noVBand="0"/>
        <w:tblCaption w:val="Table 2: Patient characteristics in Sweden 2008-2015 and Denmark 2016 to September 2018. Educational levels were classified as low (up to 9 years), middle (10-12 years) and high (more than 12 years). Data on hospital levels were not available for the Danish cohort. Some additional cells have been intentionally left blank due to small numbers and privacy concerns for the Danish cohort. BMI = Body mass index. ASA class = American Society for Anaesthesiologists classification. CNS = central nervous system."/>
      </w:tblPr>
      <w:tblGrid>
        <w:gridCol w:w="2087"/>
        <w:gridCol w:w="1877"/>
        <w:gridCol w:w="1418"/>
        <w:gridCol w:w="1559"/>
        <w:gridCol w:w="1276"/>
        <w:gridCol w:w="1380"/>
      </w:tblGrid>
      <w:tr w:rsidR="00765237" w:rsidRPr="000B5813" w14:paraId="01A0E44C" w14:textId="77777777" w:rsidTr="00765237">
        <w:trPr>
          <w:cnfStyle w:val="100000000000" w:firstRow="1" w:lastRow="0" w:firstColumn="0" w:lastColumn="0" w:oddVBand="0" w:evenVBand="0" w:oddHBand="0" w:evenHBand="0" w:firstRowFirstColumn="0" w:firstRowLastColumn="0" w:lastRowFirstColumn="0" w:lastRowLastColumn="0"/>
        </w:trPr>
        <w:tc>
          <w:tcPr>
            <w:tcW w:w="0" w:type="auto"/>
          </w:tcPr>
          <w:p w14:paraId="75C7AD50" w14:textId="5F43F862" w:rsidR="00765237" w:rsidRPr="000B5813" w:rsidRDefault="00765237" w:rsidP="007C2015">
            <w:pPr>
              <w:pStyle w:val="Compact"/>
              <w:rPr>
                <w:color w:val="000000"/>
                <w:sz w:val="20"/>
                <w:szCs w:val="20"/>
              </w:rPr>
            </w:pPr>
            <w:r w:rsidRPr="000B5813">
              <w:rPr>
                <w:color w:val="000000"/>
                <w:sz w:val="20"/>
                <w:szCs w:val="20"/>
              </w:rPr>
              <w:t>Variable</w:t>
            </w:r>
          </w:p>
        </w:tc>
        <w:tc>
          <w:tcPr>
            <w:tcW w:w="978" w:type="pct"/>
          </w:tcPr>
          <w:p w14:paraId="0850C5BF" w14:textId="60046E24" w:rsidR="00765237" w:rsidRPr="000B5813" w:rsidRDefault="00765237" w:rsidP="007C2015">
            <w:pPr>
              <w:pStyle w:val="Compact"/>
              <w:rPr>
                <w:color w:val="000000"/>
                <w:sz w:val="20"/>
                <w:szCs w:val="20"/>
              </w:rPr>
            </w:pPr>
            <w:r w:rsidRPr="000B5813">
              <w:rPr>
                <w:color w:val="000000"/>
                <w:sz w:val="20"/>
                <w:szCs w:val="20"/>
              </w:rPr>
              <w:t>Level</w:t>
            </w:r>
          </w:p>
        </w:tc>
        <w:tc>
          <w:tcPr>
            <w:tcW w:w="739" w:type="pct"/>
          </w:tcPr>
          <w:p w14:paraId="129B89C8" w14:textId="7E7637E6" w:rsidR="00765237" w:rsidRPr="000B5813" w:rsidRDefault="00765237" w:rsidP="00765237">
            <w:pPr>
              <w:pStyle w:val="Compact"/>
              <w:jc w:val="right"/>
              <w:rPr>
                <w:b w:val="0"/>
                <w:bCs w:val="0"/>
                <w:color w:val="000000"/>
                <w:sz w:val="20"/>
                <w:szCs w:val="20"/>
              </w:rPr>
            </w:pPr>
            <w:r w:rsidRPr="000B5813">
              <w:rPr>
                <w:color w:val="000000"/>
                <w:sz w:val="20"/>
                <w:szCs w:val="20"/>
              </w:rPr>
              <w:t>SE PJI</w:t>
            </w:r>
          </w:p>
          <w:p w14:paraId="1DBEED02" w14:textId="0CA43540" w:rsidR="00765237" w:rsidRPr="000B5813" w:rsidRDefault="00765237" w:rsidP="00765237">
            <w:pPr>
              <w:pStyle w:val="Compact"/>
              <w:jc w:val="right"/>
              <w:rPr>
                <w:color w:val="000000"/>
                <w:sz w:val="20"/>
                <w:szCs w:val="20"/>
              </w:rPr>
            </w:pPr>
            <w:r w:rsidRPr="000B5813">
              <w:rPr>
                <w:b w:val="0"/>
                <w:bCs w:val="0"/>
                <w:color w:val="000000"/>
                <w:sz w:val="20"/>
                <w:szCs w:val="20"/>
              </w:rPr>
              <w:t>n (%)</w:t>
            </w:r>
          </w:p>
        </w:tc>
        <w:tc>
          <w:tcPr>
            <w:tcW w:w="812" w:type="pct"/>
          </w:tcPr>
          <w:p w14:paraId="142E717C" w14:textId="77777777" w:rsidR="00765237" w:rsidRPr="000B5813" w:rsidRDefault="00765237" w:rsidP="00765237">
            <w:pPr>
              <w:pStyle w:val="Compact"/>
              <w:jc w:val="right"/>
              <w:rPr>
                <w:color w:val="000000"/>
                <w:sz w:val="20"/>
                <w:szCs w:val="20"/>
              </w:rPr>
            </w:pPr>
            <w:r w:rsidRPr="000B5813">
              <w:rPr>
                <w:color w:val="000000"/>
                <w:sz w:val="20"/>
                <w:szCs w:val="20"/>
              </w:rPr>
              <w:t>SE Total</w:t>
            </w:r>
            <w:r w:rsidRPr="000B5813">
              <w:rPr>
                <w:b w:val="0"/>
                <w:bCs w:val="0"/>
                <w:color w:val="000000"/>
                <w:sz w:val="20"/>
                <w:szCs w:val="20"/>
              </w:rPr>
              <w:t xml:space="preserve"> </w:t>
            </w:r>
          </w:p>
          <w:p w14:paraId="4097172E" w14:textId="70D41B76" w:rsidR="00765237" w:rsidRPr="000B5813" w:rsidRDefault="00765237" w:rsidP="00765237">
            <w:pPr>
              <w:pStyle w:val="Compact"/>
              <w:jc w:val="right"/>
              <w:rPr>
                <w:color w:val="000000"/>
                <w:sz w:val="20"/>
                <w:szCs w:val="20"/>
              </w:rPr>
            </w:pPr>
            <w:r w:rsidRPr="000B5813">
              <w:rPr>
                <w:b w:val="0"/>
                <w:bCs w:val="0"/>
                <w:color w:val="000000"/>
                <w:sz w:val="20"/>
                <w:szCs w:val="20"/>
              </w:rPr>
              <w:t>n (%)</w:t>
            </w:r>
          </w:p>
        </w:tc>
        <w:tc>
          <w:tcPr>
            <w:tcW w:w="665" w:type="pct"/>
          </w:tcPr>
          <w:p w14:paraId="722C60F9" w14:textId="77777777" w:rsidR="00765237" w:rsidRPr="000B5813" w:rsidRDefault="00765237" w:rsidP="00765237">
            <w:pPr>
              <w:pStyle w:val="Compact"/>
              <w:jc w:val="right"/>
              <w:rPr>
                <w:color w:val="000000"/>
                <w:sz w:val="20"/>
                <w:szCs w:val="20"/>
              </w:rPr>
            </w:pPr>
            <w:r w:rsidRPr="000B5813">
              <w:rPr>
                <w:color w:val="000000"/>
                <w:sz w:val="20"/>
                <w:szCs w:val="20"/>
              </w:rPr>
              <w:t>DK PJI</w:t>
            </w:r>
            <w:r w:rsidRPr="000B5813">
              <w:rPr>
                <w:b w:val="0"/>
                <w:bCs w:val="0"/>
                <w:color w:val="000000"/>
                <w:sz w:val="20"/>
                <w:szCs w:val="20"/>
              </w:rPr>
              <w:t xml:space="preserve"> </w:t>
            </w:r>
          </w:p>
          <w:p w14:paraId="7F61150D" w14:textId="1FA403A4" w:rsidR="00765237" w:rsidRPr="000B5813" w:rsidRDefault="00765237" w:rsidP="00765237">
            <w:pPr>
              <w:pStyle w:val="Compact"/>
              <w:jc w:val="right"/>
              <w:rPr>
                <w:color w:val="000000"/>
                <w:sz w:val="20"/>
                <w:szCs w:val="20"/>
              </w:rPr>
            </w:pPr>
            <w:r w:rsidRPr="000B5813">
              <w:rPr>
                <w:b w:val="0"/>
                <w:bCs w:val="0"/>
                <w:color w:val="000000"/>
                <w:sz w:val="20"/>
                <w:szCs w:val="20"/>
              </w:rPr>
              <w:t>n (%)</w:t>
            </w:r>
          </w:p>
        </w:tc>
        <w:tc>
          <w:tcPr>
            <w:tcW w:w="719" w:type="pct"/>
          </w:tcPr>
          <w:p w14:paraId="68B319A6" w14:textId="77777777" w:rsidR="00765237" w:rsidRPr="000B5813" w:rsidRDefault="00765237" w:rsidP="00765237">
            <w:pPr>
              <w:pStyle w:val="Compact"/>
              <w:jc w:val="right"/>
              <w:rPr>
                <w:color w:val="000000"/>
                <w:sz w:val="20"/>
                <w:szCs w:val="20"/>
              </w:rPr>
            </w:pPr>
            <w:r w:rsidRPr="000B5813">
              <w:rPr>
                <w:color w:val="000000"/>
                <w:sz w:val="20"/>
                <w:szCs w:val="20"/>
              </w:rPr>
              <w:t>DK Total</w:t>
            </w:r>
            <w:r w:rsidRPr="000B5813">
              <w:rPr>
                <w:b w:val="0"/>
                <w:bCs w:val="0"/>
                <w:color w:val="000000"/>
                <w:sz w:val="20"/>
                <w:szCs w:val="20"/>
              </w:rPr>
              <w:t xml:space="preserve"> </w:t>
            </w:r>
          </w:p>
          <w:p w14:paraId="4A718FA7" w14:textId="7B46DDAC" w:rsidR="00765237" w:rsidRPr="000B5813" w:rsidRDefault="00765237" w:rsidP="00765237">
            <w:pPr>
              <w:pStyle w:val="Compact"/>
              <w:jc w:val="right"/>
              <w:rPr>
                <w:color w:val="000000"/>
                <w:sz w:val="20"/>
                <w:szCs w:val="20"/>
              </w:rPr>
            </w:pPr>
            <w:r w:rsidRPr="000B5813">
              <w:rPr>
                <w:b w:val="0"/>
                <w:bCs w:val="0"/>
                <w:color w:val="000000"/>
                <w:sz w:val="20"/>
                <w:szCs w:val="20"/>
              </w:rPr>
              <w:t>n (%)</w:t>
            </w:r>
          </w:p>
        </w:tc>
      </w:tr>
      <w:tr w:rsidR="00765237" w:rsidRPr="000B5813" w14:paraId="0EB24BEF" w14:textId="77777777" w:rsidTr="00765237">
        <w:tc>
          <w:tcPr>
            <w:tcW w:w="0" w:type="auto"/>
          </w:tcPr>
          <w:p w14:paraId="1462D6EF" w14:textId="77777777" w:rsidR="00765237" w:rsidRPr="000B5813" w:rsidRDefault="00765237" w:rsidP="007C2015">
            <w:pPr>
              <w:pStyle w:val="Compact"/>
              <w:rPr>
                <w:color w:val="000000"/>
                <w:sz w:val="20"/>
                <w:szCs w:val="20"/>
              </w:rPr>
            </w:pPr>
            <w:r w:rsidRPr="000B5813">
              <w:rPr>
                <w:color w:val="000000"/>
                <w:sz w:val="20"/>
                <w:szCs w:val="20"/>
              </w:rPr>
              <w:t>Total</w:t>
            </w:r>
          </w:p>
        </w:tc>
        <w:tc>
          <w:tcPr>
            <w:tcW w:w="978" w:type="pct"/>
          </w:tcPr>
          <w:p w14:paraId="2EDC3F75" w14:textId="77777777" w:rsidR="00765237" w:rsidRPr="000B5813" w:rsidRDefault="00765237" w:rsidP="007C2015">
            <w:pPr>
              <w:pStyle w:val="Compact"/>
              <w:rPr>
                <w:color w:val="000000"/>
                <w:sz w:val="20"/>
                <w:szCs w:val="20"/>
              </w:rPr>
            </w:pPr>
          </w:p>
        </w:tc>
        <w:tc>
          <w:tcPr>
            <w:tcW w:w="739" w:type="pct"/>
          </w:tcPr>
          <w:p w14:paraId="527B260F" w14:textId="77777777" w:rsidR="00765237" w:rsidRPr="000B5813" w:rsidRDefault="00765237" w:rsidP="00765237">
            <w:pPr>
              <w:pStyle w:val="Compact"/>
              <w:jc w:val="right"/>
              <w:rPr>
                <w:color w:val="000000"/>
                <w:sz w:val="20"/>
                <w:szCs w:val="20"/>
              </w:rPr>
            </w:pPr>
            <w:r w:rsidRPr="000B5813">
              <w:rPr>
                <w:color w:val="000000"/>
                <w:sz w:val="20"/>
                <w:szCs w:val="20"/>
              </w:rPr>
              <w:t>2173</w:t>
            </w:r>
          </w:p>
        </w:tc>
        <w:tc>
          <w:tcPr>
            <w:tcW w:w="812" w:type="pct"/>
          </w:tcPr>
          <w:p w14:paraId="596FF8A2" w14:textId="77777777" w:rsidR="00765237" w:rsidRPr="000B5813" w:rsidRDefault="00765237" w:rsidP="00765237">
            <w:pPr>
              <w:pStyle w:val="Compact"/>
              <w:jc w:val="right"/>
              <w:rPr>
                <w:color w:val="000000"/>
                <w:sz w:val="20"/>
                <w:szCs w:val="20"/>
              </w:rPr>
            </w:pPr>
            <w:r w:rsidRPr="000B5813">
              <w:rPr>
                <w:color w:val="000000"/>
                <w:sz w:val="20"/>
                <w:szCs w:val="20"/>
              </w:rPr>
              <w:t>88830</w:t>
            </w:r>
          </w:p>
        </w:tc>
        <w:tc>
          <w:tcPr>
            <w:tcW w:w="665" w:type="pct"/>
          </w:tcPr>
          <w:p w14:paraId="37A245A7" w14:textId="77777777" w:rsidR="00765237" w:rsidRPr="000B5813" w:rsidRDefault="00765237" w:rsidP="00765237">
            <w:pPr>
              <w:pStyle w:val="Compact"/>
              <w:jc w:val="right"/>
              <w:rPr>
                <w:color w:val="000000"/>
                <w:sz w:val="20"/>
                <w:szCs w:val="20"/>
              </w:rPr>
            </w:pPr>
            <w:r w:rsidRPr="000B5813">
              <w:rPr>
                <w:color w:val="000000"/>
                <w:sz w:val="20"/>
                <w:szCs w:val="20"/>
              </w:rPr>
              <w:t>410</w:t>
            </w:r>
          </w:p>
        </w:tc>
        <w:tc>
          <w:tcPr>
            <w:tcW w:w="719" w:type="pct"/>
          </w:tcPr>
          <w:p w14:paraId="6756F999" w14:textId="77777777" w:rsidR="00765237" w:rsidRPr="000B5813" w:rsidRDefault="00765237" w:rsidP="00765237">
            <w:pPr>
              <w:pStyle w:val="Compact"/>
              <w:jc w:val="right"/>
              <w:rPr>
                <w:color w:val="000000"/>
                <w:sz w:val="20"/>
                <w:szCs w:val="20"/>
              </w:rPr>
            </w:pPr>
            <w:r w:rsidRPr="000B5813">
              <w:rPr>
                <w:color w:val="000000"/>
                <w:sz w:val="20"/>
                <w:szCs w:val="20"/>
              </w:rPr>
              <w:t>18854</w:t>
            </w:r>
          </w:p>
        </w:tc>
      </w:tr>
      <w:tr w:rsidR="00765237" w:rsidRPr="000B5813" w14:paraId="42E14959" w14:textId="77777777" w:rsidTr="00765237">
        <w:tc>
          <w:tcPr>
            <w:tcW w:w="0" w:type="auto"/>
          </w:tcPr>
          <w:p w14:paraId="6917D222" w14:textId="77777777" w:rsidR="00765237" w:rsidRPr="000B5813" w:rsidRDefault="00765237" w:rsidP="007C2015">
            <w:pPr>
              <w:pStyle w:val="Compact"/>
              <w:rPr>
                <w:color w:val="000000"/>
                <w:sz w:val="20"/>
                <w:szCs w:val="20"/>
              </w:rPr>
            </w:pPr>
            <w:r w:rsidRPr="000B5813">
              <w:rPr>
                <w:color w:val="000000"/>
                <w:sz w:val="20"/>
                <w:szCs w:val="20"/>
              </w:rPr>
              <w:t>Age</w:t>
            </w:r>
          </w:p>
        </w:tc>
        <w:tc>
          <w:tcPr>
            <w:tcW w:w="978" w:type="pct"/>
          </w:tcPr>
          <w:p w14:paraId="51E5590A" w14:textId="77777777" w:rsidR="00765237" w:rsidRPr="000B5813" w:rsidRDefault="00765237" w:rsidP="007C2015">
            <w:pPr>
              <w:pStyle w:val="Compact"/>
              <w:rPr>
                <w:color w:val="000000"/>
                <w:sz w:val="20"/>
                <w:szCs w:val="20"/>
              </w:rPr>
            </w:pPr>
            <w:r w:rsidRPr="000B5813">
              <w:rPr>
                <w:color w:val="000000"/>
                <w:sz w:val="20"/>
                <w:szCs w:val="20"/>
              </w:rPr>
              <w:t>&lt;50</w:t>
            </w:r>
          </w:p>
        </w:tc>
        <w:tc>
          <w:tcPr>
            <w:tcW w:w="739" w:type="pct"/>
          </w:tcPr>
          <w:p w14:paraId="6695A3AE" w14:textId="77777777" w:rsidR="00765237" w:rsidRPr="000B5813" w:rsidRDefault="00765237" w:rsidP="00765237">
            <w:pPr>
              <w:pStyle w:val="Compact"/>
              <w:jc w:val="right"/>
              <w:rPr>
                <w:color w:val="000000"/>
                <w:sz w:val="20"/>
                <w:szCs w:val="20"/>
              </w:rPr>
            </w:pPr>
            <w:r w:rsidRPr="000B5813">
              <w:rPr>
                <w:color w:val="000000"/>
                <w:sz w:val="20"/>
                <w:szCs w:val="20"/>
              </w:rPr>
              <w:t xml:space="preserve">104 </w:t>
            </w:r>
            <w:proofErr w:type="gramStart"/>
            <w:r w:rsidRPr="000B5813">
              <w:rPr>
                <w:color w:val="000000"/>
                <w:sz w:val="20"/>
                <w:szCs w:val="20"/>
              </w:rPr>
              <w:t>( 4.8</w:t>
            </w:r>
            <w:proofErr w:type="gramEnd"/>
            <w:r w:rsidRPr="000B5813">
              <w:rPr>
                <w:color w:val="000000"/>
                <w:sz w:val="20"/>
                <w:szCs w:val="20"/>
              </w:rPr>
              <w:t>)</w:t>
            </w:r>
          </w:p>
        </w:tc>
        <w:tc>
          <w:tcPr>
            <w:tcW w:w="812" w:type="pct"/>
          </w:tcPr>
          <w:p w14:paraId="15B53C41" w14:textId="77777777" w:rsidR="00765237" w:rsidRPr="000B5813" w:rsidRDefault="00765237" w:rsidP="00765237">
            <w:pPr>
              <w:pStyle w:val="Compact"/>
              <w:jc w:val="right"/>
              <w:rPr>
                <w:color w:val="000000"/>
                <w:sz w:val="20"/>
                <w:szCs w:val="20"/>
              </w:rPr>
            </w:pPr>
            <w:r w:rsidRPr="000B5813">
              <w:rPr>
                <w:color w:val="000000"/>
                <w:sz w:val="20"/>
                <w:szCs w:val="20"/>
              </w:rPr>
              <w:t xml:space="preserve">4645 </w:t>
            </w:r>
            <w:proofErr w:type="gramStart"/>
            <w:r w:rsidRPr="000B5813">
              <w:rPr>
                <w:color w:val="000000"/>
                <w:sz w:val="20"/>
                <w:szCs w:val="20"/>
              </w:rPr>
              <w:t>( 5.2</w:t>
            </w:r>
            <w:proofErr w:type="gramEnd"/>
            <w:r w:rsidRPr="000B5813">
              <w:rPr>
                <w:color w:val="000000"/>
                <w:sz w:val="20"/>
                <w:szCs w:val="20"/>
              </w:rPr>
              <w:t>)</w:t>
            </w:r>
          </w:p>
        </w:tc>
        <w:tc>
          <w:tcPr>
            <w:tcW w:w="665" w:type="pct"/>
          </w:tcPr>
          <w:p w14:paraId="64D54E9F" w14:textId="77777777" w:rsidR="00765237" w:rsidRPr="000B5813" w:rsidRDefault="00765237" w:rsidP="00765237">
            <w:pPr>
              <w:pStyle w:val="Compact"/>
              <w:jc w:val="right"/>
              <w:rPr>
                <w:color w:val="000000"/>
                <w:sz w:val="20"/>
                <w:szCs w:val="20"/>
              </w:rPr>
            </w:pPr>
            <w:r w:rsidRPr="000B5813">
              <w:rPr>
                <w:color w:val="000000"/>
                <w:sz w:val="20"/>
                <w:szCs w:val="20"/>
              </w:rPr>
              <w:t>9 (2.2)</w:t>
            </w:r>
          </w:p>
        </w:tc>
        <w:tc>
          <w:tcPr>
            <w:tcW w:w="719" w:type="pct"/>
          </w:tcPr>
          <w:p w14:paraId="66360EC3" w14:textId="77777777" w:rsidR="00765237" w:rsidRPr="000B5813" w:rsidRDefault="00765237" w:rsidP="00765237">
            <w:pPr>
              <w:pStyle w:val="Compact"/>
              <w:jc w:val="right"/>
              <w:rPr>
                <w:color w:val="000000"/>
                <w:sz w:val="20"/>
                <w:szCs w:val="20"/>
              </w:rPr>
            </w:pPr>
            <w:r w:rsidRPr="000B5813">
              <w:rPr>
                <w:color w:val="000000"/>
                <w:sz w:val="20"/>
                <w:szCs w:val="20"/>
              </w:rPr>
              <w:t>880 (4.7)</w:t>
            </w:r>
          </w:p>
        </w:tc>
      </w:tr>
      <w:tr w:rsidR="00765237" w:rsidRPr="000B5813" w14:paraId="5DA8B827" w14:textId="77777777" w:rsidTr="00765237">
        <w:tc>
          <w:tcPr>
            <w:tcW w:w="0" w:type="auto"/>
          </w:tcPr>
          <w:p w14:paraId="57C7B47F" w14:textId="77777777" w:rsidR="00765237" w:rsidRPr="000B5813" w:rsidRDefault="00765237" w:rsidP="007C2015">
            <w:pPr>
              <w:pStyle w:val="Compact"/>
              <w:rPr>
                <w:color w:val="000000"/>
                <w:sz w:val="20"/>
                <w:szCs w:val="20"/>
              </w:rPr>
            </w:pPr>
          </w:p>
        </w:tc>
        <w:tc>
          <w:tcPr>
            <w:tcW w:w="978" w:type="pct"/>
          </w:tcPr>
          <w:p w14:paraId="23644BD2" w14:textId="77777777" w:rsidR="00765237" w:rsidRPr="000B5813" w:rsidRDefault="00765237" w:rsidP="007C2015">
            <w:pPr>
              <w:pStyle w:val="Compact"/>
              <w:rPr>
                <w:color w:val="000000"/>
                <w:sz w:val="20"/>
                <w:szCs w:val="20"/>
              </w:rPr>
            </w:pPr>
            <w:r w:rsidRPr="000B5813">
              <w:rPr>
                <w:color w:val="000000"/>
                <w:sz w:val="20"/>
                <w:szCs w:val="20"/>
              </w:rPr>
              <w:t>50-&lt;60</w:t>
            </w:r>
          </w:p>
        </w:tc>
        <w:tc>
          <w:tcPr>
            <w:tcW w:w="739" w:type="pct"/>
          </w:tcPr>
          <w:p w14:paraId="59BD8F67" w14:textId="77777777" w:rsidR="00765237" w:rsidRPr="000B5813" w:rsidRDefault="00765237" w:rsidP="00765237">
            <w:pPr>
              <w:pStyle w:val="Compact"/>
              <w:jc w:val="right"/>
              <w:rPr>
                <w:color w:val="000000"/>
                <w:sz w:val="20"/>
                <w:szCs w:val="20"/>
              </w:rPr>
            </w:pPr>
            <w:r w:rsidRPr="000B5813">
              <w:rPr>
                <w:color w:val="000000"/>
                <w:sz w:val="20"/>
                <w:szCs w:val="20"/>
              </w:rPr>
              <w:t xml:space="preserve">231 </w:t>
            </w:r>
            <w:proofErr w:type="gramStart"/>
            <w:r w:rsidRPr="000B5813">
              <w:rPr>
                <w:color w:val="000000"/>
                <w:sz w:val="20"/>
                <w:szCs w:val="20"/>
              </w:rPr>
              <w:t>( 10.6</w:t>
            </w:r>
            <w:proofErr w:type="gramEnd"/>
            <w:r w:rsidRPr="000B5813">
              <w:rPr>
                <w:color w:val="000000"/>
                <w:sz w:val="20"/>
                <w:szCs w:val="20"/>
              </w:rPr>
              <w:t>)</w:t>
            </w:r>
          </w:p>
        </w:tc>
        <w:tc>
          <w:tcPr>
            <w:tcW w:w="812" w:type="pct"/>
          </w:tcPr>
          <w:p w14:paraId="583353A2" w14:textId="77777777" w:rsidR="00765237" w:rsidRPr="000B5813" w:rsidRDefault="00765237" w:rsidP="00765237">
            <w:pPr>
              <w:pStyle w:val="Compact"/>
              <w:jc w:val="right"/>
              <w:rPr>
                <w:color w:val="000000"/>
                <w:sz w:val="20"/>
                <w:szCs w:val="20"/>
              </w:rPr>
            </w:pPr>
            <w:r w:rsidRPr="000B5813">
              <w:rPr>
                <w:color w:val="000000"/>
                <w:sz w:val="20"/>
                <w:szCs w:val="20"/>
              </w:rPr>
              <w:t xml:space="preserve">11812 </w:t>
            </w:r>
            <w:proofErr w:type="gramStart"/>
            <w:r w:rsidRPr="000B5813">
              <w:rPr>
                <w:color w:val="000000"/>
                <w:sz w:val="20"/>
                <w:szCs w:val="20"/>
              </w:rPr>
              <w:t>( 13.3</w:t>
            </w:r>
            <w:proofErr w:type="gramEnd"/>
            <w:r w:rsidRPr="000B5813">
              <w:rPr>
                <w:color w:val="000000"/>
                <w:sz w:val="20"/>
                <w:szCs w:val="20"/>
              </w:rPr>
              <w:t>)</w:t>
            </w:r>
          </w:p>
        </w:tc>
        <w:tc>
          <w:tcPr>
            <w:tcW w:w="665" w:type="pct"/>
          </w:tcPr>
          <w:p w14:paraId="441C594C" w14:textId="77777777" w:rsidR="00765237" w:rsidRPr="000B5813" w:rsidRDefault="00765237" w:rsidP="00765237">
            <w:pPr>
              <w:pStyle w:val="Compact"/>
              <w:jc w:val="right"/>
              <w:rPr>
                <w:color w:val="000000"/>
                <w:sz w:val="20"/>
                <w:szCs w:val="20"/>
              </w:rPr>
            </w:pPr>
            <w:r w:rsidRPr="000B5813">
              <w:rPr>
                <w:color w:val="000000"/>
                <w:sz w:val="20"/>
                <w:szCs w:val="20"/>
              </w:rPr>
              <w:t>45 (11.0)</w:t>
            </w:r>
          </w:p>
        </w:tc>
        <w:tc>
          <w:tcPr>
            <w:tcW w:w="719" w:type="pct"/>
          </w:tcPr>
          <w:p w14:paraId="0E9AA496" w14:textId="77777777" w:rsidR="00765237" w:rsidRPr="000B5813" w:rsidRDefault="00765237" w:rsidP="00765237">
            <w:pPr>
              <w:pStyle w:val="Compact"/>
              <w:jc w:val="right"/>
              <w:rPr>
                <w:color w:val="000000"/>
                <w:sz w:val="20"/>
                <w:szCs w:val="20"/>
              </w:rPr>
            </w:pPr>
            <w:r w:rsidRPr="000B5813">
              <w:rPr>
                <w:color w:val="000000"/>
                <w:sz w:val="20"/>
                <w:szCs w:val="20"/>
              </w:rPr>
              <w:t>2460 (13.0)</w:t>
            </w:r>
          </w:p>
        </w:tc>
      </w:tr>
      <w:tr w:rsidR="00765237" w:rsidRPr="000B5813" w14:paraId="679E21D2" w14:textId="77777777" w:rsidTr="00765237">
        <w:tc>
          <w:tcPr>
            <w:tcW w:w="0" w:type="auto"/>
          </w:tcPr>
          <w:p w14:paraId="2CAD89B5" w14:textId="77777777" w:rsidR="00765237" w:rsidRPr="000B5813" w:rsidRDefault="00765237" w:rsidP="007C2015">
            <w:pPr>
              <w:pStyle w:val="Compact"/>
              <w:rPr>
                <w:color w:val="000000"/>
                <w:sz w:val="20"/>
                <w:szCs w:val="20"/>
              </w:rPr>
            </w:pPr>
          </w:p>
        </w:tc>
        <w:tc>
          <w:tcPr>
            <w:tcW w:w="978" w:type="pct"/>
          </w:tcPr>
          <w:p w14:paraId="1888C0EB" w14:textId="77777777" w:rsidR="00765237" w:rsidRPr="000B5813" w:rsidRDefault="00765237" w:rsidP="007C2015">
            <w:pPr>
              <w:pStyle w:val="Compact"/>
              <w:rPr>
                <w:color w:val="000000"/>
                <w:sz w:val="20"/>
                <w:szCs w:val="20"/>
              </w:rPr>
            </w:pPr>
            <w:r w:rsidRPr="000B5813">
              <w:rPr>
                <w:color w:val="000000"/>
                <w:sz w:val="20"/>
                <w:szCs w:val="20"/>
              </w:rPr>
              <w:t>60-&lt;70</w:t>
            </w:r>
          </w:p>
        </w:tc>
        <w:tc>
          <w:tcPr>
            <w:tcW w:w="739" w:type="pct"/>
          </w:tcPr>
          <w:p w14:paraId="515DBAE1" w14:textId="77777777" w:rsidR="00765237" w:rsidRPr="000B5813" w:rsidRDefault="00765237" w:rsidP="00765237">
            <w:pPr>
              <w:pStyle w:val="Compact"/>
              <w:jc w:val="right"/>
              <w:rPr>
                <w:color w:val="000000"/>
                <w:sz w:val="20"/>
                <w:szCs w:val="20"/>
              </w:rPr>
            </w:pPr>
            <w:r w:rsidRPr="000B5813">
              <w:rPr>
                <w:color w:val="000000"/>
                <w:sz w:val="20"/>
                <w:szCs w:val="20"/>
              </w:rPr>
              <w:t xml:space="preserve">609 </w:t>
            </w:r>
            <w:proofErr w:type="gramStart"/>
            <w:r w:rsidRPr="000B5813">
              <w:rPr>
                <w:color w:val="000000"/>
                <w:sz w:val="20"/>
                <w:szCs w:val="20"/>
              </w:rPr>
              <w:t>( 28.0</w:t>
            </w:r>
            <w:proofErr w:type="gramEnd"/>
            <w:r w:rsidRPr="000B5813">
              <w:rPr>
                <w:color w:val="000000"/>
                <w:sz w:val="20"/>
                <w:szCs w:val="20"/>
              </w:rPr>
              <w:t>)</w:t>
            </w:r>
          </w:p>
        </w:tc>
        <w:tc>
          <w:tcPr>
            <w:tcW w:w="812" w:type="pct"/>
          </w:tcPr>
          <w:p w14:paraId="13D73CD5" w14:textId="77777777" w:rsidR="00765237" w:rsidRPr="000B5813" w:rsidRDefault="00765237" w:rsidP="00765237">
            <w:pPr>
              <w:pStyle w:val="Compact"/>
              <w:jc w:val="right"/>
              <w:rPr>
                <w:color w:val="000000"/>
                <w:sz w:val="20"/>
                <w:szCs w:val="20"/>
              </w:rPr>
            </w:pPr>
            <w:r w:rsidRPr="000B5813">
              <w:rPr>
                <w:color w:val="000000"/>
                <w:sz w:val="20"/>
                <w:szCs w:val="20"/>
              </w:rPr>
              <w:t xml:space="preserve">28981 </w:t>
            </w:r>
            <w:proofErr w:type="gramStart"/>
            <w:r w:rsidRPr="000B5813">
              <w:rPr>
                <w:color w:val="000000"/>
                <w:sz w:val="20"/>
                <w:szCs w:val="20"/>
              </w:rPr>
              <w:t>( 32.6</w:t>
            </w:r>
            <w:proofErr w:type="gramEnd"/>
            <w:r w:rsidRPr="000B5813">
              <w:rPr>
                <w:color w:val="000000"/>
                <w:sz w:val="20"/>
                <w:szCs w:val="20"/>
              </w:rPr>
              <w:t>)</w:t>
            </w:r>
          </w:p>
        </w:tc>
        <w:tc>
          <w:tcPr>
            <w:tcW w:w="665" w:type="pct"/>
          </w:tcPr>
          <w:p w14:paraId="43456ADB" w14:textId="77777777" w:rsidR="00765237" w:rsidRPr="000B5813" w:rsidRDefault="00765237" w:rsidP="00765237">
            <w:pPr>
              <w:pStyle w:val="Compact"/>
              <w:jc w:val="right"/>
              <w:rPr>
                <w:color w:val="000000"/>
                <w:sz w:val="20"/>
                <w:szCs w:val="20"/>
              </w:rPr>
            </w:pPr>
            <w:r w:rsidRPr="000B5813">
              <w:rPr>
                <w:color w:val="000000"/>
                <w:sz w:val="20"/>
                <w:szCs w:val="20"/>
              </w:rPr>
              <w:t>112 (27.3)</w:t>
            </w:r>
          </w:p>
        </w:tc>
        <w:tc>
          <w:tcPr>
            <w:tcW w:w="719" w:type="pct"/>
          </w:tcPr>
          <w:p w14:paraId="5921253B" w14:textId="77777777" w:rsidR="00765237" w:rsidRPr="000B5813" w:rsidRDefault="00765237" w:rsidP="00765237">
            <w:pPr>
              <w:pStyle w:val="Compact"/>
              <w:jc w:val="right"/>
              <w:rPr>
                <w:color w:val="000000"/>
                <w:sz w:val="20"/>
                <w:szCs w:val="20"/>
              </w:rPr>
            </w:pPr>
            <w:r w:rsidRPr="000B5813">
              <w:rPr>
                <w:color w:val="000000"/>
                <w:sz w:val="20"/>
                <w:szCs w:val="20"/>
              </w:rPr>
              <w:t>5226 (27.7)</w:t>
            </w:r>
          </w:p>
        </w:tc>
      </w:tr>
      <w:tr w:rsidR="00765237" w:rsidRPr="000B5813" w14:paraId="3D1E899C" w14:textId="77777777" w:rsidTr="00765237">
        <w:tc>
          <w:tcPr>
            <w:tcW w:w="0" w:type="auto"/>
          </w:tcPr>
          <w:p w14:paraId="388469E1" w14:textId="77777777" w:rsidR="00765237" w:rsidRPr="000B5813" w:rsidRDefault="00765237" w:rsidP="007C2015">
            <w:pPr>
              <w:pStyle w:val="Compact"/>
              <w:rPr>
                <w:color w:val="000000"/>
                <w:sz w:val="20"/>
                <w:szCs w:val="20"/>
              </w:rPr>
            </w:pPr>
          </w:p>
        </w:tc>
        <w:tc>
          <w:tcPr>
            <w:tcW w:w="978" w:type="pct"/>
          </w:tcPr>
          <w:p w14:paraId="4ADEA87E" w14:textId="77777777" w:rsidR="00765237" w:rsidRPr="000B5813" w:rsidRDefault="00765237" w:rsidP="007C2015">
            <w:pPr>
              <w:pStyle w:val="Compact"/>
              <w:rPr>
                <w:color w:val="000000"/>
                <w:sz w:val="20"/>
                <w:szCs w:val="20"/>
              </w:rPr>
            </w:pPr>
            <w:r w:rsidRPr="000B5813">
              <w:rPr>
                <w:color w:val="000000"/>
                <w:sz w:val="20"/>
                <w:szCs w:val="20"/>
              </w:rPr>
              <w:t>70-&lt;80</w:t>
            </w:r>
          </w:p>
        </w:tc>
        <w:tc>
          <w:tcPr>
            <w:tcW w:w="739" w:type="pct"/>
          </w:tcPr>
          <w:p w14:paraId="5AF2B5C0" w14:textId="77777777" w:rsidR="00765237" w:rsidRPr="000B5813" w:rsidRDefault="00765237" w:rsidP="00765237">
            <w:pPr>
              <w:pStyle w:val="Compact"/>
              <w:jc w:val="right"/>
              <w:rPr>
                <w:color w:val="000000"/>
                <w:sz w:val="20"/>
                <w:szCs w:val="20"/>
              </w:rPr>
            </w:pPr>
            <w:r w:rsidRPr="000B5813">
              <w:rPr>
                <w:color w:val="000000"/>
                <w:sz w:val="20"/>
                <w:szCs w:val="20"/>
              </w:rPr>
              <w:t xml:space="preserve">776 </w:t>
            </w:r>
            <w:proofErr w:type="gramStart"/>
            <w:r w:rsidRPr="000B5813">
              <w:rPr>
                <w:color w:val="000000"/>
                <w:sz w:val="20"/>
                <w:szCs w:val="20"/>
              </w:rPr>
              <w:t>( 35.7</w:t>
            </w:r>
            <w:proofErr w:type="gramEnd"/>
            <w:r w:rsidRPr="000B5813">
              <w:rPr>
                <w:color w:val="000000"/>
                <w:sz w:val="20"/>
                <w:szCs w:val="20"/>
              </w:rPr>
              <w:t>)</w:t>
            </w:r>
          </w:p>
        </w:tc>
        <w:tc>
          <w:tcPr>
            <w:tcW w:w="812" w:type="pct"/>
          </w:tcPr>
          <w:p w14:paraId="2C3367A2" w14:textId="77777777" w:rsidR="00765237" w:rsidRPr="000B5813" w:rsidRDefault="00765237" w:rsidP="00765237">
            <w:pPr>
              <w:pStyle w:val="Compact"/>
              <w:jc w:val="right"/>
              <w:rPr>
                <w:color w:val="000000"/>
                <w:sz w:val="20"/>
                <w:szCs w:val="20"/>
              </w:rPr>
            </w:pPr>
            <w:r w:rsidRPr="000B5813">
              <w:rPr>
                <w:color w:val="000000"/>
                <w:sz w:val="20"/>
                <w:szCs w:val="20"/>
              </w:rPr>
              <w:t xml:space="preserve">30386 </w:t>
            </w:r>
            <w:proofErr w:type="gramStart"/>
            <w:r w:rsidRPr="000B5813">
              <w:rPr>
                <w:color w:val="000000"/>
                <w:sz w:val="20"/>
                <w:szCs w:val="20"/>
              </w:rPr>
              <w:t>( 34.2</w:t>
            </w:r>
            <w:proofErr w:type="gramEnd"/>
            <w:r w:rsidRPr="000B5813">
              <w:rPr>
                <w:color w:val="000000"/>
                <w:sz w:val="20"/>
                <w:szCs w:val="20"/>
              </w:rPr>
              <w:t>)</w:t>
            </w:r>
          </w:p>
        </w:tc>
        <w:tc>
          <w:tcPr>
            <w:tcW w:w="665" w:type="pct"/>
          </w:tcPr>
          <w:p w14:paraId="4B1B865F" w14:textId="77777777" w:rsidR="00765237" w:rsidRPr="000B5813" w:rsidRDefault="00765237" w:rsidP="00765237">
            <w:pPr>
              <w:pStyle w:val="Compact"/>
              <w:jc w:val="right"/>
              <w:rPr>
                <w:color w:val="000000"/>
                <w:sz w:val="20"/>
                <w:szCs w:val="20"/>
              </w:rPr>
            </w:pPr>
            <w:r w:rsidRPr="000B5813">
              <w:rPr>
                <w:color w:val="000000"/>
                <w:sz w:val="20"/>
                <w:szCs w:val="20"/>
              </w:rPr>
              <w:t>164 (40.0)</w:t>
            </w:r>
          </w:p>
        </w:tc>
        <w:tc>
          <w:tcPr>
            <w:tcW w:w="719" w:type="pct"/>
          </w:tcPr>
          <w:p w14:paraId="79FEC027" w14:textId="77777777" w:rsidR="00765237" w:rsidRPr="000B5813" w:rsidRDefault="00765237" w:rsidP="00765237">
            <w:pPr>
              <w:pStyle w:val="Compact"/>
              <w:jc w:val="right"/>
              <w:rPr>
                <w:color w:val="000000"/>
                <w:sz w:val="20"/>
                <w:szCs w:val="20"/>
              </w:rPr>
            </w:pPr>
            <w:r w:rsidRPr="000B5813">
              <w:rPr>
                <w:color w:val="000000"/>
                <w:sz w:val="20"/>
                <w:szCs w:val="20"/>
              </w:rPr>
              <w:t>7201 (38.2)</w:t>
            </w:r>
          </w:p>
        </w:tc>
      </w:tr>
      <w:tr w:rsidR="00765237" w:rsidRPr="000B5813" w14:paraId="68116CCE" w14:textId="77777777" w:rsidTr="00765237">
        <w:tc>
          <w:tcPr>
            <w:tcW w:w="0" w:type="auto"/>
          </w:tcPr>
          <w:p w14:paraId="5791FFCF" w14:textId="77777777" w:rsidR="00765237" w:rsidRPr="000B5813" w:rsidRDefault="00765237" w:rsidP="007C2015">
            <w:pPr>
              <w:pStyle w:val="Compact"/>
              <w:rPr>
                <w:color w:val="000000"/>
                <w:sz w:val="20"/>
                <w:szCs w:val="20"/>
              </w:rPr>
            </w:pPr>
          </w:p>
        </w:tc>
        <w:tc>
          <w:tcPr>
            <w:tcW w:w="978" w:type="pct"/>
          </w:tcPr>
          <w:p w14:paraId="170F95BF" w14:textId="77777777" w:rsidR="00765237" w:rsidRPr="000B5813" w:rsidRDefault="00765237" w:rsidP="007C2015">
            <w:pPr>
              <w:pStyle w:val="Compact"/>
              <w:rPr>
                <w:color w:val="000000"/>
                <w:sz w:val="20"/>
                <w:szCs w:val="20"/>
              </w:rPr>
            </w:pPr>
            <w:r w:rsidRPr="000B5813">
              <w:rPr>
                <w:color w:val="000000"/>
                <w:sz w:val="20"/>
                <w:szCs w:val="20"/>
              </w:rPr>
              <w:t>80+</w:t>
            </w:r>
          </w:p>
        </w:tc>
        <w:tc>
          <w:tcPr>
            <w:tcW w:w="739" w:type="pct"/>
          </w:tcPr>
          <w:p w14:paraId="4BF0894B" w14:textId="77777777" w:rsidR="00765237" w:rsidRPr="000B5813" w:rsidRDefault="00765237" w:rsidP="00765237">
            <w:pPr>
              <w:pStyle w:val="Compact"/>
              <w:jc w:val="right"/>
              <w:rPr>
                <w:color w:val="000000"/>
                <w:sz w:val="20"/>
                <w:szCs w:val="20"/>
              </w:rPr>
            </w:pPr>
            <w:r w:rsidRPr="000B5813">
              <w:rPr>
                <w:color w:val="000000"/>
                <w:sz w:val="20"/>
                <w:szCs w:val="20"/>
              </w:rPr>
              <w:t xml:space="preserve">453 </w:t>
            </w:r>
            <w:proofErr w:type="gramStart"/>
            <w:r w:rsidRPr="000B5813">
              <w:rPr>
                <w:color w:val="000000"/>
                <w:sz w:val="20"/>
                <w:szCs w:val="20"/>
              </w:rPr>
              <w:t>( 20.8</w:t>
            </w:r>
            <w:proofErr w:type="gramEnd"/>
            <w:r w:rsidRPr="000B5813">
              <w:rPr>
                <w:color w:val="000000"/>
                <w:sz w:val="20"/>
                <w:szCs w:val="20"/>
              </w:rPr>
              <w:t>)</w:t>
            </w:r>
          </w:p>
        </w:tc>
        <w:tc>
          <w:tcPr>
            <w:tcW w:w="812" w:type="pct"/>
          </w:tcPr>
          <w:p w14:paraId="65CFD1F8" w14:textId="77777777" w:rsidR="00765237" w:rsidRPr="000B5813" w:rsidRDefault="00765237" w:rsidP="00765237">
            <w:pPr>
              <w:pStyle w:val="Compact"/>
              <w:jc w:val="right"/>
              <w:rPr>
                <w:color w:val="000000"/>
                <w:sz w:val="20"/>
                <w:szCs w:val="20"/>
              </w:rPr>
            </w:pPr>
            <w:r w:rsidRPr="000B5813">
              <w:rPr>
                <w:color w:val="000000"/>
                <w:sz w:val="20"/>
                <w:szCs w:val="20"/>
              </w:rPr>
              <w:t xml:space="preserve">13006 </w:t>
            </w:r>
            <w:proofErr w:type="gramStart"/>
            <w:r w:rsidRPr="000B5813">
              <w:rPr>
                <w:color w:val="000000"/>
                <w:sz w:val="20"/>
                <w:szCs w:val="20"/>
              </w:rPr>
              <w:t>( 14.6</w:t>
            </w:r>
            <w:proofErr w:type="gramEnd"/>
            <w:r w:rsidRPr="000B5813">
              <w:rPr>
                <w:color w:val="000000"/>
                <w:sz w:val="20"/>
                <w:szCs w:val="20"/>
              </w:rPr>
              <w:t>)</w:t>
            </w:r>
          </w:p>
        </w:tc>
        <w:tc>
          <w:tcPr>
            <w:tcW w:w="665" w:type="pct"/>
          </w:tcPr>
          <w:p w14:paraId="70B6FB1F" w14:textId="77777777" w:rsidR="00765237" w:rsidRPr="000B5813" w:rsidRDefault="00765237" w:rsidP="00765237">
            <w:pPr>
              <w:pStyle w:val="Compact"/>
              <w:jc w:val="right"/>
              <w:rPr>
                <w:color w:val="000000"/>
                <w:sz w:val="20"/>
                <w:szCs w:val="20"/>
              </w:rPr>
            </w:pPr>
            <w:r w:rsidRPr="000B5813">
              <w:rPr>
                <w:color w:val="000000"/>
                <w:sz w:val="20"/>
                <w:szCs w:val="20"/>
              </w:rPr>
              <w:t>80 (19.5)</w:t>
            </w:r>
          </w:p>
        </w:tc>
        <w:tc>
          <w:tcPr>
            <w:tcW w:w="719" w:type="pct"/>
          </w:tcPr>
          <w:p w14:paraId="36CCC0E9" w14:textId="77777777" w:rsidR="00765237" w:rsidRPr="000B5813" w:rsidRDefault="00765237" w:rsidP="00765237">
            <w:pPr>
              <w:pStyle w:val="Compact"/>
              <w:jc w:val="right"/>
              <w:rPr>
                <w:color w:val="000000"/>
                <w:sz w:val="20"/>
                <w:szCs w:val="20"/>
              </w:rPr>
            </w:pPr>
            <w:r w:rsidRPr="000B5813">
              <w:rPr>
                <w:color w:val="000000"/>
                <w:sz w:val="20"/>
                <w:szCs w:val="20"/>
              </w:rPr>
              <w:t>3087 (16.4)</w:t>
            </w:r>
          </w:p>
        </w:tc>
      </w:tr>
      <w:tr w:rsidR="00765237" w:rsidRPr="000B5813" w14:paraId="4489B33F" w14:textId="77777777" w:rsidTr="00765237">
        <w:tc>
          <w:tcPr>
            <w:tcW w:w="0" w:type="auto"/>
          </w:tcPr>
          <w:p w14:paraId="7F880395" w14:textId="77777777" w:rsidR="00765237" w:rsidRPr="000B5813" w:rsidRDefault="00765237" w:rsidP="007C2015">
            <w:pPr>
              <w:pStyle w:val="Compact"/>
              <w:rPr>
                <w:color w:val="000000"/>
                <w:sz w:val="20"/>
                <w:szCs w:val="20"/>
              </w:rPr>
            </w:pPr>
            <w:r w:rsidRPr="000B5813">
              <w:rPr>
                <w:color w:val="000000"/>
                <w:sz w:val="20"/>
                <w:szCs w:val="20"/>
              </w:rPr>
              <w:t>Sex</w:t>
            </w:r>
          </w:p>
        </w:tc>
        <w:tc>
          <w:tcPr>
            <w:tcW w:w="978" w:type="pct"/>
          </w:tcPr>
          <w:p w14:paraId="1FFE68C9" w14:textId="2938005E" w:rsidR="00765237" w:rsidRPr="000B5813" w:rsidRDefault="00765237" w:rsidP="007C2015">
            <w:pPr>
              <w:pStyle w:val="Compact"/>
              <w:rPr>
                <w:color w:val="000000"/>
                <w:sz w:val="20"/>
                <w:szCs w:val="20"/>
              </w:rPr>
            </w:pPr>
            <w:r w:rsidRPr="000B5813">
              <w:rPr>
                <w:color w:val="000000"/>
                <w:sz w:val="20"/>
                <w:szCs w:val="20"/>
              </w:rPr>
              <w:t>Female</w:t>
            </w:r>
          </w:p>
        </w:tc>
        <w:tc>
          <w:tcPr>
            <w:tcW w:w="739" w:type="pct"/>
          </w:tcPr>
          <w:p w14:paraId="7E06B205" w14:textId="77777777" w:rsidR="00765237" w:rsidRPr="000B5813" w:rsidRDefault="00765237" w:rsidP="00765237">
            <w:pPr>
              <w:pStyle w:val="Compact"/>
              <w:jc w:val="right"/>
              <w:rPr>
                <w:color w:val="000000"/>
                <w:sz w:val="20"/>
                <w:szCs w:val="20"/>
              </w:rPr>
            </w:pPr>
            <w:r w:rsidRPr="000B5813">
              <w:rPr>
                <w:color w:val="000000"/>
                <w:sz w:val="20"/>
                <w:szCs w:val="20"/>
              </w:rPr>
              <w:t xml:space="preserve">1062 </w:t>
            </w:r>
            <w:proofErr w:type="gramStart"/>
            <w:r w:rsidRPr="000B5813">
              <w:rPr>
                <w:color w:val="000000"/>
                <w:sz w:val="20"/>
                <w:szCs w:val="20"/>
              </w:rPr>
              <w:t>( 48.9</w:t>
            </w:r>
            <w:proofErr w:type="gramEnd"/>
            <w:r w:rsidRPr="000B5813">
              <w:rPr>
                <w:color w:val="000000"/>
                <w:sz w:val="20"/>
                <w:szCs w:val="20"/>
              </w:rPr>
              <w:t>)</w:t>
            </w:r>
          </w:p>
        </w:tc>
        <w:tc>
          <w:tcPr>
            <w:tcW w:w="812" w:type="pct"/>
          </w:tcPr>
          <w:p w14:paraId="61E86333" w14:textId="77777777" w:rsidR="00765237" w:rsidRPr="000B5813" w:rsidRDefault="00765237" w:rsidP="00765237">
            <w:pPr>
              <w:pStyle w:val="Compact"/>
              <w:jc w:val="right"/>
              <w:rPr>
                <w:color w:val="000000"/>
                <w:sz w:val="20"/>
                <w:szCs w:val="20"/>
              </w:rPr>
            </w:pPr>
            <w:r w:rsidRPr="000B5813">
              <w:rPr>
                <w:color w:val="000000"/>
                <w:sz w:val="20"/>
                <w:szCs w:val="20"/>
              </w:rPr>
              <w:t xml:space="preserve">50151 </w:t>
            </w:r>
            <w:proofErr w:type="gramStart"/>
            <w:r w:rsidRPr="000B5813">
              <w:rPr>
                <w:color w:val="000000"/>
                <w:sz w:val="20"/>
                <w:szCs w:val="20"/>
              </w:rPr>
              <w:t>( 56.5</w:t>
            </w:r>
            <w:proofErr w:type="gramEnd"/>
            <w:r w:rsidRPr="000B5813">
              <w:rPr>
                <w:color w:val="000000"/>
                <w:sz w:val="20"/>
                <w:szCs w:val="20"/>
              </w:rPr>
              <w:t>)</w:t>
            </w:r>
          </w:p>
        </w:tc>
        <w:tc>
          <w:tcPr>
            <w:tcW w:w="665" w:type="pct"/>
          </w:tcPr>
          <w:p w14:paraId="2B327F42" w14:textId="77777777" w:rsidR="00765237" w:rsidRPr="000B5813" w:rsidRDefault="00765237" w:rsidP="00765237">
            <w:pPr>
              <w:pStyle w:val="Compact"/>
              <w:jc w:val="right"/>
              <w:rPr>
                <w:color w:val="000000"/>
                <w:sz w:val="20"/>
                <w:szCs w:val="20"/>
              </w:rPr>
            </w:pPr>
            <w:r w:rsidRPr="000B5813">
              <w:rPr>
                <w:color w:val="000000"/>
                <w:sz w:val="20"/>
                <w:szCs w:val="20"/>
              </w:rPr>
              <w:t>209 (51.0)</w:t>
            </w:r>
          </w:p>
        </w:tc>
        <w:tc>
          <w:tcPr>
            <w:tcW w:w="719" w:type="pct"/>
          </w:tcPr>
          <w:p w14:paraId="4B48D7C0" w14:textId="77777777" w:rsidR="00765237" w:rsidRPr="000B5813" w:rsidRDefault="00765237" w:rsidP="00765237">
            <w:pPr>
              <w:pStyle w:val="Compact"/>
              <w:jc w:val="right"/>
              <w:rPr>
                <w:color w:val="000000"/>
                <w:sz w:val="20"/>
                <w:szCs w:val="20"/>
              </w:rPr>
            </w:pPr>
            <w:r w:rsidRPr="000B5813">
              <w:rPr>
                <w:color w:val="000000"/>
                <w:sz w:val="20"/>
                <w:szCs w:val="20"/>
              </w:rPr>
              <w:t>10915 (57.9)</w:t>
            </w:r>
          </w:p>
        </w:tc>
      </w:tr>
      <w:tr w:rsidR="00765237" w:rsidRPr="000B5813" w14:paraId="3EF1B9B3" w14:textId="77777777" w:rsidTr="00765237">
        <w:tc>
          <w:tcPr>
            <w:tcW w:w="0" w:type="auto"/>
          </w:tcPr>
          <w:p w14:paraId="71AE5133" w14:textId="77777777" w:rsidR="00765237" w:rsidRPr="000B5813" w:rsidRDefault="00765237" w:rsidP="007C2015">
            <w:pPr>
              <w:pStyle w:val="Compact"/>
              <w:rPr>
                <w:color w:val="000000"/>
                <w:sz w:val="20"/>
                <w:szCs w:val="20"/>
              </w:rPr>
            </w:pPr>
          </w:p>
        </w:tc>
        <w:tc>
          <w:tcPr>
            <w:tcW w:w="978" w:type="pct"/>
          </w:tcPr>
          <w:p w14:paraId="476DFF26" w14:textId="3264819F" w:rsidR="00765237" w:rsidRPr="000B5813" w:rsidRDefault="00765237" w:rsidP="007C2015">
            <w:pPr>
              <w:pStyle w:val="Compact"/>
              <w:rPr>
                <w:color w:val="000000"/>
                <w:sz w:val="20"/>
                <w:szCs w:val="20"/>
              </w:rPr>
            </w:pPr>
            <w:r w:rsidRPr="000B5813">
              <w:rPr>
                <w:color w:val="000000"/>
                <w:sz w:val="20"/>
                <w:szCs w:val="20"/>
              </w:rPr>
              <w:t>Male</w:t>
            </w:r>
          </w:p>
        </w:tc>
        <w:tc>
          <w:tcPr>
            <w:tcW w:w="739" w:type="pct"/>
          </w:tcPr>
          <w:p w14:paraId="61E224C0" w14:textId="77777777" w:rsidR="00765237" w:rsidRPr="000B5813" w:rsidRDefault="00765237" w:rsidP="00765237">
            <w:pPr>
              <w:pStyle w:val="Compact"/>
              <w:jc w:val="right"/>
              <w:rPr>
                <w:color w:val="000000"/>
                <w:sz w:val="20"/>
                <w:szCs w:val="20"/>
              </w:rPr>
            </w:pPr>
            <w:r w:rsidRPr="000B5813">
              <w:rPr>
                <w:color w:val="000000"/>
                <w:sz w:val="20"/>
                <w:szCs w:val="20"/>
              </w:rPr>
              <w:t xml:space="preserve">1111 </w:t>
            </w:r>
            <w:proofErr w:type="gramStart"/>
            <w:r w:rsidRPr="000B5813">
              <w:rPr>
                <w:color w:val="000000"/>
                <w:sz w:val="20"/>
                <w:szCs w:val="20"/>
              </w:rPr>
              <w:t>( 51.1</w:t>
            </w:r>
            <w:proofErr w:type="gramEnd"/>
            <w:r w:rsidRPr="000B5813">
              <w:rPr>
                <w:color w:val="000000"/>
                <w:sz w:val="20"/>
                <w:szCs w:val="20"/>
              </w:rPr>
              <w:t>)</w:t>
            </w:r>
          </w:p>
        </w:tc>
        <w:tc>
          <w:tcPr>
            <w:tcW w:w="812" w:type="pct"/>
          </w:tcPr>
          <w:p w14:paraId="3BA8D2AF" w14:textId="77777777" w:rsidR="00765237" w:rsidRPr="000B5813" w:rsidRDefault="00765237" w:rsidP="00765237">
            <w:pPr>
              <w:pStyle w:val="Compact"/>
              <w:jc w:val="right"/>
              <w:rPr>
                <w:color w:val="000000"/>
                <w:sz w:val="20"/>
                <w:szCs w:val="20"/>
              </w:rPr>
            </w:pPr>
            <w:r w:rsidRPr="000B5813">
              <w:rPr>
                <w:color w:val="000000"/>
                <w:sz w:val="20"/>
                <w:szCs w:val="20"/>
              </w:rPr>
              <w:t xml:space="preserve">38679 </w:t>
            </w:r>
            <w:proofErr w:type="gramStart"/>
            <w:r w:rsidRPr="000B5813">
              <w:rPr>
                <w:color w:val="000000"/>
                <w:sz w:val="20"/>
                <w:szCs w:val="20"/>
              </w:rPr>
              <w:t>( 43.5</w:t>
            </w:r>
            <w:proofErr w:type="gramEnd"/>
            <w:r w:rsidRPr="000B5813">
              <w:rPr>
                <w:color w:val="000000"/>
                <w:sz w:val="20"/>
                <w:szCs w:val="20"/>
              </w:rPr>
              <w:t>)</w:t>
            </w:r>
          </w:p>
        </w:tc>
        <w:tc>
          <w:tcPr>
            <w:tcW w:w="665" w:type="pct"/>
          </w:tcPr>
          <w:p w14:paraId="56A763DB" w14:textId="77777777" w:rsidR="00765237" w:rsidRPr="000B5813" w:rsidRDefault="00765237" w:rsidP="00765237">
            <w:pPr>
              <w:pStyle w:val="Compact"/>
              <w:jc w:val="right"/>
              <w:rPr>
                <w:color w:val="000000"/>
                <w:sz w:val="20"/>
                <w:szCs w:val="20"/>
              </w:rPr>
            </w:pPr>
            <w:r w:rsidRPr="000B5813">
              <w:rPr>
                <w:color w:val="000000"/>
                <w:sz w:val="20"/>
                <w:szCs w:val="20"/>
              </w:rPr>
              <w:t>201 (49.0)</w:t>
            </w:r>
          </w:p>
        </w:tc>
        <w:tc>
          <w:tcPr>
            <w:tcW w:w="719" w:type="pct"/>
          </w:tcPr>
          <w:p w14:paraId="6EAEB20E" w14:textId="77777777" w:rsidR="00765237" w:rsidRPr="000B5813" w:rsidRDefault="00765237" w:rsidP="00765237">
            <w:pPr>
              <w:pStyle w:val="Compact"/>
              <w:jc w:val="right"/>
              <w:rPr>
                <w:color w:val="000000"/>
                <w:sz w:val="20"/>
                <w:szCs w:val="20"/>
              </w:rPr>
            </w:pPr>
            <w:r w:rsidRPr="000B5813">
              <w:rPr>
                <w:color w:val="000000"/>
                <w:sz w:val="20"/>
                <w:szCs w:val="20"/>
              </w:rPr>
              <w:t>7939 (42.1)</w:t>
            </w:r>
          </w:p>
        </w:tc>
      </w:tr>
      <w:tr w:rsidR="00765237" w:rsidRPr="000B5813" w14:paraId="114A3259" w14:textId="77777777" w:rsidTr="00765237">
        <w:tc>
          <w:tcPr>
            <w:tcW w:w="0" w:type="auto"/>
          </w:tcPr>
          <w:p w14:paraId="5A6DD02F" w14:textId="77777777" w:rsidR="00765237" w:rsidRPr="000B5813" w:rsidRDefault="00765237" w:rsidP="007C2015">
            <w:pPr>
              <w:pStyle w:val="Compact"/>
              <w:rPr>
                <w:color w:val="000000"/>
                <w:sz w:val="20"/>
                <w:szCs w:val="20"/>
              </w:rPr>
            </w:pPr>
            <w:r w:rsidRPr="000B5813">
              <w:rPr>
                <w:color w:val="000000"/>
                <w:sz w:val="20"/>
                <w:szCs w:val="20"/>
              </w:rPr>
              <w:t>BMI</w:t>
            </w:r>
          </w:p>
        </w:tc>
        <w:tc>
          <w:tcPr>
            <w:tcW w:w="978" w:type="pct"/>
          </w:tcPr>
          <w:p w14:paraId="41D871D7" w14:textId="22C2FF59" w:rsidR="00765237" w:rsidRPr="000B5813" w:rsidRDefault="00765237" w:rsidP="007C2015">
            <w:pPr>
              <w:pStyle w:val="Compact"/>
              <w:rPr>
                <w:color w:val="000000"/>
                <w:sz w:val="20"/>
                <w:szCs w:val="20"/>
              </w:rPr>
            </w:pPr>
            <w:r w:rsidRPr="000B5813">
              <w:rPr>
                <w:color w:val="000000"/>
                <w:sz w:val="20"/>
                <w:szCs w:val="20"/>
              </w:rPr>
              <w:t>Under/normal weight</w:t>
            </w:r>
          </w:p>
        </w:tc>
        <w:tc>
          <w:tcPr>
            <w:tcW w:w="739" w:type="pct"/>
          </w:tcPr>
          <w:p w14:paraId="27942BFC" w14:textId="77777777" w:rsidR="00765237" w:rsidRPr="000B5813" w:rsidRDefault="00765237" w:rsidP="00765237">
            <w:pPr>
              <w:pStyle w:val="Compact"/>
              <w:jc w:val="right"/>
              <w:rPr>
                <w:color w:val="000000"/>
                <w:sz w:val="20"/>
                <w:szCs w:val="20"/>
              </w:rPr>
            </w:pPr>
            <w:r w:rsidRPr="000B5813">
              <w:rPr>
                <w:color w:val="000000"/>
                <w:sz w:val="20"/>
                <w:szCs w:val="20"/>
              </w:rPr>
              <w:t xml:space="preserve">487 </w:t>
            </w:r>
            <w:proofErr w:type="gramStart"/>
            <w:r w:rsidRPr="000B5813">
              <w:rPr>
                <w:color w:val="000000"/>
                <w:sz w:val="20"/>
                <w:szCs w:val="20"/>
              </w:rPr>
              <w:t>( 22.4</w:t>
            </w:r>
            <w:proofErr w:type="gramEnd"/>
            <w:r w:rsidRPr="000B5813">
              <w:rPr>
                <w:color w:val="000000"/>
                <w:sz w:val="20"/>
                <w:szCs w:val="20"/>
              </w:rPr>
              <w:t>)</w:t>
            </w:r>
          </w:p>
        </w:tc>
        <w:tc>
          <w:tcPr>
            <w:tcW w:w="812" w:type="pct"/>
          </w:tcPr>
          <w:p w14:paraId="7A682514" w14:textId="77777777" w:rsidR="00765237" w:rsidRPr="000B5813" w:rsidRDefault="00765237" w:rsidP="00765237">
            <w:pPr>
              <w:pStyle w:val="Compact"/>
              <w:jc w:val="right"/>
              <w:rPr>
                <w:color w:val="000000"/>
                <w:sz w:val="20"/>
                <w:szCs w:val="20"/>
              </w:rPr>
            </w:pPr>
            <w:r w:rsidRPr="000B5813">
              <w:rPr>
                <w:color w:val="000000"/>
                <w:sz w:val="20"/>
                <w:szCs w:val="20"/>
              </w:rPr>
              <w:t xml:space="preserve">29431 </w:t>
            </w:r>
            <w:proofErr w:type="gramStart"/>
            <w:r w:rsidRPr="000B5813">
              <w:rPr>
                <w:color w:val="000000"/>
                <w:sz w:val="20"/>
                <w:szCs w:val="20"/>
              </w:rPr>
              <w:t>( 33.1</w:t>
            </w:r>
            <w:proofErr w:type="gramEnd"/>
            <w:r w:rsidRPr="000B5813">
              <w:rPr>
                <w:color w:val="000000"/>
                <w:sz w:val="20"/>
                <w:szCs w:val="20"/>
              </w:rPr>
              <w:t>)</w:t>
            </w:r>
          </w:p>
        </w:tc>
        <w:tc>
          <w:tcPr>
            <w:tcW w:w="665" w:type="pct"/>
          </w:tcPr>
          <w:p w14:paraId="08637BDC" w14:textId="77777777" w:rsidR="00765237" w:rsidRPr="000B5813" w:rsidRDefault="00765237" w:rsidP="00765237">
            <w:pPr>
              <w:pStyle w:val="Compact"/>
              <w:jc w:val="right"/>
              <w:rPr>
                <w:color w:val="000000"/>
                <w:sz w:val="20"/>
                <w:szCs w:val="20"/>
              </w:rPr>
            </w:pPr>
            <w:r w:rsidRPr="000B5813">
              <w:rPr>
                <w:color w:val="000000"/>
                <w:sz w:val="20"/>
                <w:szCs w:val="20"/>
              </w:rPr>
              <w:t>101 (24.6)</w:t>
            </w:r>
          </w:p>
        </w:tc>
        <w:tc>
          <w:tcPr>
            <w:tcW w:w="719" w:type="pct"/>
          </w:tcPr>
          <w:p w14:paraId="6B9369AE" w14:textId="77777777" w:rsidR="00765237" w:rsidRPr="000B5813" w:rsidRDefault="00765237" w:rsidP="00765237">
            <w:pPr>
              <w:pStyle w:val="Compact"/>
              <w:jc w:val="right"/>
              <w:rPr>
                <w:color w:val="000000"/>
                <w:sz w:val="20"/>
                <w:szCs w:val="20"/>
              </w:rPr>
            </w:pPr>
            <w:r w:rsidRPr="000B5813">
              <w:rPr>
                <w:color w:val="000000"/>
                <w:sz w:val="20"/>
                <w:szCs w:val="20"/>
              </w:rPr>
              <w:t>6847 (36.3)</w:t>
            </w:r>
          </w:p>
        </w:tc>
      </w:tr>
      <w:tr w:rsidR="00765237" w:rsidRPr="000B5813" w14:paraId="033607BC" w14:textId="77777777" w:rsidTr="00765237">
        <w:tc>
          <w:tcPr>
            <w:tcW w:w="0" w:type="auto"/>
          </w:tcPr>
          <w:p w14:paraId="667A36CE" w14:textId="77777777" w:rsidR="00765237" w:rsidRPr="000B5813" w:rsidRDefault="00765237" w:rsidP="007C2015">
            <w:pPr>
              <w:pStyle w:val="Compact"/>
              <w:rPr>
                <w:color w:val="000000"/>
                <w:sz w:val="20"/>
                <w:szCs w:val="20"/>
              </w:rPr>
            </w:pPr>
          </w:p>
        </w:tc>
        <w:tc>
          <w:tcPr>
            <w:tcW w:w="978" w:type="pct"/>
          </w:tcPr>
          <w:p w14:paraId="799558B2" w14:textId="118F1F22" w:rsidR="00765237" w:rsidRPr="000B5813" w:rsidRDefault="00765237" w:rsidP="007C2015">
            <w:pPr>
              <w:pStyle w:val="Compact"/>
              <w:rPr>
                <w:color w:val="000000"/>
                <w:sz w:val="20"/>
                <w:szCs w:val="20"/>
              </w:rPr>
            </w:pPr>
            <w:r w:rsidRPr="000B5813">
              <w:rPr>
                <w:color w:val="000000"/>
                <w:sz w:val="20"/>
                <w:szCs w:val="20"/>
              </w:rPr>
              <w:t>Overweight</w:t>
            </w:r>
          </w:p>
        </w:tc>
        <w:tc>
          <w:tcPr>
            <w:tcW w:w="739" w:type="pct"/>
          </w:tcPr>
          <w:p w14:paraId="71789906" w14:textId="77777777" w:rsidR="00765237" w:rsidRPr="000B5813" w:rsidRDefault="00765237" w:rsidP="00765237">
            <w:pPr>
              <w:pStyle w:val="Compact"/>
              <w:jc w:val="right"/>
              <w:rPr>
                <w:color w:val="000000"/>
                <w:sz w:val="20"/>
                <w:szCs w:val="20"/>
              </w:rPr>
            </w:pPr>
            <w:r w:rsidRPr="000B5813">
              <w:rPr>
                <w:color w:val="000000"/>
                <w:sz w:val="20"/>
                <w:szCs w:val="20"/>
              </w:rPr>
              <w:t xml:space="preserve">863 </w:t>
            </w:r>
            <w:proofErr w:type="gramStart"/>
            <w:r w:rsidRPr="000B5813">
              <w:rPr>
                <w:color w:val="000000"/>
                <w:sz w:val="20"/>
                <w:szCs w:val="20"/>
              </w:rPr>
              <w:t>( 39.7</w:t>
            </w:r>
            <w:proofErr w:type="gramEnd"/>
            <w:r w:rsidRPr="000B5813">
              <w:rPr>
                <w:color w:val="000000"/>
                <w:sz w:val="20"/>
                <w:szCs w:val="20"/>
              </w:rPr>
              <w:t>)</w:t>
            </w:r>
          </w:p>
        </w:tc>
        <w:tc>
          <w:tcPr>
            <w:tcW w:w="812" w:type="pct"/>
          </w:tcPr>
          <w:p w14:paraId="3A937ED4" w14:textId="77777777" w:rsidR="00765237" w:rsidRPr="000B5813" w:rsidRDefault="00765237" w:rsidP="00765237">
            <w:pPr>
              <w:pStyle w:val="Compact"/>
              <w:jc w:val="right"/>
              <w:rPr>
                <w:color w:val="000000"/>
                <w:sz w:val="20"/>
                <w:szCs w:val="20"/>
              </w:rPr>
            </w:pPr>
            <w:r w:rsidRPr="000B5813">
              <w:rPr>
                <w:color w:val="000000"/>
                <w:sz w:val="20"/>
                <w:szCs w:val="20"/>
              </w:rPr>
              <w:t xml:space="preserve">38143 </w:t>
            </w:r>
            <w:proofErr w:type="gramStart"/>
            <w:r w:rsidRPr="000B5813">
              <w:rPr>
                <w:color w:val="000000"/>
                <w:sz w:val="20"/>
                <w:szCs w:val="20"/>
              </w:rPr>
              <w:t>( 42.9</w:t>
            </w:r>
            <w:proofErr w:type="gramEnd"/>
            <w:r w:rsidRPr="000B5813">
              <w:rPr>
                <w:color w:val="000000"/>
                <w:sz w:val="20"/>
                <w:szCs w:val="20"/>
              </w:rPr>
              <w:t>)</w:t>
            </w:r>
          </w:p>
        </w:tc>
        <w:tc>
          <w:tcPr>
            <w:tcW w:w="665" w:type="pct"/>
          </w:tcPr>
          <w:p w14:paraId="47756A66" w14:textId="77777777" w:rsidR="00765237" w:rsidRPr="000B5813" w:rsidRDefault="00765237" w:rsidP="00765237">
            <w:pPr>
              <w:pStyle w:val="Compact"/>
              <w:jc w:val="right"/>
              <w:rPr>
                <w:color w:val="000000"/>
                <w:sz w:val="20"/>
                <w:szCs w:val="20"/>
              </w:rPr>
            </w:pPr>
            <w:r w:rsidRPr="000B5813">
              <w:rPr>
                <w:color w:val="000000"/>
                <w:sz w:val="20"/>
                <w:szCs w:val="20"/>
              </w:rPr>
              <w:t>152 (37.1)</w:t>
            </w:r>
          </w:p>
        </w:tc>
        <w:tc>
          <w:tcPr>
            <w:tcW w:w="719" w:type="pct"/>
          </w:tcPr>
          <w:p w14:paraId="7E7FADA8" w14:textId="77777777" w:rsidR="00765237" w:rsidRPr="000B5813" w:rsidRDefault="00765237" w:rsidP="00765237">
            <w:pPr>
              <w:pStyle w:val="Compact"/>
              <w:jc w:val="right"/>
              <w:rPr>
                <w:color w:val="000000"/>
                <w:sz w:val="20"/>
                <w:szCs w:val="20"/>
              </w:rPr>
            </w:pPr>
            <w:r w:rsidRPr="000B5813">
              <w:rPr>
                <w:color w:val="000000"/>
                <w:sz w:val="20"/>
                <w:szCs w:val="20"/>
              </w:rPr>
              <w:t>7416 (39.3)</w:t>
            </w:r>
          </w:p>
        </w:tc>
      </w:tr>
      <w:tr w:rsidR="00765237" w:rsidRPr="000B5813" w14:paraId="4E7BBD3A" w14:textId="77777777" w:rsidTr="00765237">
        <w:tc>
          <w:tcPr>
            <w:tcW w:w="0" w:type="auto"/>
          </w:tcPr>
          <w:p w14:paraId="4AD37AF5" w14:textId="77777777" w:rsidR="00765237" w:rsidRPr="000B5813" w:rsidRDefault="00765237" w:rsidP="007C2015">
            <w:pPr>
              <w:pStyle w:val="Compact"/>
              <w:rPr>
                <w:color w:val="000000"/>
                <w:sz w:val="20"/>
                <w:szCs w:val="20"/>
              </w:rPr>
            </w:pPr>
          </w:p>
        </w:tc>
        <w:tc>
          <w:tcPr>
            <w:tcW w:w="978" w:type="pct"/>
          </w:tcPr>
          <w:p w14:paraId="2E20E3AC" w14:textId="2699779B" w:rsidR="00765237" w:rsidRPr="000B5813" w:rsidRDefault="00765237" w:rsidP="007C2015">
            <w:pPr>
              <w:pStyle w:val="Compact"/>
              <w:rPr>
                <w:color w:val="000000"/>
                <w:sz w:val="20"/>
                <w:szCs w:val="20"/>
              </w:rPr>
            </w:pPr>
            <w:r w:rsidRPr="000B5813">
              <w:rPr>
                <w:color w:val="000000"/>
                <w:sz w:val="20"/>
                <w:szCs w:val="20"/>
              </w:rPr>
              <w:t>Class I obesity</w:t>
            </w:r>
          </w:p>
        </w:tc>
        <w:tc>
          <w:tcPr>
            <w:tcW w:w="739" w:type="pct"/>
          </w:tcPr>
          <w:p w14:paraId="3ECAFFB9" w14:textId="77777777" w:rsidR="00765237" w:rsidRPr="000B5813" w:rsidRDefault="00765237" w:rsidP="00765237">
            <w:pPr>
              <w:pStyle w:val="Compact"/>
              <w:jc w:val="right"/>
              <w:rPr>
                <w:color w:val="000000"/>
                <w:sz w:val="20"/>
                <w:szCs w:val="20"/>
              </w:rPr>
            </w:pPr>
            <w:r w:rsidRPr="000B5813">
              <w:rPr>
                <w:color w:val="000000"/>
                <w:sz w:val="20"/>
                <w:szCs w:val="20"/>
              </w:rPr>
              <w:t xml:space="preserve">531 </w:t>
            </w:r>
            <w:proofErr w:type="gramStart"/>
            <w:r w:rsidRPr="000B5813">
              <w:rPr>
                <w:color w:val="000000"/>
                <w:sz w:val="20"/>
                <w:szCs w:val="20"/>
              </w:rPr>
              <w:t>( 24.4</w:t>
            </w:r>
            <w:proofErr w:type="gramEnd"/>
            <w:r w:rsidRPr="000B5813">
              <w:rPr>
                <w:color w:val="000000"/>
                <w:sz w:val="20"/>
                <w:szCs w:val="20"/>
              </w:rPr>
              <w:t>)</w:t>
            </w:r>
          </w:p>
        </w:tc>
        <w:tc>
          <w:tcPr>
            <w:tcW w:w="812" w:type="pct"/>
          </w:tcPr>
          <w:p w14:paraId="0CC12591" w14:textId="77777777" w:rsidR="00765237" w:rsidRPr="000B5813" w:rsidRDefault="00765237" w:rsidP="00765237">
            <w:pPr>
              <w:pStyle w:val="Compact"/>
              <w:jc w:val="right"/>
              <w:rPr>
                <w:color w:val="000000"/>
                <w:sz w:val="20"/>
                <w:szCs w:val="20"/>
              </w:rPr>
            </w:pPr>
            <w:r w:rsidRPr="000B5813">
              <w:rPr>
                <w:color w:val="000000"/>
                <w:sz w:val="20"/>
                <w:szCs w:val="20"/>
              </w:rPr>
              <w:t xml:space="preserve">16224 </w:t>
            </w:r>
            <w:proofErr w:type="gramStart"/>
            <w:r w:rsidRPr="000B5813">
              <w:rPr>
                <w:color w:val="000000"/>
                <w:sz w:val="20"/>
                <w:szCs w:val="20"/>
              </w:rPr>
              <w:t>( 18.3</w:t>
            </w:r>
            <w:proofErr w:type="gramEnd"/>
            <w:r w:rsidRPr="000B5813">
              <w:rPr>
                <w:color w:val="000000"/>
                <w:sz w:val="20"/>
                <w:szCs w:val="20"/>
              </w:rPr>
              <w:t>)</w:t>
            </w:r>
          </w:p>
        </w:tc>
        <w:tc>
          <w:tcPr>
            <w:tcW w:w="665" w:type="pct"/>
          </w:tcPr>
          <w:p w14:paraId="68CAD87B" w14:textId="77777777" w:rsidR="00765237" w:rsidRPr="000B5813" w:rsidRDefault="00765237" w:rsidP="00765237">
            <w:pPr>
              <w:pStyle w:val="Compact"/>
              <w:jc w:val="right"/>
              <w:rPr>
                <w:color w:val="000000"/>
                <w:sz w:val="20"/>
                <w:szCs w:val="20"/>
              </w:rPr>
            </w:pPr>
            <w:r w:rsidRPr="000B5813">
              <w:rPr>
                <w:color w:val="000000"/>
                <w:sz w:val="20"/>
                <w:szCs w:val="20"/>
              </w:rPr>
              <w:t>86 (21.0)</w:t>
            </w:r>
          </w:p>
        </w:tc>
        <w:tc>
          <w:tcPr>
            <w:tcW w:w="719" w:type="pct"/>
          </w:tcPr>
          <w:p w14:paraId="48DFD859" w14:textId="77777777" w:rsidR="00765237" w:rsidRPr="000B5813" w:rsidRDefault="00765237" w:rsidP="00765237">
            <w:pPr>
              <w:pStyle w:val="Compact"/>
              <w:jc w:val="right"/>
              <w:rPr>
                <w:color w:val="000000"/>
                <w:sz w:val="20"/>
                <w:szCs w:val="20"/>
              </w:rPr>
            </w:pPr>
            <w:r w:rsidRPr="000B5813">
              <w:rPr>
                <w:color w:val="000000"/>
                <w:sz w:val="20"/>
                <w:szCs w:val="20"/>
              </w:rPr>
              <w:t>3347 (17.8)</w:t>
            </w:r>
          </w:p>
        </w:tc>
      </w:tr>
      <w:tr w:rsidR="00765237" w:rsidRPr="000B5813" w14:paraId="0673EB05" w14:textId="77777777" w:rsidTr="00765237">
        <w:tc>
          <w:tcPr>
            <w:tcW w:w="0" w:type="auto"/>
          </w:tcPr>
          <w:p w14:paraId="7C172D50" w14:textId="77777777" w:rsidR="00765237" w:rsidRPr="000B5813" w:rsidRDefault="00765237" w:rsidP="007C2015">
            <w:pPr>
              <w:pStyle w:val="Compact"/>
              <w:rPr>
                <w:color w:val="000000"/>
                <w:sz w:val="20"/>
                <w:szCs w:val="20"/>
              </w:rPr>
            </w:pPr>
          </w:p>
        </w:tc>
        <w:tc>
          <w:tcPr>
            <w:tcW w:w="978" w:type="pct"/>
          </w:tcPr>
          <w:p w14:paraId="20324EB3" w14:textId="23586514" w:rsidR="00765237" w:rsidRPr="000B5813" w:rsidRDefault="00765237" w:rsidP="007C2015">
            <w:pPr>
              <w:pStyle w:val="Compact"/>
              <w:rPr>
                <w:color w:val="000000"/>
                <w:sz w:val="20"/>
                <w:szCs w:val="20"/>
              </w:rPr>
            </w:pPr>
            <w:r w:rsidRPr="000B5813">
              <w:rPr>
                <w:color w:val="000000"/>
                <w:sz w:val="20"/>
                <w:szCs w:val="20"/>
              </w:rPr>
              <w:t>Class II-III obesity</w:t>
            </w:r>
          </w:p>
        </w:tc>
        <w:tc>
          <w:tcPr>
            <w:tcW w:w="739" w:type="pct"/>
          </w:tcPr>
          <w:p w14:paraId="4501ED96" w14:textId="77777777" w:rsidR="00765237" w:rsidRPr="000B5813" w:rsidRDefault="00765237" w:rsidP="00765237">
            <w:pPr>
              <w:pStyle w:val="Compact"/>
              <w:jc w:val="right"/>
              <w:rPr>
                <w:color w:val="000000"/>
                <w:sz w:val="20"/>
                <w:szCs w:val="20"/>
              </w:rPr>
            </w:pPr>
            <w:r w:rsidRPr="000B5813">
              <w:rPr>
                <w:color w:val="000000"/>
                <w:sz w:val="20"/>
                <w:szCs w:val="20"/>
              </w:rPr>
              <w:t xml:space="preserve">292 </w:t>
            </w:r>
            <w:proofErr w:type="gramStart"/>
            <w:r w:rsidRPr="000B5813">
              <w:rPr>
                <w:color w:val="000000"/>
                <w:sz w:val="20"/>
                <w:szCs w:val="20"/>
              </w:rPr>
              <w:t>( 13.4</w:t>
            </w:r>
            <w:proofErr w:type="gramEnd"/>
            <w:r w:rsidRPr="000B5813">
              <w:rPr>
                <w:color w:val="000000"/>
                <w:sz w:val="20"/>
                <w:szCs w:val="20"/>
              </w:rPr>
              <w:t>)</w:t>
            </w:r>
          </w:p>
        </w:tc>
        <w:tc>
          <w:tcPr>
            <w:tcW w:w="812" w:type="pct"/>
          </w:tcPr>
          <w:p w14:paraId="7604750C" w14:textId="77777777" w:rsidR="00765237" w:rsidRPr="000B5813" w:rsidRDefault="00765237" w:rsidP="00765237">
            <w:pPr>
              <w:pStyle w:val="Compact"/>
              <w:jc w:val="right"/>
              <w:rPr>
                <w:color w:val="000000"/>
                <w:sz w:val="20"/>
                <w:szCs w:val="20"/>
              </w:rPr>
            </w:pPr>
            <w:r w:rsidRPr="000B5813">
              <w:rPr>
                <w:color w:val="000000"/>
                <w:sz w:val="20"/>
                <w:szCs w:val="20"/>
              </w:rPr>
              <w:t xml:space="preserve">5032 </w:t>
            </w:r>
            <w:proofErr w:type="gramStart"/>
            <w:r w:rsidRPr="000B5813">
              <w:rPr>
                <w:color w:val="000000"/>
                <w:sz w:val="20"/>
                <w:szCs w:val="20"/>
              </w:rPr>
              <w:t>( 5.7</w:t>
            </w:r>
            <w:proofErr w:type="gramEnd"/>
            <w:r w:rsidRPr="000B5813">
              <w:rPr>
                <w:color w:val="000000"/>
                <w:sz w:val="20"/>
                <w:szCs w:val="20"/>
              </w:rPr>
              <w:t>)</w:t>
            </w:r>
          </w:p>
        </w:tc>
        <w:tc>
          <w:tcPr>
            <w:tcW w:w="665" w:type="pct"/>
          </w:tcPr>
          <w:p w14:paraId="240B3A3B" w14:textId="77777777" w:rsidR="00765237" w:rsidRPr="000B5813" w:rsidRDefault="00765237" w:rsidP="00765237">
            <w:pPr>
              <w:pStyle w:val="Compact"/>
              <w:jc w:val="right"/>
              <w:rPr>
                <w:color w:val="000000"/>
                <w:sz w:val="20"/>
                <w:szCs w:val="20"/>
              </w:rPr>
            </w:pPr>
            <w:r w:rsidRPr="000B5813">
              <w:rPr>
                <w:color w:val="000000"/>
                <w:sz w:val="20"/>
                <w:szCs w:val="20"/>
              </w:rPr>
              <w:t>71 (17.3)</w:t>
            </w:r>
          </w:p>
        </w:tc>
        <w:tc>
          <w:tcPr>
            <w:tcW w:w="719" w:type="pct"/>
          </w:tcPr>
          <w:p w14:paraId="5DC5C06D" w14:textId="77777777" w:rsidR="00765237" w:rsidRPr="000B5813" w:rsidRDefault="00765237" w:rsidP="00765237">
            <w:pPr>
              <w:pStyle w:val="Compact"/>
              <w:jc w:val="right"/>
              <w:rPr>
                <w:color w:val="000000"/>
                <w:sz w:val="20"/>
                <w:szCs w:val="20"/>
              </w:rPr>
            </w:pPr>
            <w:r w:rsidRPr="000B5813">
              <w:rPr>
                <w:color w:val="000000"/>
                <w:sz w:val="20"/>
                <w:szCs w:val="20"/>
              </w:rPr>
              <w:t>1244 (6.6)</w:t>
            </w:r>
          </w:p>
        </w:tc>
      </w:tr>
      <w:tr w:rsidR="00765237" w:rsidRPr="000B5813" w14:paraId="03B98749" w14:textId="77777777" w:rsidTr="00765237">
        <w:tc>
          <w:tcPr>
            <w:tcW w:w="0" w:type="auto"/>
          </w:tcPr>
          <w:p w14:paraId="280BD4FE" w14:textId="77777777" w:rsidR="00765237" w:rsidRPr="000B5813" w:rsidRDefault="00765237" w:rsidP="007C2015">
            <w:pPr>
              <w:pStyle w:val="Compact"/>
              <w:rPr>
                <w:color w:val="000000"/>
                <w:sz w:val="20"/>
                <w:szCs w:val="20"/>
              </w:rPr>
            </w:pPr>
            <w:r w:rsidRPr="000B5813">
              <w:rPr>
                <w:color w:val="000000"/>
                <w:sz w:val="20"/>
                <w:szCs w:val="20"/>
              </w:rPr>
              <w:t>ASA class</w:t>
            </w:r>
          </w:p>
        </w:tc>
        <w:tc>
          <w:tcPr>
            <w:tcW w:w="978" w:type="pct"/>
          </w:tcPr>
          <w:p w14:paraId="68F6D443" w14:textId="77777777" w:rsidR="00765237" w:rsidRPr="000B5813" w:rsidRDefault="00765237" w:rsidP="007C2015">
            <w:pPr>
              <w:pStyle w:val="Compact"/>
              <w:rPr>
                <w:color w:val="000000"/>
                <w:sz w:val="20"/>
                <w:szCs w:val="20"/>
              </w:rPr>
            </w:pPr>
            <w:r w:rsidRPr="000B5813">
              <w:rPr>
                <w:color w:val="000000"/>
                <w:sz w:val="20"/>
                <w:szCs w:val="20"/>
              </w:rPr>
              <w:t>I</w:t>
            </w:r>
          </w:p>
        </w:tc>
        <w:tc>
          <w:tcPr>
            <w:tcW w:w="739" w:type="pct"/>
          </w:tcPr>
          <w:p w14:paraId="6039ECD3" w14:textId="77777777" w:rsidR="00765237" w:rsidRPr="000B5813" w:rsidRDefault="00765237" w:rsidP="00765237">
            <w:pPr>
              <w:pStyle w:val="Compact"/>
              <w:jc w:val="right"/>
              <w:rPr>
                <w:color w:val="000000"/>
                <w:sz w:val="20"/>
                <w:szCs w:val="20"/>
              </w:rPr>
            </w:pPr>
            <w:r w:rsidRPr="000B5813">
              <w:rPr>
                <w:color w:val="000000"/>
                <w:sz w:val="20"/>
                <w:szCs w:val="20"/>
              </w:rPr>
              <w:t xml:space="preserve">302 </w:t>
            </w:r>
            <w:proofErr w:type="gramStart"/>
            <w:r w:rsidRPr="000B5813">
              <w:rPr>
                <w:color w:val="000000"/>
                <w:sz w:val="20"/>
                <w:szCs w:val="20"/>
              </w:rPr>
              <w:t>( 13.9</w:t>
            </w:r>
            <w:proofErr w:type="gramEnd"/>
            <w:r w:rsidRPr="000B5813">
              <w:rPr>
                <w:color w:val="000000"/>
                <w:sz w:val="20"/>
                <w:szCs w:val="20"/>
              </w:rPr>
              <w:t>)</w:t>
            </w:r>
          </w:p>
        </w:tc>
        <w:tc>
          <w:tcPr>
            <w:tcW w:w="812" w:type="pct"/>
          </w:tcPr>
          <w:p w14:paraId="293F365E" w14:textId="77777777" w:rsidR="00765237" w:rsidRPr="000B5813" w:rsidRDefault="00765237" w:rsidP="00765237">
            <w:pPr>
              <w:pStyle w:val="Compact"/>
              <w:jc w:val="right"/>
              <w:rPr>
                <w:color w:val="000000"/>
                <w:sz w:val="20"/>
                <w:szCs w:val="20"/>
              </w:rPr>
            </w:pPr>
            <w:r w:rsidRPr="000B5813">
              <w:rPr>
                <w:color w:val="000000"/>
                <w:sz w:val="20"/>
                <w:szCs w:val="20"/>
              </w:rPr>
              <w:t xml:space="preserve">21087 </w:t>
            </w:r>
            <w:proofErr w:type="gramStart"/>
            <w:r w:rsidRPr="000B5813">
              <w:rPr>
                <w:color w:val="000000"/>
                <w:sz w:val="20"/>
                <w:szCs w:val="20"/>
              </w:rPr>
              <w:t>( 23.7</w:t>
            </w:r>
            <w:proofErr w:type="gramEnd"/>
            <w:r w:rsidRPr="000B5813">
              <w:rPr>
                <w:color w:val="000000"/>
                <w:sz w:val="20"/>
                <w:szCs w:val="20"/>
              </w:rPr>
              <w:t>)</w:t>
            </w:r>
          </w:p>
        </w:tc>
        <w:tc>
          <w:tcPr>
            <w:tcW w:w="665" w:type="pct"/>
          </w:tcPr>
          <w:p w14:paraId="79157435" w14:textId="77777777" w:rsidR="00765237" w:rsidRPr="000B5813" w:rsidRDefault="00765237" w:rsidP="00765237">
            <w:pPr>
              <w:pStyle w:val="Compact"/>
              <w:jc w:val="right"/>
              <w:rPr>
                <w:color w:val="000000"/>
                <w:sz w:val="20"/>
                <w:szCs w:val="20"/>
              </w:rPr>
            </w:pPr>
            <w:r w:rsidRPr="000B5813">
              <w:rPr>
                <w:color w:val="000000"/>
                <w:sz w:val="20"/>
                <w:szCs w:val="20"/>
              </w:rPr>
              <w:t>44 (10.7)</w:t>
            </w:r>
          </w:p>
        </w:tc>
        <w:tc>
          <w:tcPr>
            <w:tcW w:w="719" w:type="pct"/>
          </w:tcPr>
          <w:p w14:paraId="47182112" w14:textId="77777777" w:rsidR="00765237" w:rsidRPr="000B5813" w:rsidRDefault="00765237" w:rsidP="00765237">
            <w:pPr>
              <w:pStyle w:val="Compact"/>
              <w:jc w:val="right"/>
              <w:rPr>
                <w:color w:val="000000"/>
                <w:sz w:val="20"/>
                <w:szCs w:val="20"/>
              </w:rPr>
            </w:pPr>
            <w:r w:rsidRPr="000B5813">
              <w:rPr>
                <w:color w:val="000000"/>
                <w:sz w:val="20"/>
                <w:szCs w:val="20"/>
              </w:rPr>
              <w:t>3942 (20.9)</w:t>
            </w:r>
          </w:p>
        </w:tc>
      </w:tr>
      <w:tr w:rsidR="00765237" w:rsidRPr="000B5813" w14:paraId="73F74EE2" w14:textId="77777777" w:rsidTr="00765237">
        <w:tc>
          <w:tcPr>
            <w:tcW w:w="0" w:type="auto"/>
          </w:tcPr>
          <w:p w14:paraId="7F87A387" w14:textId="77777777" w:rsidR="00765237" w:rsidRPr="000B5813" w:rsidRDefault="00765237" w:rsidP="007C2015">
            <w:pPr>
              <w:pStyle w:val="Compact"/>
              <w:rPr>
                <w:color w:val="000000"/>
                <w:sz w:val="20"/>
                <w:szCs w:val="20"/>
              </w:rPr>
            </w:pPr>
          </w:p>
        </w:tc>
        <w:tc>
          <w:tcPr>
            <w:tcW w:w="978" w:type="pct"/>
          </w:tcPr>
          <w:p w14:paraId="11997219" w14:textId="77777777" w:rsidR="00765237" w:rsidRPr="000B5813" w:rsidRDefault="00765237" w:rsidP="007C2015">
            <w:pPr>
              <w:pStyle w:val="Compact"/>
              <w:rPr>
                <w:color w:val="000000"/>
                <w:sz w:val="20"/>
                <w:szCs w:val="20"/>
              </w:rPr>
            </w:pPr>
            <w:r w:rsidRPr="000B5813">
              <w:rPr>
                <w:color w:val="000000"/>
                <w:sz w:val="20"/>
                <w:szCs w:val="20"/>
              </w:rPr>
              <w:t>II</w:t>
            </w:r>
          </w:p>
        </w:tc>
        <w:tc>
          <w:tcPr>
            <w:tcW w:w="739" w:type="pct"/>
          </w:tcPr>
          <w:p w14:paraId="46BAECE4" w14:textId="77777777" w:rsidR="00765237" w:rsidRPr="000B5813" w:rsidRDefault="00765237" w:rsidP="00765237">
            <w:pPr>
              <w:pStyle w:val="Compact"/>
              <w:jc w:val="right"/>
              <w:rPr>
                <w:color w:val="000000"/>
                <w:sz w:val="20"/>
                <w:szCs w:val="20"/>
              </w:rPr>
            </w:pPr>
            <w:r w:rsidRPr="000B5813">
              <w:rPr>
                <w:color w:val="000000"/>
                <w:sz w:val="20"/>
                <w:szCs w:val="20"/>
              </w:rPr>
              <w:t xml:space="preserve">1228 </w:t>
            </w:r>
            <w:proofErr w:type="gramStart"/>
            <w:r w:rsidRPr="000B5813">
              <w:rPr>
                <w:color w:val="000000"/>
                <w:sz w:val="20"/>
                <w:szCs w:val="20"/>
              </w:rPr>
              <w:t>( 56.5</w:t>
            </w:r>
            <w:proofErr w:type="gramEnd"/>
            <w:r w:rsidRPr="000B5813">
              <w:rPr>
                <w:color w:val="000000"/>
                <w:sz w:val="20"/>
                <w:szCs w:val="20"/>
              </w:rPr>
              <w:t>)</w:t>
            </w:r>
          </w:p>
        </w:tc>
        <w:tc>
          <w:tcPr>
            <w:tcW w:w="812" w:type="pct"/>
          </w:tcPr>
          <w:p w14:paraId="0C1ECF6E" w14:textId="77777777" w:rsidR="00765237" w:rsidRPr="000B5813" w:rsidRDefault="00765237" w:rsidP="00765237">
            <w:pPr>
              <w:pStyle w:val="Compact"/>
              <w:jc w:val="right"/>
              <w:rPr>
                <w:color w:val="000000"/>
                <w:sz w:val="20"/>
                <w:szCs w:val="20"/>
              </w:rPr>
            </w:pPr>
            <w:r w:rsidRPr="000B5813">
              <w:rPr>
                <w:color w:val="000000"/>
                <w:sz w:val="20"/>
                <w:szCs w:val="20"/>
              </w:rPr>
              <w:t xml:space="preserve">52798 </w:t>
            </w:r>
            <w:proofErr w:type="gramStart"/>
            <w:r w:rsidRPr="000B5813">
              <w:rPr>
                <w:color w:val="000000"/>
                <w:sz w:val="20"/>
                <w:szCs w:val="20"/>
              </w:rPr>
              <w:t>( 59.4</w:t>
            </w:r>
            <w:proofErr w:type="gramEnd"/>
            <w:r w:rsidRPr="000B5813">
              <w:rPr>
                <w:color w:val="000000"/>
                <w:sz w:val="20"/>
                <w:szCs w:val="20"/>
              </w:rPr>
              <w:t>)</w:t>
            </w:r>
          </w:p>
        </w:tc>
        <w:tc>
          <w:tcPr>
            <w:tcW w:w="665" w:type="pct"/>
          </w:tcPr>
          <w:p w14:paraId="15087852" w14:textId="77777777" w:rsidR="00765237" w:rsidRPr="000B5813" w:rsidRDefault="00765237" w:rsidP="00765237">
            <w:pPr>
              <w:pStyle w:val="Compact"/>
              <w:jc w:val="right"/>
              <w:rPr>
                <w:color w:val="000000"/>
                <w:sz w:val="20"/>
                <w:szCs w:val="20"/>
              </w:rPr>
            </w:pPr>
            <w:r w:rsidRPr="000B5813">
              <w:rPr>
                <w:color w:val="000000"/>
                <w:sz w:val="20"/>
                <w:szCs w:val="20"/>
              </w:rPr>
              <w:t>253 (61.7)</w:t>
            </w:r>
          </w:p>
        </w:tc>
        <w:tc>
          <w:tcPr>
            <w:tcW w:w="719" w:type="pct"/>
          </w:tcPr>
          <w:p w14:paraId="00FC8E9A" w14:textId="77777777" w:rsidR="00765237" w:rsidRPr="000B5813" w:rsidRDefault="00765237" w:rsidP="00765237">
            <w:pPr>
              <w:pStyle w:val="Compact"/>
              <w:jc w:val="right"/>
              <w:rPr>
                <w:color w:val="000000"/>
                <w:sz w:val="20"/>
                <w:szCs w:val="20"/>
              </w:rPr>
            </w:pPr>
            <w:r w:rsidRPr="000B5813">
              <w:rPr>
                <w:color w:val="000000"/>
                <w:sz w:val="20"/>
                <w:szCs w:val="20"/>
              </w:rPr>
              <w:t>11578 (61.4)</w:t>
            </w:r>
          </w:p>
        </w:tc>
      </w:tr>
      <w:tr w:rsidR="00765237" w:rsidRPr="000B5813" w14:paraId="67533724" w14:textId="77777777" w:rsidTr="00765237">
        <w:tc>
          <w:tcPr>
            <w:tcW w:w="0" w:type="auto"/>
          </w:tcPr>
          <w:p w14:paraId="719A22FE" w14:textId="77777777" w:rsidR="00765237" w:rsidRPr="000B5813" w:rsidRDefault="00765237" w:rsidP="007C2015">
            <w:pPr>
              <w:pStyle w:val="Compact"/>
              <w:rPr>
                <w:color w:val="000000"/>
                <w:sz w:val="20"/>
                <w:szCs w:val="20"/>
              </w:rPr>
            </w:pPr>
          </w:p>
        </w:tc>
        <w:tc>
          <w:tcPr>
            <w:tcW w:w="978" w:type="pct"/>
          </w:tcPr>
          <w:p w14:paraId="413D6F6C" w14:textId="77777777" w:rsidR="00765237" w:rsidRPr="000B5813" w:rsidRDefault="00765237" w:rsidP="007C2015">
            <w:pPr>
              <w:pStyle w:val="Compact"/>
              <w:rPr>
                <w:color w:val="000000"/>
                <w:sz w:val="20"/>
                <w:szCs w:val="20"/>
              </w:rPr>
            </w:pPr>
            <w:r w:rsidRPr="000B5813">
              <w:rPr>
                <w:color w:val="000000"/>
                <w:sz w:val="20"/>
                <w:szCs w:val="20"/>
              </w:rPr>
              <w:t>III</w:t>
            </w:r>
          </w:p>
        </w:tc>
        <w:tc>
          <w:tcPr>
            <w:tcW w:w="739" w:type="pct"/>
          </w:tcPr>
          <w:p w14:paraId="6CE85387" w14:textId="77777777" w:rsidR="00765237" w:rsidRPr="000B5813" w:rsidRDefault="00765237" w:rsidP="00765237">
            <w:pPr>
              <w:pStyle w:val="Compact"/>
              <w:jc w:val="right"/>
              <w:rPr>
                <w:color w:val="000000"/>
                <w:sz w:val="20"/>
                <w:szCs w:val="20"/>
              </w:rPr>
            </w:pPr>
            <w:r w:rsidRPr="000B5813">
              <w:rPr>
                <w:color w:val="000000"/>
                <w:sz w:val="20"/>
                <w:szCs w:val="20"/>
              </w:rPr>
              <w:t xml:space="preserve">643 </w:t>
            </w:r>
            <w:proofErr w:type="gramStart"/>
            <w:r w:rsidRPr="000B5813">
              <w:rPr>
                <w:color w:val="000000"/>
                <w:sz w:val="20"/>
                <w:szCs w:val="20"/>
              </w:rPr>
              <w:t>( 29.6</w:t>
            </w:r>
            <w:proofErr w:type="gramEnd"/>
            <w:r w:rsidRPr="000B5813">
              <w:rPr>
                <w:color w:val="000000"/>
                <w:sz w:val="20"/>
                <w:szCs w:val="20"/>
              </w:rPr>
              <w:t>)</w:t>
            </w:r>
          </w:p>
        </w:tc>
        <w:tc>
          <w:tcPr>
            <w:tcW w:w="812" w:type="pct"/>
          </w:tcPr>
          <w:p w14:paraId="27D96552" w14:textId="77777777" w:rsidR="00765237" w:rsidRPr="000B5813" w:rsidRDefault="00765237" w:rsidP="00765237">
            <w:pPr>
              <w:pStyle w:val="Compact"/>
              <w:jc w:val="right"/>
              <w:rPr>
                <w:color w:val="000000"/>
                <w:sz w:val="20"/>
                <w:szCs w:val="20"/>
              </w:rPr>
            </w:pPr>
            <w:r w:rsidRPr="000B5813">
              <w:rPr>
                <w:color w:val="000000"/>
                <w:sz w:val="20"/>
                <w:szCs w:val="20"/>
              </w:rPr>
              <w:t xml:space="preserve">14945 </w:t>
            </w:r>
            <w:proofErr w:type="gramStart"/>
            <w:r w:rsidRPr="000B5813">
              <w:rPr>
                <w:color w:val="000000"/>
                <w:sz w:val="20"/>
                <w:szCs w:val="20"/>
              </w:rPr>
              <w:t>( 16.8</w:t>
            </w:r>
            <w:proofErr w:type="gramEnd"/>
            <w:r w:rsidRPr="000B5813">
              <w:rPr>
                <w:color w:val="000000"/>
                <w:sz w:val="20"/>
                <w:szCs w:val="20"/>
              </w:rPr>
              <w:t>)</w:t>
            </w:r>
          </w:p>
        </w:tc>
        <w:tc>
          <w:tcPr>
            <w:tcW w:w="665" w:type="pct"/>
          </w:tcPr>
          <w:p w14:paraId="5A10B741" w14:textId="77777777" w:rsidR="00765237" w:rsidRPr="000B5813" w:rsidRDefault="00765237" w:rsidP="00765237">
            <w:pPr>
              <w:pStyle w:val="Compact"/>
              <w:jc w:val="right"/>
              <w:rPr>
                <w:color w:val="000000"/>
                <w:sz w:val="20"/>
                <w:szCs w:val="20"/>
              </w:rPr>
            </w:pPr>
            <w:r w:rsidRPr="000B5813">
              <w:rPr>
                <w:color w:val="000000"/>
                <w:sz w:val="20"/>
                <w:szCs w:val="20"/>
              </w:rPr>
              <w:t>113 (27.6)</w:t>
            </w:r>
          </w:p>
        </w:tc>
        <w:tc>
          <w:tcPr>
            <w:tcW w:w="719" w:type="pct"/>
          </w:tcPr>
          <w:p w14:paraId="4E5328DB" w14:textId="77777777" w:rsidR="00765237" w:rsidRPr="000B5813" w:rsidRDefault="00765237" w:rsidP="00765237">
            <w:pPr>
              <w:pStyle w:val="Compact"/>
              <w:jc w:val="right"/>
              <w:rPr>
                <w:color w:val="000000"/>
                <w:sz w:val="20"/>
                <w:szCs w:val="20"/>
              </w:rPr>
            </w:pPr>
            <w:r w:rsidRPr="000B5813">
              <w:rPr>
                <w:color w:val="000000"/>
                <w:sz w:val="20"/>
                <w:szCs w:val="20"/>
              </w:rPr>
              <w:t>3334 (17.7)</w:t>
            </w:r>
          </w:p>
        </w:tc>
      </w:tr>
      <w:tr w:rsidR="00765237" w:rsidRPr="000B5813" w14:paraId="39535C2B" w14:textId="77777777" w:rsidTr="00765237">
        <w:tc>
          <w:tcPr>
            <w:tcW w:w="0" w:type="auto"/>
          </w:tcPr>
          <w:p w14:paraId="7E775B42" w14:textId="77777777" w:rsidR="00765237" w:rsidRPr="000B5813" w:rsidRDefault="00765237" w:rsidP="007C2015">
            <w:pPr>
              <w:pStyle w:val="Compact"/>
              <w:rPr>
                <w:color w:val="000000"/>
                <w:sz w:val="20"/>
                <w:szCs w:val="20"/>
              </w:rPr>
            </w:pPr>
            <w:r w:rsidRPr="000B5813">
              <w:rPr>
                <w:color w:val="000000"/>
                <w:sz w:val="20"/>
                <w:szCs w:val="20"/>
              </w:rPr>
              <w:t>Diagnosis</w:t>
            </w:r>
          </w:p>
        </w:tc>
        <w:tc>
          <w:tcPr>
            <w:tcW w:w="978" w:type="pct"/>
          </w:tcPr>
          <w:p w14:paraId="43F4E47E" w14:textId="59B2C59E" w:rsidR="00765237" w:rsidRPr="000B5813" w:rsidRDefault="00765237" w:rsidP="007C2015">
            <w:pPr>
              <w:pStyle w:val="Compact"/>
              <w:rPr>
                <w:color w:val="000000"/>
                <w:sz w:val="20"/>
                <w:szCs w:val="20"/>
              </w:rPr>
            </w:pPr>
            <w:r w:rsidRPr="000B5813">
              <w:rPr>
                <w:color w:val="000000"/>
                <w:sz w:val="20"/>
                <w:szCs w:val="20"/>
              </w:rPr>
              <w:t>Primary osteoarthritis</w:t>
            </w:r>
          </w:p>
        </w:tc>
        <w:tc>
          <w:tcPr>
            <w:tcW w:w="739" w:type="pct"/>
          </w:tcPr>
          <w:p w14:paraId="24EE96CF" w14:textId="77777777" w:rsidR="00765237" w:rsidRPr="000B5813" w:rsidRDefault="00765237" w:rsidP="00765237">
            <w:pPr>
              <w:pStyle w:val="Compact"/>
              <w:jc w:val="right"/>
              <w:rPr>
                <w:color w:val="000000"/>
                <w:sz w:val="20"/>
                <w:szCs w:val="20"/>
              </w:rPr>
            </w:pPr>
            <w:r w:rsidRPr="000B5813">
              <w:rPr>
                <w:color w:val="000000"/>
                <w:sz w:val="20"/>
                <w:szCs w:val="20"/>
              </w:rPr>
              <w:t xml:space="preserve">1766 </w:t>
            </w:r>
            <w:proofErr w:type="gramStart"/>
            <w:r w:rsidRPr="000B5813">
              <w:rPr>
                <w:color w:val="000000"/>
                <w:sz w:val="20"/>
                <w:szCs w:val="20"/>
              </w:rPr>
              <w:t>( 81.3</w:t>
            </w:r>
            <w:proofErr w:type="gramEnd"/>
            <w:r w:rsidRPr="000B5813">
              <w:rPr>
                <w:color w:val="000000"/>
                <w:sz w:val="20"/>
                <w:szCs w:val="20"/>
              </w:rPr>
              <w:t>)</w:t>
            </w:r>
          </w:p>
        </w:tc>
        <w:tc>
          <w:tcPr>
            <w:tcW w:w="812" w:type="pct"/>
          </w:tcPr>
          <w:p w14:paraId="701C3F4A" w14:textId="77777777" w:rsidR="00765237" w:rsidRPr="000B5813" w:rsidRDefault="00765237" w:rsidP="00765237">
            <w:pPr>
              <w:pStyle w:val="Compact"/>
              <w:jc w:val="right"/>
              <w:rPr>
                <w:color w:val="000000"/>
                <w:sz w:val="20"/>
                <w:szCs w:val="20"/>
              </w:rPr>
            </w:pPr>
            <w:r w:rsidRPr="000B5813">
              <w:rPr>
                <w:color w:val="000000"/>
                <w:sz w:val="20"/>
                <w:szCs w:val="20"/>
              </w:rPr>
              <w:t xml:space="preserve">78578 </w:t>
            </w:r>
            <w:proofErr w:type="gramStart"/>
            <w:r w:rsidRPr="000B5813">
              <w:rPr>
                <w:color w:val="000000"/>
                <w:sz w:val="20"/>
                <w:szCs w:val="20"/>
              </w:rPr>
              <w:t>( 88.5</w:t>
            </w:r>
            <w:proofErr w:type="gramEnd"/>
            <w:r w:rsidRPr="000B5813">
              <w:rPr>
                <w:color w:val="000000"/>
                <w:sz w:val="20"/>
                <w:szCs w:val="20"/>
              </w:rPr>
              <w:t>)</w:t>
            </w:r>
          </w:p>
        </w:tc>
        <w:tc>
          <w:tcPr>
            <w:tcW w:w="665" w:type="pct"/>
          </w:tcPr>
          <w:p w14:paraId="06B4EDA7" w14:textId="77777777" w:rsidR="00765237" w:rsidRPr="000B5813" w:rsidRDefault="00765237" w:rsidP="00765237">
            <w:pPr>
              <w:pStyle w:val="Compact"/>
              <w:jc w:val="right"/>
              <w:rPr>
                <w:color w:val="000000"/>
                <w:sz w:val="20"/>
                <w:szCs w:val="20"/>
              </w:rPr>
            </w:pPr>
            <w:r w:rsidRPr="000B5813">
              <w:rPr>
                <w:color w:val="000000"/>
                <w:sz w:val="20"/>
                <w:szCs w:val="20"/>
              </w:rPr>
              <w:t>329 (80.2)</w:t>
            </w:r>
          </w:p>
        </w:tc>
        <w:tc>
          <w:tcPr>
            <w:tcW w:w="719" w:type="pct"/>
          </w:tcPr>
          <w:p w14:paraId="660DC534" w14:textId="77777777" w:rsidR="00765237" w:rsidRPr="000B5813" w:rsidRDefault="00765237" w:rsidP="00765237">
            <w:pPr>
              <w:pStyle w:val="Compact"/>
              <w:jc w:val="right"/>
              <w:rPr>
                <w:color w:val="000000"/>
                <w:sz w:val="20"/>
                <w:szCs w:val="20"/>
              </w:rPr>
            </w:pPr>
            <w:r w:rsidRPr="000B5813">
              <w:rPr>
                <w:color w:val="000000"/>
                <w:sz w:val="20"/>
                <w:szCs w:val="20"/>
              </w:rPr>
              <w:t>15926 (84.5)</w:t>
            </w:r>
          </w:p>
        </w:tc>
      </w:tr>
      <w:tr w:rsidR="00765237" w:rsidRPr="000B5813" w14:paraId="798E207F" w14:textId="77777777" w:rsidTr="00765237">
        <w:tc>
          <w:tcPr>
            <w:tcW w:w="0" w:type="auto"/>
          </w:tcPr>
          <w:p w14:paraId="4E03B643" w14:textId="77777777" w:rsidR="00765237" w:rsidRPr="000B5813" w:rsidRDefault="00765237" w:rsidP="007C2015">
            <w:pPr>
              <w:pStyle w:val="Compact"/>
              <w:rPr>
                <w:color w:val="000000"/>
                <w:sz w:val="20"/>
                <w:szCs w:val="20"/>
              </w:rPr>
            </w:pPr>
          </w:p>
        </w:tc>
        <w:tc>
          <w:tcPr>
            <w:tcW w:w="978" w:type="pct"/>
          </w:tcPr>
          <w:p w14:paraId="7F73FD9B" w14:textId="71C7E27A" w:rsidR="00765237" w:rsidRPr="000B5813" w:rsidRDefault="00765237" w:rsidP="007C2015">
            <w:pPr>
              <w:pStyle w:val="Compact"/>
              <w:rPr>
                <w:color w:val="000000"/>
                <w:sz w:val="20"/>
                <w:szCs w:val="20"/>
              </w:rPr>
            </w:pPr>
            <w:r w:rsidRPr="000B5813">
              <w:rPr>
                <w:color w:val="000000"/>
                <w:sz w:val="20"/>
                <w:szCs w:val="20"/>
              </w:rPr>
              <w:t>Secondary osteoarthritis</w:t>
            </w:r>
          </w:p>
        </w:tc>
        <w:tc>
          <w:tcPr>
            <w:tcW w:w="739" w:type="pct"/>
          </w:tcPr>
          <w:p w14:paraId="1FD51846" w14:textId="77777777" w:rsidR="00765237" w:rsidRPr="000B5813" w:rsidRDefault="00765237" w:rsidP="00765237">
            <w:pPr>
              <w:pStyle w:val="Compact"/>
              <w:jc w:val="right"/>
              <w:rPr>
                <w:color w:val="000000"/>
                <w:sz w:val="20"/>
                <w:szCs w:val="20"/>
              </w:rPr>
            </w:pPr>
            <w:r w:rsidRPr="000B5813">
              <w:rPr>
                <w:color w:val="000000"/>
                <w:sz w:val="20"/>
                <w:szCs w:val="20"/>
              </w:rPr>
              <w:t xml:space="preserve">232 </w:t>
            </w:r>
            <w:proofErr w:type="gramStart"/>
            <w:r w:rsidRPr="000B5813">
              <w:rPr>
                <w:color w:val="000000"/>
                <w:sz w:val="20"/>
                <w:szCs w:val="20"/>
              </w:rPr>
              <w:t>( 10.7</w:t>
            </w:r>
            <w:proofErr w:type="gramEnd"/>
            <w:r w:rsidRPr="000B5813">
              <w:rPr>
                <w:color w:val="000000"/>
                <w:sz w:val="20"/>
                <w:szCs w:val="20"/>
              </w:rPr>
              <w:t>)</w:t>
            </w:r>
          </w:p>
        </w:tc>
        <w:tc>
          <w:tcPr>
            <w:tcW w:w="812" w:type="pct"/>
          </w:tcPr>
          <w:p w14:paraId="4D10FDBC" w14:textId="77777777" w:rsidR="00765237" w:rsidRPr="000B5813" w:rsidRDefault="00765237" w:rsidP="00765237">
            <w:pPr>
              <w:pStyle w:val="Compact"/>
              <w:jc w:val="right"/>
              <w:rPr>
                <w:color w:val="000000"/>
                <w:sz w:val="20"/>
                <w:szCs w:val="20"/>
              </w:rPr>
            </w:pPr>
            <w:r w:rsidRPr="000B5813">
              <w:rPr>
                <w:color w:val="000000"/>
                <w:sz w:val="20"/>
                <w:szCs w:val="20"/>
              </w:rPr>
              <w:t xml:space="preserve">5271 </w:t>
            </w:r>
            <w:proofErr w:type="gramStart"/>
            <w:r w:rsidRPr="000B5813">
              <w:rPr>
                <w:color w:val="000000"/>
                <w:sz w:val="20"/>
                <w:szCs w:val="20"/>
              </w:rPr>
              <w:t>( 5.9</w:t>
            </w:r>
            <w:proofErr w:type="gramEnd"/>
            <w:r w:rsidRPr="000B5813">
              <w:rPr>
                <w:color w:val="000000"/>
                <w:sz w:val="20"/>
                <w:szCs w:val="20"/>
              </w:rPr>
              <w:t>)</w:t>
            </w:r>
          </w:p>
        </w:tc>
        <w:tc>
          <w:tcPr>
            <w:tcW w:w="665" w:type="pct"/>
          </w:tcPr>
          <w:p w14:paraId="1FE2FA01" w14:textId="77777777" w:rsidR="00765237" w:rsidRPr="000B5813" w:rsidRDefault="00765237" w:rsidP="00765237">
            <w:pPr>
              <w:pStyle w:val="Compact"/>
              <w:jc w:val="right"/>
              <w:rPr>
                <w:color w:val="000000"/>
                <w:sz w:val="20"/>
                <w:szCs w:val="20"/>
              </w:rPr>
            </w:pPr>
            <w:r w:rsidRPr="000B5813">
              <w:rPr>
                <w:color w:val="000000"/>
                <w:sz w:val="20"/>
                <w:szCs w:val="20"/>
              </w:rPr>
              <w:t>57 (13.9)</w:t>
            </w:r>
          </w:p>
        </w:tc>
        <w:tc>
          <w:tcPr>
            <w:tcW w:w="719" w:type="pct"/>
          </w:tcPr>
          <w:p w14:paraId="619DB0A2" w14:textId="77777777" w:rsidR="00765237" w:rsidRPr="000B5813" w:rsidRDefault="00765237" w:rsidP="00765237">
            <w:pPr>
              <w:pStyle w:val="Compact"/>
              <w:jc w:val="right"/>
              <w:rPr>
                <w:color w:val="000000"/>
                <w:sz w:val="20"/>
                <w:szCs w:val="20"/>
              </w:rPr>
            </w:pPr>
            <w:r w:rsidRPr="000B5813">
              <w:rPr>
                <w:color w:val="000000"/>
                <w:sz w:val="20"/>
                <w:szCs w:val="20"/>
              </w:rPr>
              <w:t>1838 (9.7)</w:t>
            </w:r>
          </w:p>
        </w:tc>
      </w:tr>
      <w:tr w:rsidR="00765237" w:rsidRPr="000B5813" w14:paraId="6FD93E5E" w14:textId="77777777" w:rsidTr="00765237">
        <w:tc>
          <w:tcPr>
            <w:tcW w:w="0" w:type="auto"/>
          </w:tcPr>
          <w:p w14:paraId="5C81ACAF" w14:textId="77777777" w:rsidR="00765237" w:rsidRPr="000B5813" w:rsidRDefault="00765237" w:rsidP="007C2015">
            <w:pPr>
              <w:pStyle w:val="Compact"/>
              <w:rPr>
                <w:color w:val="000000"/>
                <w:sz w:val="20"/>
                <w:szCs w:val="20"/>
              </w:rPr>
            </w:pPr>
          </w:p>
        </w:tc>
        <w:tc>
          <w:tcPr>
            <w:tcW w:w="978" w:type="pct"/>
          </w:tcPr>
          <w:p w14:paraId="75CA9BD9" w14:textId="1D497F43" w:rsidR="00765237" w:rsidRPr="000B5813" w:rsidRDefault="00765237" w:rsidP="007C2015">
            <w:pPr>
              <w:pStyle w:val="Compact"/>
              <w:rPr>
                <w:color w:val="000000"/>
                <w:sz w:val="20"/>
                <w:szCs w:val="20"/>
              </w:rPr>
            </w:pPr>
            <w:r w:rsidRPr="000B5813">
              <w:rPr>
                <w:color w:val="000000"/>
                <w:sz w:val="20"/>
                <w:szCs w:val="20"/>
              </w:rPr>
              <w:t>Sequelae after childhood hip disease</w:t>
            </w:r>
          </w:p>
        </w:tc>
        <w:tc>
          <w:tcPr>
            <w:tcW w:w="739" w:type="pct"/>
          </w:tcPr>
          <w:p w14:paraId="78C9D1B5" w14:textId="77777777" w:rsidR="00765237" w:rsidRPr="000B5813" w:rsidRDefault="00765237" w:rsidP="00765237">
            <w:pPr>
              <w:pStyle w:val="Compact"/>
              <w:jc w:val="right"/>
              <w:rPr>
                <w:color w:val="000000"/>
                <w:sz w:val="20"/>
                <w:szCs w:val="20"/>
              </w:rPr>
            </w:pPr>
            <w:r w:rsidRPr="000B5813">
              <w:rPr>
                <w:color w:val="000000"/>
                <w:sz w:val="20"/>
                <w:szCs w:val="20"/>
              </w:rPr>
              <w:t xml:space="preserve">41 </w:t>
            </w:r>
            <w:proofErr w:type="gramStart"/>
            <w:r w:rsidRPr="000B5813">
              <w:rPr>
                <w:color w:val="000000"/>
                <w:sz w:val="20"/>
                <w:szCs w:val="20"/>
              </w:rPr>
              <w:t>( 1.9</w:t>
            </w:r>
            <w:proofErr w:type="gramEnd"/>
            <w:r w:rsidRPr="000B5813">
              <w:rPr>
                <w:color w:val="000000"/>
                <w:sz w:val="20"/>
                <w:szCs w:val="20"/>
              </w:rPr>
              <w:t>)</w:t>
            </w:r>
          </w:p>
        </w:tc>
        <w:tc>
          <w:tcPr>
            <w:tcW w:w="812" w:type="pct"/>
          </w:tcPr>
          <w:p w14:paraId="717F12F3" w14:textId="77777777" w:rsidR="00765237" w:rsidRPr="000B5813" w:rsidRDefault="00765237" w:rsidP="00765237">
            <w:pPr>
              <w:pStyle w:val="Compact"/>
              <w:jc w:val="right"/>
              <w:rPr>
                <w:color w:val="000000"/>
                <w:sz w:val="20"/>
                <w:szCs w:val="20"/>
              </w:rPr>
            </w:pPr>
            <w:r w:rsidRPr="000B5813">
              <w:rPr>
                <w:color w:val="000000"/>
                <w:sz w:val="20"/>
                <w:szCs w:val="20"/>
              </w:rPr>
              <w:t xml:space="preserve">1862 </w:t>
            </w:r>
            <w:proofErr w:type="gramStart"/>
            <w:r w:rsidRPr="000B5813">
              <w:rPr>
                <w:color w:val="000000"/>
                <w:sz w:val="20"/>
                <w:szCs w:val="20"/>
              </w:rPr>
              <w:t>( 2.1</w:t>
            </w:r>
            <w:proofErr w:type="gramEnd"/>
            <w:r w:rsidRPr="000B5813">
              <w:rPr>
                <w:color w:val="000000"/>
                <w:sz w:val="20"/>
                <w:szCs w:val="20"/>
              </w:rPr>
              <w:t>)</w:t>
            </w:r>
          </w:p>
        </w:tc>
        <w:tc>
          <w:tcPr>
            <w:tcW w:w="665" w:type="pct"/>
          </w:tcPr>
          <w:p w14:paraId="3306DA68" w14:textId="7433301C" w:rsidR="00765237" w:rsidRPr="000B5813" w:rsidRDefault="00C92BCF" w:rsidP="00765237">
            <w:pPr>
              <w:pStyle w:val="Compact"/>
              <w:jc w:val="right"/>
              <w:rPr>
                <w:color w:val="000000"/>
                <w:sz w:val="20"/>
                <w:szCs w:val="20"/>
              </w:rPr>
            </w:pPr>
            <w:r>
              <w:rPr>
                <w:color w:val="000000"/>
                <w:sz w:val="20"/>
                <w:szCs w:val="20"/>
              </w:rPr>
              <w:t>*</w:t>
            </w:r>
          </w:p>
        </w:tc>
        <w:tc>
          <w:tcPr>
            <w:tcW w:w="719" w:type="pct"/>
          </w:tcPr>
          <w:p w14:paraId="28F59170" w14:textId="77777777" w:rsidR="00765237" w:rsidRPr="000B5813" w:rsidRDefault="00765237" w:rsidP="00765237">
            <w:pPr>
              <w:pStyle w:val="Compact"/>
              <w:jc w:val="right"/>
              <w:rPr>
                <w:color w:val="000000"/>
                <w:sz w:val="20"/>
                <w:szCs w:val="20"/>
              </w:rPr>
            </w:pPr>
            <w:r w:rsidRPr="000B5813">
              <w:rPr>
                <w:color w:val="000000"/>
                <w:sz w:val="20"/>
                <w:szCs w:val="20"/>
              </w:rPr>
              <w:t>626 (3.3)</w:t>
            </w:r>
          </w:p>
        </w:tc>
      </w:tr>
      <w:tr w:rsidR="00765237" w:rsidRPr="000B5813" w14:paraId="261C1792" w14:textId="77777777" w:rsidTr="00765237">
        <w:tc>
          <w:tcPr>
            <w:tcW w:w="0" w:type="auto"/>
          </w:tcPr>
          <w:p w14:paraId="7C3A7D54" w14:textId="77777777" w:rsidR="00765237" w:rsidRPr="000B5813" w:rsidRDefault="00765237" w:rsidP="007C2015">
            <w:pPr>
              <w:pStyle w:val="Compact"/>
              <w:rPr>
                <w:color w:val="000000"/>
                <w:sz w:val="20"/>
                <w:szCs w:val="20"/>
              </w:rPr>
            </w:pPr>
          </w:p>
        </w:tc>
        <w:tc>
          <w:tcPr>
            <w:tcW w:w="978" w:type="pct"/>
          </w:tcPr>
          <w:p w14:paraId="6AE6EFFB" w14:textId="4AA796E8" w:rsidR="00765237" w:rsidRPr="000B5813" w:rsidRDefault="00765237" w:rsidP="007C2015">
            <w:pPr>
              <w:pStyle w:val="Compact"/>
              <w:rPr>
                <w:color w:val="000000"/>
                <w:sz w:val="20"/>
                <w:szCs w:val="20"/>
              </w:rPr>
            </w:pPr>
            <w:r w:rsidRPr="000B5813">
              <w:rPr>
                <w:color w:val="000000"/>
                <w:sz w:val="20"/>
                <w:szCs w:val="20"/>
              </w:rPr>
              <w:t>Avascular necrosis of the femoral head (AVN)</w:t>
            </w:r>
          </w:p>
        </w:tc>
        <w:tc>
          <w:tcPr>
            <w:tcW w:w="739" w:type="pct"/>
          </w:tcPr>
          <w:p w14:paraId="389162C0" w14:textId="77777777" w:rsidR="00765237" w:rsidRPr="000B5813" w:rsidRDefault="00765237" w:rsidP="00765237">
            <w:pPr>
              <w:pStyle w:val="Compact"/>
              <w:jc w:val="right"/>
              <w:rPr>
                <w:color w:val="000000"/>
                <w:sz w:val="20"/>
                <w:szCs w:val="20"/>
              </w:rPr>
            </w:pPr>
            <w:r w:rsidRPr="000B5813">
              <w:rPr>
                <w:color w:val="000000"/>
                <w:sz w:val="20"/>
                <w:szCs w:val="20"/>
              </w:rPr>
              <w:t xml:space="preserve">77 </w:t>
            </w:r>
            <w:proofErr w:type="gramStart"/>
            <w:r w:rsidRPr="000B5813">
              <w:rPr>
                <w:color w:val="000000"/>
                <w:sz w:val="20"/>
                <w:szCs w:val="20"/>
              </w:rPr>
              <w:t>( 3.5</w:t>
            </w:r>
            <w:proofErr w:type="gramEnd"/>
            <w:r w:rsidRPr="000B5813">
              <w:rPr>
                <w:color w:val="000000"/>
                <w:sz w:val="20"/>
                <w:szCs w:val="20"/>
              </w:rPr>
              <w:t>)</w:t>
            </w:r>
          </w:p>
        </w:tc>
        <w:tc>
          <w:tcPr>
            <w:tcW w:w="812" w:type="pct"/>
          </w:tcPr>
          <w:p w14:paraId="3C862F40" w14:textId="77777777" w:rsidR="00765237" w:rsidRPr="000B5813" w:rsidRDefault="00765237" w:rsidP="00765237">
            <w:pPr>
              <w:pStyle w:val="Compact"/>
              <w:jc w:val="right"/>
              <w:rPr>
                <w:color w:val="000000"/>
                <w:sz w:val="20"/>
                <w:szCs w:val="20"/>
              </w:rPr>
            </w:pPr>
            <w:r w:rsidRPr="000B5813">
              <w:rPr>
                <w:color w:val="000000"/>
                <w:sz w:val="20"/>
                <w:szCs w:val="20"/>
              </w:rPr>
              <w:t xml:space="preserve">1895 </w:t>
            </w:r>
            <w:proofErr w:type="gramStart"/>
            <w:r w:rsidRPr="000B5813">
              <w:rPr>
                <w:color w:val="000000"/>
                <w:sz w:val="20"/>
                <w:szCs w:val="20"/>
              </w:rPr>
              <w:t>( 2.1</w:t>
            </w:r>
            <w:proofErr w:type="gramEnd"/>
            <w:r w:rsidRPr="000B5813">
              <w:rPr>
                <w:color w:val="000000"/>
                <w:sz w:val="20"/>
                <w:szCs w:val="20"/>
              </w:rPr>
              <w:t>)</w:t>
            </w:r>
          </w:p>
        </w:tc>
        <w:tc>
          <w:tcPr>
            <w:tcW w:w="665" w:type="pct"/>
          </w:tcPr>
          <w:p w14:paraId="02CF7961" w14:textId="77777777" w:rsidR="00765237" w:rsidRPr="000B5813" w:rsidRDefault="00765237" w:rsidP="00765237">
            <w:pPr>
              <w:pStyle w:val="Compact"/>
              <w:jc w:val="right"/>
              <w:rPr>
                <w:color w:val="000000"/>
                <w:sz w:val="20"/>
                <w:szCs w:val="20"/>
              </w:rPr>
            </w:pPr>
            <w:r w:rsidRPr="000B5813">
              <w:rPr>
                <w:color w:val="000000"/>
                <w:sz w:val="20"/>
                <w:szCs w:val="20"/>
              </w:rPr>
              <w:t>15 (3.7)</w:t>
            </w:r>
          </w:p>
        </w:tc>
        <w:tc>
          <w:tcPr>
            <w:tcW w:w="719" w:type="pct"/>
          </w:tcPr>
          <w:p w14:paraId="6C702A85" w14:textId="77777777" w:rsidR="00765237" w:rsidRPr="000B5813" w:rsidRDefault="00765237" w:rsidP="00765237">
            <w:pPr>
              <w:pStyle w:val="Compact"/>
              <w:jc w:val="right"/>
              <w:rPr>
                <w:color w:val="000000"/>
                <w:sz w:val="20"/>
                <w:szCs w:val="20"/>
              </w:rPr>
            </w:pPr>
            <w:r w:rsidRPr="000B5813">
              <w:rPr>
                <w:color w:val="000000"/>
                <w:sz w:val="20"/>
                <w:szCs w:val="20"/>
              </w:rPr>
              <w:t>318 (1.7)</w:t>
            </w:r>
          </w:p>
        </w:tc>
      </w:tr>
      <w:tr w:rsidR="00765237" w:rsidRPr="000B5813" w14:paraId="3198C3B3" w14:textId="77777777" w:rsidTr="00765237">
        <w:tc>
          <w:tcPr>
            <w:tcW w:w="0" w:type="auto"/>
          </w:tcPr>
          <w:p w14:paraId="1EC11222" w14:textId="77777777" w:rsidR="00765237" w:rsidRPr="000B5813" w:rsidRDefault="00765237" w:rsidP="007C2015">
            <w:pPr>
              <w:pStyle w:val="Compact"/>
              <w:rPr>
                <w:color w:val="000000"/>
                <w:sz w:val="20"/>
                <w:szCs w:val="20"/>
              </w:rPr>
            </w:pPr>
          </w:p>
        </w:tc>
        <w:tc>
          <w:tcPr>
            <w:tcW w:w="978" w:type="pct"/>
          </w:tcPr>
          <w:p w14:paraId="6FE170E0" w14:textId="27A52BC7" w:rsidR="00765237" w:rsidRPr="000B5813" w:rsidRDefault="00765237" w:rsidP="007C2015">
            <w:pPr>
              <w:pStyle w:val="Compact"/>
              <w:rPr>
                <w:color w:val="000000"/>
                <w:sz w:val="20"/>
                <w:szCs w:val="20"/>
              </w:rPr>
            </w:pPr>
            <w:r w:rsidRPr="000B5813">
              <w:rPr>
                <w:color w:val="000000"/>
                <w:sz w:val="20"/>
                <w:szCs w:val="20"/>
              </w:rPr>
              <w:t>Inflammatory joint disease</w:t>
            </w:r>
          </w:p>
        </w:tc>
        <w:tc>
          <w:tcPr>
            <w:tcW w:w="739" w:type="pct"/>
          </w:tcPr>
          <w:p w14:paraId="36B42900" w14:textId="77777777" w:rsidR="00765237" w:rsidRPr="000B5813" w:rsidRDefault="00765237" w:rsidP="00765237">
            <w:pPr>
              <w:pStyle w:val="Compact"/>
              <w:jc w:val="right"/>
              <w:rPr>
                <w:color w:val="000000"/>
                <w:sz w:val="20"/>
                <w:szCs w:val="20"/>
              </w:rPr>
            </w:pPr>
            <w:r w:rsidRPr="000B5813">
              <w:rPr>
                <w:color w:val="000000"/>
                <w:sz w:val="20"/>
                <w:szCs w:val="20"/>
              </w:rPr>
              <w:t xml:space="preserve">57 </w:t>
            </w:r>
            <w:proofErr w:type="gramStart"/>
            <w:r w:rsidRPr="000B5813">
              <w:rPr>
                <w:color w:val="000000"/>
                <w:sz w:val="20"/>
                <w:szCs w:val="20"/>
              </w:rPr>
              <w:t>( 2.6</w:t>
            </w:r>
            <w:proofErr w:type="gramEnd"/>
            <w:r w:rsidRPr="000B5813">
              <w:rPr>
                <w:color w:val="000000"/>
                <w:sz w:val="20"/>
                <w:szCs w:val="20"/>
              </w:rPr>
              <w:t>)</w:t>
            </w:r>
          </w:p>
        </w:tc>
        <w:tc>
          <w:tcPr>
            <w:tcW w:w="812" w:type="pct"/>
          </w:tcPr>
          <w:p w14:paraId="3895C6EF" w14:textId="77777777" w:rsidR="00765237" w:rsidRPr="000B5813" w:rsidRDefault="00765237" w:rsidP="00765237">
            <w:pPr>
              <w:pStyle w:val="Compact"/>
              <w:jc w:val="right"/>
              <w:rPr>
                <w:color w:val="000000"/>
                <w:sz w:val="20"/>
                <w:szCs w:val="20"/>
              </w:rPr>
            </w:pPr>
            <w:r w:rsidRPr="000B5813">
              <w:rPr>
                <w:color w:val="000000"/>
                <w:sz w:val="20"/>
                <w:szCs w:val="20"/>
              </w:rPr>
              <w:t xml:space="preserve">1224 </w:t>
            </w:r>
            <w:proofErr w:type="gramStart"/>
            <w:r w:rsidRPr="000B5813">
              <w:rPr>
                <w:color w:val="000000"/>
                <w:sz w:val="20"/>
                <w:szCs w:val="20"/>
              </w:rPr>
              <w:t>( 1.4</w:t>
            </w:r>
            <w:proofErr w:type="gramEnd"/>
            <w:r w:rsidRPr="000B5813">
              <w:rPr>
                <w:color w:val="000000"/>
                <w:sz w:val="20"/>
                <w:szCs w:val="20"/>
              </w:rPr>
              <w:t>)</w:t>
            </w:r>
          </w:p>
        </w:tc>
        <w:tc>
          <w:tcPr>
            <w:tcW w:w="665" w:type="pct"/>
          </w:tcPr>
          <w:p w14:paraId="64FD81CF" w14:textId="6AC98BE5" w:rsidR="00765237" w:rsidRPr="000B5813" w:rsidRDefault="00C92BCF" w:rsidP="00765237">
            <w:pPr>
              <w:pStyle w:val="Compact"/>
              <w:jc w:val="right"/>
              <w:rPr>
                <w:color w:val="000000"/>
                <w:sz w:val="20"/>
                <w:szCs w:val="20"/>
              </w:rPr>
            </w:pPr>
            <w:r>
              <w:rPr>
                <w:color w:val="000000"/>
                <w:sz w:val="20"/>
                <w:szCs w:val="20"/>
              </w:rPr>
              <w:t>*</w:t>
            </w:r>
          </w:p>
        </w:tc>
        <w:tc>
          <w:tcPr>
            <w:tcW w:w="719" w:type="pct"/>
          </w:tcPr>
          <w:p w14:paraId="6C69CADF" w14:textId="77777777" w:rsidR="00765237" w:rsidRPr="000B5813" w:rsidRDefault="00765237" w:rsidP="00765237">
            <w:pPr>
              <w:pStyle w:val="Compact"/>
              <w:jc w:val="right"/>
              <w:rPr>
                <w:color w:val="000000"/>
                <w:sz w:val="20"/>
                <w:szCs w:val="20"/>
              </w:rPr>
            </w:pPr>
            <w:r w:rsidRPr="000B5813">
              <w:rPr>
                <w:color w:val="000000"/>
                <w:sz w:val="20"/>
                <w:szCs w:val="20"/>
              </w:rPr>
              <w:t>146 (0.8)</w:t>
            </w:r>
          </w:p>
        </w:tc>
      </w:tr>
      <w:tr w:rsidR="00765237" w:rsidRPr="000B5813" w14:paraId="408632AF" w14:textId="77777777" w:rsidTr="00765237">
        <w:tc>
          <w:tcPr>
            <w:tcW w:w="0" w:type="auto"/>
          </w:tcPr>
          <w:p w14:paraId="4C987914" w14:textId="77777777" w:rsidR="00765237" w:rsidRPr="000B5813" w:rsidRDefault="00765237" w:rsidP="007C2015">
            <w:pPr>
              <w:pStyle w:val="Compact"/>
              <w:rPr>
                <w:color w:val="000000"/>
                <w:sz w:val="20"/>
                <w:szCs w:val="20"/>
              </w:rPr>
            </w:pPr>
            <w:r w:rsidRPr="000B5813">
              <w:rPr>
                <w:color w:val="000000"/>
                <w:sz w:val="20"/>
                <w:szCs w:val="20"/>
              </w:rPr>
              <w:t>Cemented stem</w:t>
            </w:r>
          </w:p>
        </w:tc>
        <w:tc>
          <w:tcPr>
            <w:tcW w:w="978" w:type="pct"/>
          </w:tcPr>
          <w:p w14:paraId="1069BFF2" w14:textId="77777777" w:rsidR="00765237" w:rsidRPr="000B5813" w:rsidRDefault="00765237" w:rsidP="007C2015">
            <w:pPr>
              <w:pStyle w:val="Compact"/>
              <w:rPr>
                <w:color w:val="000000"/>
                <w:sz w:val="20"/>
                <w:szCs w:val="20"/>
              </w:rPr>
            </w:pPr>
          </w:p>
        </w:tc>
        <w:tc>
          <w:tcPr>
            <w:tcW w:w="739" w:type="pct"/>
          </w:tcPr>
          <w:p w14:paraId="43F56BEC" w14:textId="77777777" w:rsidR="00765237" w:rsidRPr="000B5813" w:rsidRDefault="00765237" w:rsidP="00765237">
            <w:pPr>
              <w:pStyle w:val="Compact"/>
              <w:jc w:val="right"/>
              <w:rPr>
                <w:color w:val="000000"/>
                <w:sz w:val="20"/>
                <w:szCs w:val="20"/>
              </w:rPr>
            </w:pPr>
            <w:r w:rsidRPr="000B5813">
              <w:rPr>
                <w:color w:val="000000"/>
                <w:sz w:val="20"/>
                <w:szCs w:val="20"/>
              </w:rPr>
              <w:t xml:space="preserve">1600 </w:t>
            </w:r>
            <w:proofErr w:type="gramStart"/>
            <w:r w:rsidRPr="000B5813">
              <w:rPr>
                <w:color w:val="000000"/>
                <w:sz w:val="20"/>
                <w:szCs w:val="20"/>
              </w:rPr>
              <w:t>( 73.6</w:t>
            </w:r>
            <w:proofErr w:type="gramEnd"/>
            <w:r w:rsidRPr="000B5813">
              <w:rPr>
                <w:color w:val="000000"/>
                <w:sz w:val="20"/>
                <w:szCs w:val="20"/>
              </w:rPr>
              <w:t>)</w:t>
            </w:r>
          </w:p>
        </w:tc>
        <w:tc>
          <w:tcPr>
            <w:tcW w:w="812" w:type="pct"/>
          </w:tcPr>
          <w:p w14:paraId="393A21BD" w14:textId="77777777" w:rsidR="00765237" w:rsidRPr="000B5813" w:rsidRDefault="00765237" w:rsidP="00765237">
            <w:pPr>
              <w:pStyle w:val="Compact"/>
              <w:jc w:val="right"/>
              <w:rPr>
                <w:color w:val="000000"/>
                <w:sz w:val="20"/>
                <w:szCs w:val="20"/>
              </w:rPr>
            </w:pPr>
            <w:r w:rsidRPr="000B5813">
              <w:rPr>
                <w:color w:val="000000"/>
                <w:sz w:val="20"/>
                <w:szCs w:val="20"/>
              </w:rPr>
              <w:t xml:space="preserve">61377 </w:t>
            </w:r>
            <w:proofErr w:type="gramStart"/>
            <w:r w:rsidRPr="000B5813">
              <w:rPr>
                <w:color w:val="000000"/>
                <w:sz w:val="20"/>
                <w:szCs w:val="20"/>
              </w:rPr>
              <w:t>( 69.1</w:t>
            </w:r>
            <w:proofErr w:type="gramEnd"/>
            <w:r w:rsidRPr="000B5813">
              <w:rPr>
                <w:color w:val="000000"/>
                <w:sz w:val="20"/>
                <w:szCs w:val="20"/>
              </w:rPr>
              <w:t>)</w:t>
            </w:r>
          </w:p>
        </w:tc>
        <w:tc>
          <w:tcPr>
            <w:tcW w:w="665" w:type="pct"/>
          </w:tcPr>
          <w:p w14:paraId="062D23CF" w14:textId="77777777" w:rsidR="00765237" w:rsidRPr="000B5813" w:rsidRDefault="00765237" w:rsidP="00765237">
            <w:pPr>
              <w:pStyle w:val="Compact"/>
              <w:jc w:val="right"/>
              <w:rPr>
                <w:color w:val="000000"/>
                <w:sz w:val="20"/>
                <w:szCs w:val="20"/>
              </w:rPr>
            </w:pPr>
            <w:r w:rsidRPr="000B5813">
              <w:rPr>
                <w:color w:val="000000"/>
                <w:sz w:val="20"/>
                <w:szCs w:val="20"/>
              </w:rPr>
              <w:t>106 (25.9)</w:t>
            </w:r>
          </w:p>
        </w:tc>
        <w:tc>
          <w:tcPr>
            <w:tcW w:w="719" w:type="pct"/>
          </w:tcPr>
          <w:p w14:paraId="0CC36F01" w14:textId="77777777" w:rsidR="00765237" w:rsidRPr="000B5813" w:rsidRDefault="00765237" w:rsidP="00765237">
            <w:pPr>
              <w:pStyle w:val="Compact"/>
              <w:jc w:val="right"/>
              <w:rPr>
                <w:color w:val="000000"/>
                <w:sz w:val="20"/>
                <w:szCs w:val="20"/>
              </w:rPr>
            </w:pPr>
            <w:r w:rsidRPr="000B5813">
              <w:rPr>
                <w:color w:val="000000"/>
                <w:sz w:val="20"/>
                <w:szCs w:val="20"/>
              </w:rPr>
              <w:t>5039 (26.7)</w:t>
            </w:r>
          </w:p>
        </w:tc>
      </w:tr>
      <w:tr w:rsidR="00765237" w:rsidRPr="000B5813" w14:paraId="293F6F11" w14:textId="77777777" w:rsidTr="00765237">
        <w:tc>
          <w:tcPr>
            <w:tcW w:w="0" w:type="auto"/>
          </w:tcPr>
          <w:p w14:paraId="77533BB0" w14:textId="77777777" w:rsidR="00765237" w:rsidRPr="000B5813" w:rsidRDefault="00765237" w:rsidP="007C2015">
            <w:pPr>
              <w:pStyle w:val="Compact"/>
              <w:rPr>
                <w:color w:val="000000"/>
                <w:sz w:val="20"/>
                <w:szCs w:val="20"/>
              </w:rPr>
            </w:pPr>
            <w:r w:rsidRPr="000B5813">
              <w:rPr>
                <w:color w:val="000000"/>
                <w:sz w:val="20"/>
                <w:szCs w:val="20"/>
              </w:rPr>
              <w:t>Cemented cup</w:t>
            </w:r>
          </w:p>
        </w:tc>
        <w:tc>
          <w:tcPr>
            <w:tcW w:w="978" w:type="pct"/>
          </w:tcPr>
          <w:p w14:paraId="4F25C027" w14:textId="77777777" w:rsidR="00765237" w:rsidRPr="000B5813" w:rsidRDefault="00765237" w:rsidP="007C2015">
            <w:pPr>
              <w:pStyle w:val="Compact"/>
              <w:rPr>
                <w:color w:val="000000"/>
                <w:sz w:val="20"/>
                <w:szCs w:val="20"/>
              </w:rPr>
            </w:pPr>
          </w:p>
        </w:tc>
        <w:tc>
          <w:tcPr>
            <w:tcW w:w="739" w:type="pct"/>
          </w:tcPr>
          <w:p w14:paraId="764983B0" w14:textId="77777777" w:rsidR="00765237" w:rsidRPr="000B5813" w:rsidRDefault="00765237" w:rsidP="00765237">
            <w:pPr>
              <w:pStyle w:val="Compact"/>
              <w:jc w:val="right"/>
              <w:rPr>
                <w:color w:val="000000"/>
                <w:sz w:val="20"/>
                <w:szCs w:val="20"/>
              </w:rPr>
            </w:pPr>
            <w:r w:rsidRPr="000B5813">
              <w:rPr>
                <w:color w:val="000000"/>
                <w:sz w:val="20"/>
                <w:szCs w:val="20"/>
              </w:rPr>
              <w:t xml:space="preserve">1739 </w:t>
            </w:r>
            <w:proofErr w:type="gramStart"/>
            <w:r w:rsidRPr="000B5813">
              <w:rPr>
                <w:color w:val="000000"/>
                <w:sz w:val="20"/>
                <w:szCs w:val="20"/>
              </w:rPr>
              <w:t>( 80.0</w:t>
            </w:r>
            <w:proofErr w:type="gramEnd"/>
            <w:r w:rsidRPr="000B5813">
              <w:rPr>
                <w:color w:val="000000"/>
                <w:sz w:val="20"/>
                <w:szCs w:val="20"/>
              </w:rPr>
              <w:t>)</w:t>
            </w:r>
          </w:p>
        </w:tc>
        <w:tc>
          <w:tcPr>
            <w:tcW w:w="812" w:type="pct"/>
          </w:tcPr>
          <w:p w14:paraId="7D4DE9E0" w14:textId="77777777" w:rsidR="00765237" w:rsidRPr="000B5813" w:rsidRDefault="00765237" w:rsidP="00765237">
            <w:pPr>
              <w:pStyle w:val="Compact"/>
              <w:jc w:val="right"/>
              <w:rPr>
                <w:color w:val="000000"/>
                <w:sz w:val="20"/>
                <w:szCs w:val="20"/>
              </w:rPr>
            </w:pPr>
            <w:r w:rsidRPr="000B5813">
              <w:rPr>
                <w:color w:val="000000"/>
                <w:sz w:val="20"/>
                <w:szCs w:val="20"/>
              </w:rPr>
              <w:t xml:space="preserve">69886 </w:t>
            </w:r>
            <w:proofErr w:type="gramStart"/>
            <w:r w:rsidRPr="000B5813">
              <w:rPr>
                <w:color w:val="000000"/>
                <w:sz w:val="20"/>
                <w:szCs w:val="20"/>
              </w:rPr>
              <w:t>( 78.7</w:t>
            </w:r>
            <w:proofErr w:type="gramEnd"/>
            <w:r w:rsidRPr="000B5813">
              <w:rPr>
                <w:color w:val="000000"/>
                <w:sz w:val="20"/>
                <w:szCs w:val="20"/>
              </w:rPr>
              <w:t>)</w:t>
            </w:r>
          </w:p>
        </w:tc>
        <w:tc>
          <w:tcPr>
            <w:tcW w:w="665" w:type="pct"/>
          </w:tcPr>
          <w:p w14:paraId="311228CB" w14:textId="77777777" w:rsidR="00765237" w:rsidRPr="000B5813" w:rsidRDefault="00765237" w:rsidP="00765237">
            <w:pPr>
              <w:pStyle w:val="Compact"/>
              <w:jc w:val="right"/>
              <w:rPr>
                <w:color w:val="000000"/>
                <w:sz w:val="20"/>
                <w:szCs w:val="20"/>
              </w:rPr>
            </w:pPr>
            <w:r w:rsidRPr="000B5813">
              <w:rPr>
                <w:color w:val="000000"/>
                <w:sz w:val="20"/>
                <w:szCs w:val="20"/>
              </w:rPr>
              <w:t>45 (11.0)</w:t>
            </w:r>
          </w:p>
        </w:tc>
        <w:tc>
          <w:tcPr>
            <w:tcW w:w="719" w:type="pct"/>
          </w:tcPr>
          <w:p w14:paraId="20B3B550" w14:textId="77777777" w:rsidR="00765237" w:rsidRPr="000B5813" w:rsidRDefault="00765237" w:rsidP="00765237">
            <w:pPr>
              <w:pStyle w:val="Compact"/>
              <w:jc w:val="right"/>
              <w:rPr>
                <w:color w:val="000000"/>
                <w:sz w:val="20"/>
                <w:szCs w:val="20"/>
              </w:rPr>
            </w:pPr>
            <w:r w:rsidRPr="000B5813">
              <w:rPr>
                <w:color w:val="000000"/>
                <w:sz w:val="20"/>
                <w:szCs w:val="20"/>
              </w:rPr>
              <w:t>1501 (8.0)</w:t>
            </w:r>
          </w:p>
        </w:tc>
      </w:tr>
      <w:tr w:rsidR="00765237" w:rsidRPr="000B5813" w14:paraId="7AC4B849" w14:textId="77777777" w:rsidTr="00765237">
        <w:tc>
          <w:tcPr>
            <w:tcW w:w="0" w:type="auto"/>
          </w:tcPr>
          <w:p w14:paraId="0194B114" w14:textId="77777777" w:rsidR="00765237" w:rsidRPr="000B5813" w:rsidRDefault="00765237" w:rsidP="007C2015">
            <w:pPr>
              <w:pStyle w:val="Compact"/>
              <w:rPr>
                <w:color w:val="000000"/>
                <w:sz w:val="20"/>
                <w:szCs w:val="20"/>
              </w:rPr>
            </w:pPr>
            <w:r w:rsidRPr="000B5813">
              <w:rPr>
                <w:color w:val="000000"/>
                <w:sz w:val="20"/>
                <w:szCs w:val="20"/>
              </w:rPr>
              <w:t>Hospital</w:t>
            </w:r>
          </w:p>
        </w:tc>
        <w:tc>
          <w:tcPr>
            <w:tcW w:w="978" w:type="pct"/>
          </w:tcPr>
          <w:p w14:paraId="4059EDD5" w14:textId="41677D80" w:rsidR="00765237" w:rsidRPr="000B5813" w:rsidRDefault="00765237" w:rsidP="007C2015">
            <w:pPr>
              <w:pStyle w:val="Compact"/>
              <w:rPr>
                <w:color w:val="000000"/>
                <w:sz w:val="20"/>
                <w:szCs w:val="20"/>
              </w:rPr>
            </w:pPr>
            <w:r w:rsidRPr="000B5813">
              <w:rPr>
                <w:color w:val="000000"/>
                <w:sz w:val="20"/>
                <w:szCs w:val="20"/>
              </w:rPr>
              <w:t>University</w:t>
            </w:r>
          </w:p>
        </w:tc>
        <w:tc>
          <w:tcPr>
            <w:tcW w:w="739" w:type="pct"/>
          </w:tcPr>
          <w:p w14:paraId="5505EC9B" w14:textId="77777777" w:rsidR="00765237" w:rsidRPr="000B5813" w:rsidRDefault="00765237" w:rsidP="00765237">
            <w:pPr>
              <w:pStyle w:val="Compact"/>
              <w:jc w:val="right"/>
              <w:rPr>
                <w:color w:val="000000"/>
                <w:sz w:val="20"/>
                <w:szCs w:val="20"/>
              </w:rPr>
            </w:pPr>
            <w:r w:rsidRPr="000B5813">
              <w:rPr>
                <w:color w:val="000000"/>
                <w:sz w:val="20"/>
                <w:szCs w:val="20"/>
              </w:rPr>
              <w:t xml:space="preserve">776 </w:t>
            </w:r>
            <w:proofErr w:type="gramStart"/>
            <w:r w:rsidRPr="000B5813">
              <w:rPr>
                <w:color w:val="000000"/>
                <w:sz w:val="20"/>
                <w:szCs w:val="20"/>
              </w:rPr>
              <w:t>( 35.7</w:t>
            </w:r>
            <w:proofErr w:type="gramEnd"/>
            <w:r w:rsidRPr="000B5813">
              <w:rPr>
                <w:color w:val="000000"/>
                <w:sz w:val="20"/>
                <w:szCs w:val="20"/>
              </w:rPr>
              <w:t>)</w:t>
            </w:r>
          </w:p>
        </w:tc>
        <w:tc>
          <w:tcPr>
            <w:tcW w:w="812" w:type="pct"/>
          </w:tcPr>
          <w:p w14:paraId="5F52CEA6" w14:textId="77777777" w:rsidR="00765237" w:rsidRPr="000B5813" w:rsidRDefault="00765237" w:rsidP="00765237">
            <w:pPr>
              <w:pStyle w:val="Compact"/>
              <w:jc w:val="right"/>
              <w:rPr>
                <w:color w:val="000000"/>
                <w:sz w:val="20"/>
                <w:szCs w:val="20"/>
              </w:rPr>
            </w:pPr>
            <w:r w:rsidRPr="000B5813">
              <w:rPr>
                <w:color w:val="000000"/>
                <w:sz w:val="20"/>
                <w:szCs w:val="20"/>
              </w:rPr>
              <w:t xml:space="preserve">33938 </w:t>
            </w:r>
            <w:proofErr w:type="gramStart"/>
            <w:r w:rsidRPr="000B5813">
              <w:rPr>
                <w:color w:val="000000"/>
                <w:sz w:val="20"/>
                <w:szCs w:val="20"/>
              </w:rPr>
              <w:t>( 38.2</w:t>
            </w:r>
            <w:proofErr w:type="gramEnd"/>
            <w:r w:rsidRPr="000B5813">
              <w:rPr>
                <w:color w:val="000000"/>
                <w:sz w:val="20"/>
                <w:szCs w:val="20"/>
              </w:rPr>
              <w:t>)</w:t>
            </w:r>
          </w:p>
        </w:tc>
        <w:tc>
          <w:tcPr>
            <w:tcW w:w="665" w:type="pct"/>
          </w:tcPr>
          <w:p w14:paraId="06CE9611" w14:textId="60A193B9" w:rsidR="00765237" w:rsidRPr="000B5813" w:rsidRDefault="00C92BCF" w:rsidP="00765237">
            <w:pPr>
              <w:pStyle w:val="Compact"/>
              <w:jc w:val="right"/>
              <w:rPr>
                <w:color w:val="000000"/>
                <w:sz w:val="20"/>
                <w:szCs w:val="20"/>
              </w:rPr>
            </w:pPr>
            <w:r>
              <w:rPr>
                <w:color w:val="000000"/>
                <w:sz w:val="20"/>
                <w:szCs w:val="20"/>
              </w:rPr>
              <w:t>NA</w:t>
            </w:r>
          </w:p>
        </w:tc>
        <w:tc>
          <w:tcPr>
            <w:tcW w:w="719" w:type="pct"/>
          </w:tcPr>
          <w:p w14:paraId="3E5FC2E6" w14:textId="64D78175" w:rsidR="00765237" w:rsidRPr="000B5813" w:rsidRDefault="00C92BCF" w:rsidP="00765237">
            <w:pPr>
              <w:pStyle w:val="Compact"/>
              <w:jc w:val="right"/>
              <w:rPr>
                <w:color w:val="000000"/>
                <w:sz w:val="20"/>
                <w:szCs w:val="20"/>
              </w:rPr>
            </w:pPr>
            <w:r>
              <w:rPr>
                <w:color w:val="000000"/>
                <w:sz w:val="20"/>
                <w:szCs w:val="20"/>
              </w:rPr>
              <w:t>NA</w:t>
            </w:r>
          </w:p>
        </w:tc>
      </w:tr>
      <w:tr w:rsidR="00765237" w:rsidRPr="000B5813" w14:paraId="0A220B36" w14:textId="77777777" w:rsidTr="00765237">
        <w:tc>
          <w:tcPr>
            <w:tcW w:w="0" w:type="auto"/>
          </w:tcPr>
          <w:p w14:paraId="67DEB457" w14:textId="77777777" w:rsidR="00765237" w:rsidRPr="000B5813" w:rsidRDefault="00765237" w:rsidP="007C2015">
            <w:pPr>
              <w:pStyle w:val="Compact"/>
              <w:rPr>
                <w:color w:val="000000"/>
                <w:sz w:val="20"/>
                <w:szCs w:val="20"/>
              </w:rPr>
            </w:pPr>
          </w:p>
        </w:tc>
        <w:tc>
          <w:tcPr>
            <w:tcW w:w="978" w:type="pct"/>
          </w:tcPr>
          <w:p w14:paraId="65B95621" w14:textId="399C9D9E" w:rsidR="00765237" w:rsidRPr="000B5813" w:rsidRDefault="00765237" w:rsidP="007C2015">
            <w:pPr>
              <w:pStyle w:val="Compact"/>
              <w:rPr>
                <w:color w:val="000000"/>
                <w:sz w:val="20"/>
                <w:szCs w:val="20"/>
              </w:rPr>
            </w:pPr>
            <w:r w:rsidRPr="000B5813">
              <w:rPr>
                <w:color w:val="000000"/>
                <w:sz w:val="20"/>
                <w:szCs w:val="20"/>
              </w:rPr>
              <w:t>County</w:t>
            </w:r>
          </w:p>
        </w:tc>
        <w:tc>
          <w:tcPr>
            <w:tcW w:w="739" w:type="pct"/>
          </w:tcPr>
          <w:p w14:paraId="122A18BE" w14:textId="77777777" w:rsidR="00765237" w:rsidRPr="000B5813" w:rsidRDefault="00765237" w:rsidP="00765237">
            <w:pPr>
              <w:pStyle w:val="Compact"/>
              <w:jc w:val="right"/>
              <w:rPr>
                <w:color w:val="000000"/>
                <w:sz w:val="20"/>
                <w:szCs w:val="20"/>
              </w:rPr>
            </w:pPr>
            <w:r w:rsidRPr="000B5813">
              <w:rPr>
                <w:color w:val="000000"/>
                <w:sz w:val="20"/>
                <w:szCs w:val="20"/>
              </w:rPr>
              <w:t xml:space="preserve">851 </w:t>
            </w:r>
            <w:proofErr w:type="gramStart"/>
            <w:r w:rsidRPr="000B5813">
              <w:rPr>
                <w:color w:val="000000"/>
                <w:sz w:val="20"/>
                <w:szCs w:val="20"/>
              </w:rPr>
              <w:t>( 39.2</w:t>
            </w:r>
            <w:proofErr w:type="gramEnd"/>
            <w:r w:rsidRPr="000B5813">
              <w:rPr>
                <w:color w:val="000000"/>
                <w:sz w:val="20"/>
                <w:szCs w:val="20"/>
              </w:rPr>
              <w:t>)</w:t>
            </w:r>
          </w:p>
        </w:tc>
        <w:tc>
          <w:tcPr>
            <w:tcW w:w="812" w:type="pct"/>
          </w:tcPr>
          <w:p w14:paraId="7403E1F3" w14:textId="77777777" w:rsidR="00765237" w:rsidRPr="000B5813" w:rsidRDefault="00765237" w:rsidP="00765237">
            <w:pPr>
              <w:pStyle w:val="Compact"/>
              <w:jc w:val="right"/>
              <w:rPr>
                <w:color w:val="000000"/>
                <w:sz w:val="20"/>
                <w:szCs w:val="20"/>
              </w:rPr>
            </w:pPr>
            <w:r w:rsidRPr="000B5813">
              <w:rPr>
                <w:color w:val="000000"/>
                <w:sz w:val="20"/>
                <w:szCs w:val="20"/>
              </w:rPr>
              <w:t xml:space="preserve">29220 </w:t>
            </w:r>
            <w:proofErr w:type="gramStart"/>
            <w:r w:rsidRPr="000B5813">
              <w:rPr>
                <w:color w:val="000000"/>
                <w:sz w:val="20"/>
                <w:szCs w:val="20"/>
              </w:rPr>
              <w:t>( 32.9</w:t>
            </w:r>
            <w:proofErr w:type="gramEnd"/>
            <w:r w:rsidRPr="000B5813">
              <w:rPr>
                <w:color w:val="000000"/>
                <w:sz w:val="20"/>
                <w:szCs w:val="20"/>
              </w:rPr>
              <w:t>)</w:t>
            </w:r>
          </w:p>
        </w:tc>
        <w:tc>
          <w:tcPr>
            <w:tcW w:w="665" w:type="pct"/>
          </w:tcPr>
          <w:p w14:paraId="54001891" w14:textId="565A3500" w:rsidR="00765237" w:rsidRPr="000B5813" w:rsidRDefault="00C92BCF" w:rsidP="00765237">
            <w:pPr>
              <w:pStyle w:val="Compact"/>
              <w:jc w:val="right"/>
              <w:rPr>
                <w:color w:val="000000"/>
                <w:sz w:val="20"/>
                <w:szCs w:val="20"/>
              </w:rPr>
            </w:pPr>
            <w:r>
              <w:rPr>
                <w:color w:val="000000"/>
                <w:sz w:val="20"/>
                <w:szCs w:val="20"/>
              </w:rPr>
              <w:t>NA</w:t>
            </w:r>
          </w:p>
        </w:tc>
        <w:tc>
          <w:tcPr>
            <w:tcW w:w="719" w:type="pct"/>
          </w:tcPr>
          <w:p w14:paraId="22BB6518" w14:textId="36E66D22" w:rsidR="00765237" w:rsidRPr="000B5813" w:rsidRDefault="00C92BCF" w:rsidP="00765237">
            <w:pPr>
              <w:pStyle w:val="Compact"/>
              <w:jc w:val="right"/>
              <w:rPr>
                <w:color w:val="000000"/>
                <w:sz w:val="20"/>
                <w:szCs w:val="20"/>
              </w:rPr>
            </w:pPr>
            <w:r>
              <w:rPr>
                <w:color w:val="000000"/>
                <w:sz w:val="20"/>
                <w:szCs w:val="20"/>
              </w:rPr>
              <w:t>NA</w:t>
            </w:r>
          </w:p>
        </w:tc>
      </w:tr>
      <w:tr w:rsidR="00765237" w:rsidRPr="000B5813" w14:paraId="1B4FB121" w14:textId="77777777" w:rsidTr="00765237">
        <w:tc>
          <w:tcPr>
            <w:tcW w:w="0" w:type="auto"/>
          </w:tcPr>
          <w:p w14:paraId="5714C0A7" w14:textId="77777777" w:rsidR="00765237" w:rsidRPr="000B5813" w:rsidRDefault="00765237" w:rsidP="007C2015">
            <w:pPr>
              <w:pStyle w:val="Compact"/>
              <w:rPr>
                <w:color w:val="000000"/>
                <w:sz w:val="20"/>
                <w:szCs w:val="20"/>
              </w:rPr>
            </w:pPr>
          </w:p>
        </w:tc>
        <w:tc>
          <w:tcPr>
            <w:tcW w:w="978" w:type="pct"/>
          </w:tcPr>
          <w:p w14:paraId="522F9CAF" w14:textId="609EB8D7" w:rsidR="00765237" w:rsidRPr="000B5813" w:rsidRDefault="00765237" w:rsidP="007C2015">
            <w:pPr>
              <w:pStyle w:val="Compact"/>
              <w:rPr>
                <w:color w:val="000000"/>
                <w:sz w:val="20"/>
                <w:szCs w:val="20"/>
              </w:rPr>
            </w:pPr>
            <w:r w:rsidRPr="000B5813">
              <w:rPr>
                <w:color w:val="000000"/>
                <w:sz w:val="20"/>
                <w:szCs w:val="20"/>
              </w:rPr>
              <w:t>Rural</w:t>
            </w:r>
          </w:p>
        </w:tc>
        <w:tc>
          <w:tcPr>
            <w:tcW w:w="739" w:type="pct"/>
          </w:tcPr>
          <w:p w14:paraId="079AD37F" w14:textId="77777777" w:rsidR="00765237" w:rsidRPr="000B5813" w:rsidRDefault="00765237" w:rsidP="00765237">
            <w:pPr>
              <w:pStyle w:val="Compact"/>
              <w:jc w:val="right"/>
              <w:rPr>
                <w:color w:val="000000"/>
                <w:sz w:val="20"/>
                <w:szCs w:val="20"/>
              </w:rPr>
            </w:pPr>
            <w:r w:rsidRPr="000B5813">
              <w:rPr>
                <w:color w:val="000000"/>
                <w:sz w:val="20"/>
                <w:szCs w:val="20"/>
              </w:rPr>
              <w:t xml:space="preserve">319 </w:t>
            </w:r>
            <w:proofErr w:type="gramStart"/>
            <w:r w:rsidRPr="000B5813">
              <w:rPr>
                <w:color w:val="000000"/>
                <w:sz w:val="20"/>
                <w:szCs w:val="20"/>
              </w:rPr>
              <w:t>( 14.7</w:t>
            </w:r>
            <w:proofErr w:type="gramEnd"/>
            <w:r w:rsidRPr="000B5813">
              <w:rPr>
                <w:color w:val="000000"/>
                <w:sz w:val="20"/>
                <w:szCs w:val="20"/>
              </w:rPr>
              <w:t>)</w:t>
            </w:r>
          </w:p>
        </w:tc>
        <w:tc>
          <w:tcPr>
            <w:tcW w:w="812" w:type="pct"/>
          </w:tcPr>
          <w:p w14:paraId="59B07485" w14:textId="77777777" w:rsidR="00765237" w:rsidRPr="000B5813" w:rsidRDefault="00765237" w:rsidP="00765237">
            <w:pPr>
              <w:pStyle w:val="Compact"/>
              <w:jc w:val="right"/>
              <w:rPr>
                <w:color w:val="000000"/>
                <w:sz w:val="20"/>
                <w:szCs w:val="20"/>
              </w:rPr>
            </w:pPr>
            <w:r w:rsidRPr="000B5813">
              <w:rPr>
                <w:color w:val="000000"/>
                <w:sz w:val="20"/>
                <w:szCs w:val="20"/>
              </w:rPr>
              <w:t xml:space="preserve">17725 </w:t>
            </w:r>
            <w:proofErr w:type="gramStart"/>
            <w:r w:rsidRPr="000B5813">
              <w:rPr>
                <w:color w:val="000000"/>
                <w:sz w:val="20"/>
                <w:szCs w:val="20"/>
              </w:rPr>
              <w:t>( 20.0</w:t>
            </w:r>
            <w:proofErr w:type="gramEnd"/>
            <w:r w:rsidRPr="000B5813">
              <w:rPr>
                <w:color w:val="000000"/>
                <w:sz w:val="20"/>
                <w:szCs w:val="20"/>
              </w:rPr>
              <w:t>)</w:t>
            </w:r>
          </w:p>
        </w:tc>
        <w:tc>
          <w:tcPr>
            <w:tcW w:w="665" w:type="pct"/>
          </w:tcPr>
          <w:p w14:paraId="6172F3CC" w14:textId="4B18F836" w:rsidR="00765237" w:rsidRPr="000B5813" w:rsidRDefault="00C92BCF" w:rsidP="00765237">
            <w:pPr>
              <w:pStyle w:val="Compact"/>
              <w:jc w:val="right"/>
              <w:rPr>
                <w:color w:val="000000"/>
                <w:sz w:val="20"/>
                <w:szCs w:val="20"/>
              </w:rPr>
            </w:pPr>
            <w:r>
              <w:rPr>
                <w:color w:val="000000"/>
                <w:sz w:val="20"/>
                <w:szCs w:val="20"/>
              </w:rPr>
              <w:t>NA</w:t>
            </w:r>
          </w:p>
        </w:tc>
        <w:tc>
          <w:tcPr>
            <w:tcW w:w="719" w:type="pct"/>
          </w:tcPr>
          <w:p w14:paraId="11FFBF04" w14:textId="182DFF4B" w:rsidR="00765237" w:rsidRPr="000B5813" w:rsidRDefault="00C92BCF" w:rsidP="00765237">
            <w:pPr>
              <w:pStyle w:val="Compact"/>
              <w:jc w:val="right"/>
              <w:rPr>
                <w:color w:val="000000"/>
                <w:sz w:val="20"/>
                <w:szCs w:val="20"/>
              </w:rPr>
            </w:pPr>
            <w:r>
              <w:rPr>
                <w:color w:val="000000"/>
                <w:sz w:val="20"/>
                <w:szCs w:val="20"/>
              </w:rPr>
              <w:t>NA</w:t>
            </w:r>
          </w:p>
        </w:tc>
      </w:tr>
      <w:tr w:rsidR="00765237" w:rsidRPr="000B5813" w14:paraId="63054696" w14:textId="77777777" w:rsidTr="00765237">
        <w:tc>
          <w:tcPr>
            <w:tcW w:w="0" w:type="auto"/>
          </w:tcPr>
          <w:p w14:paraId="5B4B0D10" w14:textId="77777777" w:rsidR="00765237" w:rsidRPr="000B5813" w:rsidRDefault="00765237" w:rsidP="007C2015">
            <w:pPr>
              <w:pStyle w:val="Compact"/>
              <w:rPr>
                <w:color w:val="000000"/>
                <w:sz w:val="20"/>
                <w:szCs w:val="20"/>
              </w:rPr>
            </w:pPr>
          </w:p>
        </w:tc>
        <w:tc>
          <w:tcPr>
            <w:tcW w:w="978" w:type="pct"/>
          </w:tcPr>
          <w:p w14:paraId="694102FD" w14:textId="0207A6FD" w:rsidR="00765237" w:rsidRPr="000B5813" w:rsidRDefault="00765237" w:rsidP="007C2015">
            <w:pPr>
              <w:pStyle w:val="Compact"/>
              <w:rPr>
                <w:color w:val="000000"/>
                <w:sz w:val="20"/>
                <w:szCs w:val="20"/>
              </w:rPr>
            </w:pPr>
            <w:r w:rsidRPr="000B5813">
              <w:rPr>
                <w:color w:val="000000"/>
                <w:sz w:val="20"/>
                <w:szCs w:val="20"/>
              </w:rPr>
              <w:t>Private</w:t>
            </w:r>
          </w:p>
        </w:tc>
        <w:tc>
          <w:tcPr>
            <w:tcW w:w="739" w:type="pct"/>
          </w:tcPr>
          <w:p w14:paraId="7E1C9E7D" w14:textId="77777777" w:rsidR="00765237" w:rsidRPr="000B5813" w:rsidRDefault="00765237" w:rsidP="00765237">
            <w:pPr>
              <w:pStyle w:val="Compact"/>
              <w:jc w:val="right"/>
              <w:rPr>
                <w:color w:val="000000"/>
                <w:sz w:val="20"/>
                <w:szCs w:val="20"/>
              </w:rPr>
            </w:pPr>
            <w:r w:rsidRPr="000B5813">
              <w:rPr>
                <w:color w:val="000000"/>
                <w:sz w:val="20"/>
                <w:szCs w:val="20"/>
              </w:rPr>
              <w:t xml:space="preserve">227 </w:t>
            </w:r>
            <w:proofErr w:type="gramStart"/>
            <w:r w:rsidRPr="000B5813">
              <w:rPr>
                <w:color w:val="000000"/>
                <w:sz w:val="20"/>
                <w:szCs w:val="20"/>
              </w:rPr>
              <w:t>( 10.4</w:t>
            </w:r>
            <w:proofErr w:type="gramEnd"/>
            <w:r w:rsidRPr="000B5813">
              <w:rPr>
                <w:color w:val="000000"/>
                <w:sz w:val="20"/>
                <w:szCs w:val="20"/>
              </w:rPr>
              <w:t>)</w:t>
            </w:r>
          </w:p>
        </w:tc>
        <w:tc>
          <w:tcPr>
            <w:tcW w:w="812" w:type="pct"/>
          </w:tcPr>
          <w:p w14:paraId="2AF927E8" w14:textId="77777777" w:rsidR="00765237" w:rsidRPr="000B5813" w:rsidRDefault="00765237" w:rsidP="00765237">
            <w:pPr>
              <w:pStyle w:val="Compact"/>
              <w:jc w:val="right"/>
              <w:rPr>
                <w:color w:val="000000"/>
                <w:sz w:val="20"/>
                <w:szCs w:val="20"/>
              </w:rPr>
            </w:pPr>
            <w:r w:rsidRPr="000B5813">
              <w:rPr>
                <w:color w:val="000000"/>
                <w:sz w:val="20"/>
                <w:szCs w:val="20"/>
              </w:rPr>
              <w:t xml:space="preserve">7947 </w:t>
            </w:r>
            <w:proofErr w:type="gramStart"/>
            <w:r w:rsidRPr="000B5813">
              <w:rPr>
                <w:color w:val="000000"/>
                <w:sz w:val="20"/>
                <w:szCs w:val="20"/>
              </w:rPr>
              <w:t>( 8.9</w:t>
            </w:r>
            <w:proofErr w:type="gramEnd"/>
            <w:r w:rsidRPr="000B5813">
              <w:rPr>
                <w:color w:val="000000"/>
                <w:sz w:val="20"/>
                <w:szCs w:val="20"/>
              </w:rPr>
              <w:t>)</w:t>
            </w:r>
          </w:p>
        </w:tc>
        <w:tc>
          <w:tcPr>
            <w:tcW w:w="665" w:type="pct"/>
          </w:tcPr>
          <w:p w14:paraId="337CCAEB" w14:textId="7DC4E18F" w:rsidR="00765237" w:rsidRPr="000B5813" w:rsidRDefault="00C92BCF" w:rsidP="00765237">
            <w:pPr>
              <w:pStyle w:val="Compact"/>
              <w:jc w:val="right"/>
              <w:rPr>
                <w:color w:val="000000"/>
                <w:sz w:val="20"/>
                <w:szCs w:val="20"/>
              </w:rPr>
            </w:pPr>
            <w:r>
              <w:rPr>
                <w:color w:val="000000"/>
                <w:sz w:val="20"/>
                <w:szCs w:val="20"/>
              </w:rPr>
              <w:t>NA</w:t>
            </w:r>
          </w:p>
        </w:tc>
        <w:tc>
          <w:tcPr>
            <w:tcW w:w="719" w:type="pct"/>
          </w:tcPr>
          <w:p w14:paraId="558178D4" w14:textId="29C74227" w:rsidR="00765237" w:rsidRPr="000B5813" w:rsidRDefault="00C92BCF" w:rsidP="00765237">
            <w:pPr>
              <w:pStyle w:val="Compact"/>
              <w:jc w:val="right"/>
              <w:rPr>
                <w:color w:val="000000"/>
                <w:sz w:val="20"/>
                <w:szCs w:val="20"/>
              </w:rPr>
            </w:pPr>
            <w:r>
              <w:rPr>
                <w:color w:val="000000"/>
                <w:sz w:val="20"/>
                <w:szCs w:val="20"/>
              </w:rPr>
              <w:t>NA</w:t>
            </w:r>
          </w:p>
        </w:tc>
      </w:tr>
      <w:tr w:rsidR="00765237" w:rsidRPr="000B5813" w14:paraId="28A71C39" w14:textId="77777777" w:rsidTr="00765237">
        <w:tc>
          <w:tcPr>
            <w:tcW w:w="0" w:type="auto"/>
          </w:tcPr>
          <w:p w14:paraId="5C71E612" w14:textId="77777777" w:rsidR="00765237" w:rsidRPr="000B5813" w:rsidRDefault="00765237" w:rsidP="007C2015">
            <w:pPr>
              <w:pStyle w:val="Compact"/>
              <w:rPr>
                <w:color w:val="000000"/>
                <w:sz w:val="20"/>
                <w:szCs w:val="20"/>
              </w:rPr>
            </w:pPr>
            <w:r w:rsidRPr="000B5813">
              <w:rPr>
                <w:color w:val="000000"/>
                <w:sz w:val="20"/>
                <w:szCs w:val="20"/>
              </w:rPr>
              <w:t>Education</w:t>
            </w:r>
          </w:p>
        </w:tc>
        <w:tc>
          <w:tcPr>
            <w:tcW w:w="978" w:type="pct"/>
          </w:tcPr>
          <w:p w14:paraId="18942ADD" w14:textId="57347AC9" w:rsidR="00765237" w:rsidRPr="000B5813" w:rsidRDefault="00765237" w:rsidP="007C2015">
            <w:pPr>
              <w:pStyle w:val="Compact"/>
              <w:rPr>
                <w:color w:val="000000"/>
                <w:sz w:val="20"/>
                <w:szCs w:val="20"/>
              </w:rPr>
            </w:pPr>
            <w:r w:rsidRPr="000B5813">
              <w:rPr>
                <w:color w:val="000000"/>
                <w:sz w:val="20"/>
                <w:szCs w:val="20"/>
              </w:rPr>
              <w:t>Low</w:t>
            </w:r>
            <w:r w:rsidR="00C92BCF">
              <w:rPr>
                <w:color w:val="000000"/>
                <w:sz w:val="20"/>
                <w:szCs w:val="20"/>
              </w:rPr>
              <w:t xml:space="preserve"> </w:t>
            </w:r>
            <w:proofErr w:type="gramStart"/>
            <w:r w:rsidR="00C92BCF">
              <w:rPr>
                <w:color w:val="000000"/>
                <w:sz w:val="20"/>
                <w:szCs w:val="20"/>
              </w:rPr>
              <w:t xml:space="preserve">( </w:t>
            </w:r>
            <w:r w:rsidR="00C92BCF">
              <w:rPr>
                <w:rFonts w:cs="Times New Roman"/>
                <w:color w:val="000000"/>
                <w:sz w:val="20"/>
                <w:szCs w:val="20"/>
              </w:rPr>
              <w:t>≤</w:t>
            </w:r>
            <w:proofErr w:type="gramEnd"/>
            <w:r w:rsidR="00C92BCF">
              <w:rPr>
                <w:color w:val="000000"/>
                <w:sz w:val="20"/>
                <w:szCs w:val="20"/>
              </w:rPr>
              <w:t xml:space="preserve"> 9 years)</w:t>
            </w:r>
          </w:p>
        </w:tc>
        <w:tc>
          <w:tcPr>
            <w:tcW w:w="739" w:type="pct"/>
          </w:tcPr>
          <w:p w14:paraId="073D3076" w14:textId="77777777" w:rsidR="00765237" w:rsidRPr="000B5813" w:rsidRDefault="00765237" w:rsidP="00765237">
            <w:pPr>
              <w:pStyle w:val="Compact"/>
              <w:jc w:val="right"/>
              <w:rPr>
                <w:color w:val="000000"/>
                <w:sz w:val="20"/>
                <w:szCs w:val="20"/>
              </w:rPr>
            </w:pPr>
            <w:r w:rsidRPr="000B5813">
              <w:rPr>
                <w:color w:val="000000"/>
                <w:sz w:val="20"/>
                <w:szCs w:val="20"/>
              </w:rPr>
              <w:t xml:space="preserve">453 </w:t>
            </w:r>
            <w:proofErr w:type="gramStart"/>
            <w:r w:rsidRPr="000B5813">
              <w:rPr>
                <w:color w:val="000000"/>
                <w:sz w:val="20"/>
                <w:szCs w:val="20"/>
              </w:rPr>
              <w:t>( 20.8</w:t>
            </w:r>
            <w:proofErr w:type="gramEnd"/>
            <w:r w:rsidRPr="000B5813">
              <w:rPr>
                <w:color w:val="000000"/>
                <w:sz w:val="20"/>
                <w:szCs w:val="20"/>
              </w:rPr>
              <w:t>)</w:t>
            </w:r>
          </w:p>
        </w:tc>
        <w:tc>
          <w:tcPr>
            <w:tcW w:w="812" w:type="pct"/>
          </w:tcPr>
          <w:p w14:paraId="5178DFFB" w14:textId="77777777" w:rsidR="00765237" w:rsidRPr="000B5813" w:rsidRDefault="00765237" w:rsidP="00765237">
            <w:pPr>
              <w:pStyle w:val="Compact"/>
              <w:jc w:val="right"/>
              <w:rPr>
                <w:color w:val="000000"/>
                <w:sz w:val="20"/>
                <w:szCs w:val="20"/>
              </w:rPr>
            </w:pPr>
            <w:r w:rsidRPr="000B5813">
              <w:rPr>
                <w:color w:val="000000"/>
                <w:sz w:val="20"/>
                <w:szCs w:val="20"/>
              </w:rPr>
              <w:t xml:space="preserve">22660 </w:t>
            </w:r>
            <w:proofErr w:type="gramStart"/>
            <w:r w:rsidRPr="000B5813">
              <w:rPr>
                <w:color w:val="000000"/>
                <w:sz w:val="20"/>
                <w:szCs w:val="20"/>
              </w:rPr>
              <w:t>( 25.5</w:t>
            </w:r>
            <w:proofErr w:type="gramEnd"/>
            <w:r w:rsidRPr="000B5813">
              <w:rPr>
                <w:color w:val="000000"/>
                <w:sz w:val="20"/>
                <w:szCs w:val="20"/>
              </w:rPr>
              <w:t>)</w:t>
            </w:r>
          </w:p>
        </w:tc>
        <w:tc>
          <w:tcPr>
            <w:tcW w:w="665" w:type="pct"/>
          </w:tcPr>
          <w:p w14:paraId="2535741B" w14:textId="77777777" w:rsidR="00765237" w:rsidRPr="000B5813" w:rsidRDefault="00765237" w:rsidP="00765237">
            <w:pPr>
              <w:pStyle w:val="Compact"/>
              <w:jc w:val="right"/>
              <w:rPr>
                <w:color w:val="000000"/>
                <w:sz w:val="20"/>
                <w:szCs w:val="20"/>
              </w:rPr>
            </w:pPr>
            <w:r w:rsidRPr="000B5813">
              <w:rPr>
                <w:color w:val="000000"/>
                <w:sz w:val="20"/>
                <w:szCs w:val="20"/>
              </w:rPr>
              <w:t>164 (40.0)</w:t>
            </w:r>
          </w:p>
        </w:tc>
        <w:tc>
          <w:tcPr>
            <w:tcW w:w="719" w:type="pct"/>
          </w:tcPr>
          <w:p w14:paraId="0EB3F412" w14:textId="77777777" w:rsidR="00765237" w:rsidRPr="000B5813" w:rsidRDefault="00765237" w:rsidP="00765237">
            <w:pPr>
              <w:pStyle w:val="Compact"/>
              <w:jc w:val="right"/>
              <w:rPr>
                <w:color w:val="000000"/>
                <w:sz w:val="20"/>
                <w:szCs w:val="20"/>
              </w:rPr>
            </w:pPr>
            <w:r w:rsidRPr="000B5813">
              <w:rPr>
                <w:color w:val="000000"/>
                <w:sz w:val="20"/>
                <w:szCs w:val="20"/>
              </w:rPr>
              <w:t>6158 (32.7)</w:t>
            </w:r>
          </w:p>
        </w:tc>
      </w:tr>
      <w:tr w:rsidR="00765237" w:rsidRPr="000B5813" w14:paraId="219F3FEC" w14:textId="77777777" w:rsidTr="00765237">
        <w:tc>
          <w:tcPr>
            <w:tcW w:w="0" w:type="auto"/>
          </w:tcPr>
          <w:p w14:paraId="2DF28DB3" w14:textId="77777777" w:rsidR="00765237" w:rsidRPr="000B5813" w:rsidRDefault="00765237" w:rsidP="007C2015">
            <w:pPr>
              <w:pStyle w:val="Compact"/>
              <w:rPr>
                <w:color w:val="000000"/>
                <w:sz w:val="20"/>
                <w:szCs w:val="20"/>
              </w:rPr>
            </w:pPr>
          </w:p>
        </w:tc>
        <w:tc>
          <w:tcPr>
            <w:tcW w:w="978" w:type="pct"/>
          </w:tcPr>
          <w:p w14:paraId="4D32E172" w14:textId="24C741C9" w:rsidR="00765237" w:rsidRPr="000B5813" w:rsidRDefault="00765237" w:rsidP="007C2015">
            <w:pPr>
              <w:pStyle w:val="Compact"/>
              <w:rPr>
                <w:color w:val="000000"/>
                <w:sz w:val="20"/>
                <w:szCs w:val="20"/>
              </w:rPr>
            </w:pPr>
            <w:r w:rsidRPr="000B5813">
              <w:rPr>
                <w:color w:val="000000"/>
                <w:sz w:val="20"/>
                <w:szCs w:val="20"/>
              </w:rPr>
              <w:t>Middle</w:t>
            </w:r>
            <w:r w:rsidR="00C92BCF">
              <w:rPr>
                <w:color w:val="000000"/>
                <w:sz w:val="20"/>
                <w:szCs w:val="20"/>
              </w:rPr>
              <w:t xml:space="preserve"> (9-12 years)</w:t>
            </w:r>
          </w:p>
        </w:tc>
        <w:tc>
          <w:tcPr>
            <w:tcW w:w="739" w:type="pct"/>
          </w:tcPr>
          <w:p w14:paraId="33FFAEF4" w14:textId="77777777" w:rsidR="00765237" w:rsidRPr="000B5813" w:rsidRDefault="00765237" w:rsidP="00765237">
            <w:pPr>
              <w:pStyle w:val="Compact"/>
              <w:jc w:val="right"/>
              <w:rPr>
                <w:color w:val="000000"/>
                <w:sz w:val="20"/>
                <w:szCs w:val="20"/>
              </w:rPr>
            </w:pPr>
            <w:r w:rsidRPr="000B5813">
              <w:rPr>
                <w:color w:val="000000"/>
                <w:sz w:val="20"/>
                <w:szCs w:val="20"/>
              </w:rPr>
              <w:t xml:space="preserve">814 </w:t>
            </w:r>
            <w:proofErr w:type="gramStart"/>
            <w:r w:rsidRPr="000B5813">
              <w:rPr>
                <w:color w:val="000000"/>
                <w:sz w:val="20"/>
                <w:szCs w:val="20"/>
              </w:rPr>
              <w:t>( 37.5</w:t>
            </w:r>
            <w:proofErr w:type="gramEnd"/>
            <w:r w:rsidRPr="000B5813">
              <w:rPr>
                <w:color w:val="000000"/>
                <w:sz w:val="20"/>
                <w:szCs w:val="20"/>
              </w:rPr>
              <w:t>)</w:t>
            </w:r>
          </w:p>
        </w:tc>
        <w:tc>
          <w:tcPr>
            <w:tcW w:w="812" w:type="pct"/>
          </w:tcPr>
          <w:p w14:paraId="72E786A0" w14:textId="77777777" w:rsidR="00765237" w:rsidRPr="000B5813" w:rsidRDefault="00765237" w:rsidP="00765237">
            <w:pPr>
              <w:pStyle w:val="Compact"/>
              <w:jc w:val="right"/>
              <w:rPr>
                <w:color w:val="000000"/>
                <w:sz w:val="20"/>
                <w:szCs w:val="20"/>
              </w:rPr>
            </w:pPr>
            <w:r w:rsidRPr="000B5813">
              <w:rPr>
                <w:color w:val="000000"/>
                <w:sz w:val="20"/>
                <w:szCs w:val="20"/>
              </w:rPr>
              <w:t xml:space="preserve">29323 </w:t>
            </w:r>
            <w:proofErr w:type="gramStart"/>
            <w:r w:rsidRPr="000B5813">
              <w:rPr>
                <w:color w:val="000000"/>
                <w:sz w:val="20"/>
                <w:szCs w:val="20"/>
              </w:rPr>
              <w:t>( 33.0</w:t>
            </w:r>
            <w:proofErr w:type="gramEnd"/>
            <w:r w:rsidRPr="000B5813">
              <w:rPr>
                <w:color w:val="000000"/>
                <w:sz w:val="20"/>
                <w:szCs w:val="20"/>
              </w:rPr>
              <w:t>)</w:t>
            </w:r>
          </w:p>
        </w:tc>
        <w:tc>
          <w:tcPr>
            <w:tcW w:w="665" w:type="pct"/>
          </w:tcPr>
          <w:p w14:paraId="3724ACF9" w14:textId="77777777" w:rsidR="00765237" w:rsidRPr="000B5813" w:rsidRDefault="00765237" w:rsidP="00765237">
            <w:pPr>
              <w:pStyle w:val="Compact"/>
              <w:jc w:val="right"/>
              <w:rPr>
                <w:color w:val="000000"/>
                <w:sz w:val="20"/>
                <w:szCs w:val="20"/>
              </w:rPr>
            </w:pPr>
            <w:r w:rsidRPr="000B5813">
              <w:rPr>
                <w:color w:val="000000"/>
                <w:sz w:val="20"/>
                <w:szCs w:val="20"/>
              </w:rPr>
              <w:t>163 (39.8)</w:t>
            </w:r>
          </w:p>
        </w:tc>
        <w:tc>
          <w:tcPr>
            <w:tcW w:w="719" w:type="pct"/>
          </w:tcPr>
          <w:p w14:paraId="150CA83F" w14:textId="77777777" w:rsidR="00765237" w:rsidRPr="000B5813" w:rsidRDefault="00765237" w:rsidP="00765237">
            <w:pPr>
              <w:pStyle w:val="Compact"/>
              <w:jc w:val="right"/>
              <w:rPr>
                <w:color w:val="000000"/>
                <w:sz w:val="20"/>
                <w:szCs w:val="20"/>
              </w:rPr>
            </w:pPr>
            <w:r w:rsidRPr="000B5813">
              <w:rPr>
                <w:color w:val="000000"/>
                <w:sz w:val="20"/>
                <w:szCs w:val="20"/>
              </w:rPr>
              <w:t>8572 (45.5)</w:t>
            </w:r>
          </w:p>
        </w:tc>
      </w:tr>
      <w:tr w:rsidR="00765237" w:rsidRPr="000B5813" w14:paraId="626C7FB3" w14:textId="77777777" w:rsidTr="00765237">
        <w:tc>
          <w:tcPr>
            <w:tcW w:w="0" w:type="auto"/>
          </w:tcPr>
          <w:p w14:paraId="7563FBB3" w14:textId="77777777" w:rsidR="00765237" w:rsidRPr="000B5813" w:rsidRDefault="00765237" w:rsidP="007C2015">
            <w:pPr>
              <w:pStyle w:val="Compact"/>
              <w:rPr>
                <w:color w:val="000000"/>
                <w:sz w:val="20"/>
                <w:szCs w:val="20"/>
              </w:rPr>
            </w:pPr>
          </w:p>
        </w:tc>
        <w:tc>
          <w:tcPr>
            <w:tcW w:w="978" w:type="pct"/>
          </w:tcPr>
          <w:p w14:paraId="17BC005C" w14:textId="4DF1F91C" w:rsidR="00765237" w:rsidRPr="000B5813" w:rsidRDefault="00765237" w:rsidP="007C2015">
            <w:pPr>
              <w:pStyle w:val="Compact"/>
              <w:rPr>
                <w:color w:val="000000"/>
                <w:sz w:val="20"/>
                <w:szCs w:val="20"/>
              </w:rPr>
            </w:pPr>
            <w:r w:rsidRPr="000B5813">
              <w:rPr>
                <w:color w:val="000000"/>
                <w:sz w:val="20"/>
                <w:szCs w:val="20"/>
              </w:rPr>
              <w:t>High</w:t>
            </w:r>
            <w:r w:rsidR="00C92BCF">
              <w:rPr>
                <w:color w:val="000000"/>
                <w:sz w:val="20"/>
                <w:szCs w:val="20"/>
              </w:rPr>
              <w:t xml:space="preserve"> (&gt; 12 years)</w:t>
            </w:r>
          </w:p>
        </w:tc>
        <w:tc>
          <w:tcPr>
            <w:tcW w:w="739" w:type="pct"/>
          </w:tcPr>
          <w:p w14:paraId="2266867E" w14:textId="77777777" w:rsidR="00765237" w:rsidRPr="000B5813" w:rsidRDefault="00765237" w:rsidP="00765237">
            <w:pPr>
              <w:pStyle w:val="Compact"/>
              <w:jc w:val="right"/>
              <w:rPr>
                <w:color w:val="000000"/>
                <w:sz w:val="20"/>
                <w:szCs w:val="20"/>
              </w:rPr>
            </w:pPr>
            <w:r w:rsidRPr="000B5813">
              <w:rPr>
                <w:color w:val="000000"/>
                <w:sz w:val="20"/>
                <w:szCs w:val="20"/>
              </w:rPr>
              <w:t xml:space="preserve">906 </w:t>
            </w:r>
            <w:proofErr w:type="gramStart"/>
            <w:r w:rsidRPr="000B5813">
              <w:rPr>
                <w:color w:val="000000"/>
                <w:sz w:val="20"/>
                <w:szCs w:val="20"/>
              </w:rPr>
              <w:t>( 41.7</w:t>
            </w:r>
            <w:proofErr w:type="gramEnd"/>
            <w:r w:rsidRPr="000B5813">
              <w:rPr>
                <w:color w:val="000000"/>
                <w:sz w:val="20"/>
                <w:szCs w:val="20"/>
              </w:rPr>
              <w:t>)</w:t>
            </w:r>
          </w:p>
        </w:tc>
        <w:tc>
          <w:tcPr>
            <w:tcW w:w="812" w:type="pct"/>
          </w:tcPr>
          <w:p w14:paraId="524244AC" w14:textId="77777777" w:rsidR="00765237" w:rsidRPr="000B5813" w:rsidRDefault="00765237" w:rsidP="00765237">
            <w:pPr>
              <w:pStyle w:val="Compact"/>
              <w:jc w:val="right"/>
              <w:rPr>
                <w:color w:val="000000"/>
                <w:sz w:val="20"/>
                <w:szCs w:val="20"/>
              </w:rPr>
            </w:pPr>
            <w:r w:rsidRPr="000B5813">
              <w:rPr>
                <w:color w:val="000000"/>
                <w:sz w:val="20"/>
                <w:szCs w:val="20"/>
              </w:rPr>
              <w:t xml:space="preserve">36847 </w:t>
            </w:r>
            <w:proofErr w:type="gramStart"/>
            <w:r w:rsidRPr="000B5813">
              <w:rPr>
                <w:color w:val="000000"/>
                <w:sz w:val="20"/>
                <w:szCs w:val="20"/>
              </w:rPr>
              <w:t>( 41.5</w:t>
            </w:r>
            <w:proofErr w:type="gramEnd"/>
            <w:r w:rsidRPr="000B5813">
              <w:rPr>
                <w:color w:val="000000"/>
                <w:sz w:val="20"/>
                <w:szCs w:val="20"/>
              </w:rPr>
              <w:t>)</w:t>
            </w:r>
          </w:p>
        </w:tc>
        <w:tc>
          <w:tcPr>
            <w:tcW w:w="665" w:type="pct"/>
          </w:tcPr>
          <w:p w14:paraId="53515D77" w14:textId="77777777" w:rsidR="00765237" w:rsidRPr="000B5813" w:rsidRDefault="00765237" w:rsidP="00765237">
            <w:pPr>
              <w:pStyle w:val="Compact"/>
              <w:jc w:val="right"/>
              <w:rPr>
                <w:color w:val="000000"/>
                <w:sz w:val="20"/>
                <w:szCs w:val="20"/>
              </w:rPr>
            </w:pPr>
            <w:r w:rsidRPr="000B5813">
              <w:rPr>
                <w:color w:val="000000"/>
                <w:sz w:val="20"/>
                <w:szCs w:val="20"/>
              </w:rPr>
              <w:t>83 (20.2)</w:t>
            </w:r>
          </w:p>
        </w:tc>
        <w:tc>
          <w:tcPr>
            <w:tcW w:w="719" w:type="pct"/>
          </w:tcPr>
          <w:p w14:paraId="737B760B" w14:textId="77777777" w:rsidR="00765237" w:rsidRPr="000B5813" w:rsidRDefault="00765237" w:rsidP="00765237">
            <w:pPr>
              <w:pStyle w:val="Compact"/>
              <w:jc w:val="right"/>
              <w:rPr>
                <w:color w:val="000000"/>
                <w:sz w:val="20"/>
                <w:szCs w:val="20"/>
              </w:rPr>
            </w:pPr>
            <w:r w:rsidRPr="000B5813">
              <w:rPr>
                <w:color w:val="000000"/>
                <w:sz w:val="20"/>
                <w:szCs w:val="20"/>
              </w:rPr>
              <w:t>4124 (21.9)</w:t>
            </w:r>
          </w:p>
        </w:tc>
      </w:tr>
      <w:tr w:rsidR="00765237" w:rsidRPr="000B5813" w14:paraId="4F74E4C4" w14:textId="77777777" w:rsidTr="00765237">
        <w:tc>
          <w:tcPr>
            <w:tcW w:w="0" w:type="auto"/>
          </w:tcPr>
          <w:p w14:paraId="776BF208" w14:textId="77777777" w:rsidR="00765237" w:rsidRPr="000B5813" w:rsidRDefault="00765237" w:rsidP="007C2015">
            <w:pPr>
              <w:pStyle w:val="Compact"/>
              <w:rPr>
                <w:color w:val="000000"/>
                <w:sz w:val="20"/>
                <w:szCs w:val="20"/>
              </w:rPr>
            </w:pPr>
            <w:r w:rsidRPr="000B5813">
              <w:rPr>
                <w:color w:val="000000"/>
                <w:sz w:val="20"/>
                <w:szCs w:val="20"/>
              </w:rPr>
              <w:t>Civil status</w:t>
            </w:r>
          </w:p>
        </w:tc>
        <w:tc>
          <w:tcPr>
            <w:tcW w:w="978" w:type="pct"/>
          </w:tcPr>
          <w:p w14:paraId="03310E5A" w14:textId="12A52DCF" w:rsidR="00765237" w:rsidRPr="000B5813" w:rsidRDefault="00765237" w:rsidP="007C2015">
            <w:pPr>
              <w:pStyle w:val="Compact"/>
              <w:rPr>
                <w:color w:val="000000"/>
                <w:sz w:val="20"/>
                <w:szCs w:val="20"/>
              </w:rPr>
            </w:pPr>
            <w:r w:rsidRPr="000B5813">
              <w:rPr>
                <w:color w:val="000000"/>
                <w:sz w:val="20"/>
                <w:szCs w:val="20"/>
              </w:rPr>
              <w:t>Married</w:t>
            </w:r>
          </w:p>
        </w:tc>
        <w:tc>
          <w:tcPr>
            <w:tcW w:w="739" w:type="pct"/>
          </w:tcPr>
          <w:p w14:paraId="0C004679" w14:textId="77777777" w:rsidR="00765237" w:rsidRPr="000B5813" w:rsidRDefault="00765237" w:rsidP="00765237">
            <w:pPr>
              <w:pStyle w:val="Compact"/>
              <w:jc w:val="right"/>
              <w:rPr>
                <w:color w:val="000000"/>
                <w:sz w:val="20"/>
                <w:szCs w:val="20"/>
              </w:rPr>
            </w:pPr>
            <w:r w:rsidRPr="000B5813">
              <w:rPr>
                <w:color w:val="000000"/>
                <w:sz w:val="20"/>
                <w:szCs w:val="20"/>
              </w:rPr>
              <w:t xml:space="preserve">1134 </w:t>
            </w:r>
            <w:proofErr w:type="gramStart"/>
            <w:r w:rsidRPr="000B5813">
              <w:rPr>
                <w:color w:val="000000"/>
                <w:sz w:val="20"/>
                <w:szCs w:val="20"/>
              </w:rPr>
              <w:t>( 52.2</w:t>
            </w:r>
            <w:proofErr w:type="gramEnd"/>
            <w:r w:rsidRPr="000B5813">
              <w:rPr>
                <w:color w:val="000000"/>
                <w:sz w:val="20"/>
                <w:szCs w:val="20"/>
              </w:rPr>
              <w:t>)</w:t>
            </w:r>
          </w:p>
        </w:tc>
        <w:tc>
          <w:tcPr>
            <w:tcW w:w="812" w:type="pct"/>
          </w:tcPr>
          <w:p w14:paraId="019C5725" w14:textId="77777777" w:rsidR="00765237" w:rsidRPr="000B5813" w:rsidRDefault="00765237" w:rsidP="00765237">
            <w:pPr>
              <w:pStyle w:val="Compact"/>
              <w:jc w:val="right"/>
              <w:rPr>
                <w:color w:val="000000"/>
                <w:sz w:val="20"/>
                <w:szCs w:val="20"/>
              </w:rPr>
            </w:pPr>
            <w:r w:rsidRPr="000B5813">
              <w:rPr>
                <w:color w:val="000000"/>
                <w:sz w:val="20"/>
                <w:szCs w:val="20"/>
              </w:rPr>
              <w:t xml:space="preserve">49133 </w:t>
            </w:r>
            <w:proofErr w:type="gramStart"/>
            <w:r w:rsidRPr="000B5813">
              <w:rPr>
                <w:color w:val="000000"/>
                <w:sz w:val="20"/>
                <w:szCs w:val="20"/>
              </w:rPr>
              <w:t>( 55.3</w:t>
            </w:r>
            <w:proofErr w:type="gramEnd"/>
            <w:r w:rsidRPr="000B5813">
              <w:rPr>
                <w:color w:val="000000"/>
                <w:sz w:val="20"/>
                <w:szCs w:val="20"/>
              </w:rPr>
              <w:t>)</w:t>
            </w:r>
          </w:p>
        </w:tc>
        <w:tc>
          <w:tcPr>
            <w:tcW w:w="665" w:type="pct"/>
          </w:tcPr>
          <w:p w14:paraId="65C7DFFA" w14:textId="77777777" w:rsidR="00765237" w:rsidRPr="000B5813" w:rsidRDefault="00765237" w:rsidP="00765237">
            <w:pPr>
              <w:pStyle w:val="Compact"/>
              <w:jc w:val="right"/>
              <w:rPr>
                <w:color w:val="000000"/>
                <w:sz w:val="20"/>
                <w:szCs w:val="20"/>
              </w:rPr>
            </w:pPr>
            <w:r w:rsidRPr="000B5813">
              <w:rPr>
                <w:color w:val="000000"/>
                <w:sz w:val="20"/>
                <w:szCs w:val="20"/>
              </w:rPr>
              <w:t>204 (49.8)</w:t>
            </w:r>
          </w:p>
        </w:tc>
        <w:tc>
          <w:tcPr>
            <w:tcW w:w="719" w:type="pct"/>
          </w:tcPr>
          <w:p w14:paraId="3FE85796" w14:textId="77777777" w:rsidR="00765237" w:rsidRPr="000B5813" w:rsidRDefault="00765237" w:rsidP="00765237">
            <w:pPr>
              <w:pStyle w:val="Compact"/>
              <w:jc w:val="right"/>
              <w:rPr>
                <w:color w:val="000000"/>
                <w:sz w:val="20"/>
                <w:szCs w:val="20"/>
              </w:rPr>
            </w:pPr>
            <w:r w:rsidRPr="000B5813">
              <w:rPr>
                <w:color w:val="000000"/>
                <w:sz w:val="20"/>
                <w:szCs w:val="20"/>
              </w:rPr>
              <w:t>10928 (58.0)</w:t>
            </w:r>
          </w:p>
        </w:tc>
      </w:tr>
      <w:tr w:rsidR="00765237" w:rsidRPr="000B5813" w14:paraId="6443AC17" w14:textId="77777777" w:rsidTr="00765237">
        <w:tc>
          <w:tcPr>
            <w:tcW w:w="0" w:type="auto"/>
          </w:tcPr>
          <w:p w14:paraId="527913C9" w14:textId="77777777" w:rsidR="00765237" w:rsidRPr="000B5813" w:rsidRDefault="00765237" w:rsidP="007C2015">
            <w:pPr>
              <w:pStyle w:val="Compact"/>
              <w:rPr>
                <w:color w:val="000000"/>
                <w:sz w:val="20"/>
                <w:szCs w:val="20"/>
              </w:rPr>
            </w:pPr>
          </w:p>
        </w:tc>
        <w:tc>
          <w:tcPr>
            <w:tcW w:w="978" w:type="pct"/>
          </w:tcPr>
          <w:p w14:paraId="09F8E508" w14:textId="22195650" w:rsidR="00765237" w:rsidRPr="000B5813" w:rsidRDefault="00765237" w:rsidP="007C2015">
            <w:pPr>
              <w:pStyle w:val="Compact"/>
              <w:rPr>
                <w:color w:val="000000"/>
                <w:sz w:val="20"/>
                <w:szCs w:val="20"/>
              </w:rPr>
            </w:pPr>
            <w:r w:rsidRPr="000B5813">
              <w:rPr>
                <w:color w:val="000000"/>
                <w:sz w:val="20"/>
                <w:szCs w:val="20"/>
              </w:rPr>
              <w:t>Single</w:t>
            </w:r>
          </w:p>
        </w:tc>
        <w:tc>
          <w:tcPr>
            <w:tcW w:w="739" w:type="pct"/>
          </w:tcPr>
          <w:p w14:paraId="2C7723AC" w14:textId="77777777" w:rsidR="00765237" w:rsidRPr="000B5813" w:rsidRDefault="00765237" w:rsidP="00765237">
            <w:pPr>
              <w:pStyle w:val="Compact"/>
              <w:jc w:val="right"/>
              <w:rPr>
                <w:color w:val="000000"/>
                <w:sz w:val="20"/>
                <w:szCs w:val="20"/>
              </w:rPr>
            </w:pPr>
            <w:r w:rsidRPr="000B5813">
              <w:rPr>
                <w:color w:val="000000"/>
                <w:sz w:val="20"/>
                <w:szCs w:val="20"/>
              </w:rPr>
              <w:t xml:space="preserve">647 </w:t>
            </w:r>
            <w:proofErr w:type="gramStart"/>
            <w:r w:rsidRPr="000B5813">
              <w:rPr>
                <w:color w:val="000000"/>
                <w:sz w:val="20"/>
                <w:szCs w:val="20"/>
              </w:rPr>
              <w:t>( 29.8</w:t>
            </w:r>
            <w:proofErr w:type="gramEnd"/>
            <w:r w:rsidRPr="000B5813">
              <w:rPr>
                <w:color w:val="000000"/>
                <w:sz w:val="20"/>
                <w:szCs w:val="20"/>
              </w:rPr>
              <w:t>)</w:t>
            </w:r>
          </w:p>
        </w:tc>
        <w:tc>
          <w:tcPr>
            <w:tcW w:w="812" w:type="pct"/>
          </w:tcPr>
          <w:p w14:paraId="71A04710" w14:textId="77777777" w:rsidR="00765237" w:rsidRPr="000B5813" w:rsidRDefault="00765237" w:rsidP="00765237">
            <w:pPr>
              <w:pStyle w:val="Compact"/>
              <w:jc w:val="right"/>
              <w:rPr>
                <w:color w:val="000000"/>
                <w:sz w:val="20"/>
                <w:szCs w:val="20"/>
              </w:rPr>
            </w:pPr>
            <w:r w:rsidRPr="000B5813">
              <w:rPr>
                <w:color w:val="000000"/>
                <w:sz w:val="20"/>
                <w:szCs w:val="20"/>
              </w:rPr>
              <w:t xml:space="preserve">25930 </w:t>
            </w:r>
            <w:proofErr w:type="gramStart"/>
            <w:r w:rsidRPr="000B5813">
              <w:rPr>
                <w:color w:val="000000"/>
                <w:sz w:val="20"/>
                <w:szCs w:val="20"/>
              </w:rPr>
              <w:t>( 29.2</w:t>
            </w:r>
            <w:proofErr w:type="gramEnd"/>
            <w:r w:rsidRPr="000B5813">
              <w:rPr>
                <w:color w:val="000000"/>
                <w:sz w:val="20"/>
                <w:szCs w:val="20"/>
              </w:rPr>
              <w:t>)</w:t>
            </w:r>
          </w:p>
        </w:tc>
        <w:tc>
          <w:tcPr>
            <w:tcW w:w="665" w:type="pct"/>
          </w:tcPr>
          <w:p w14:paraId="2CD318E4" w14:textId="77777777" w:rsidR="00765237" w:rsidRPr="000B5813" w:rsidRDefault="00765237" w:rsidP="00765237">
            <w:pPr>
              <w:pStyle w:val="Compact"/>
              <w:jc w:val="right"/>
              <w:rPr>
                <w:color w:val="000000"/>
                <w:sz w:val="20"/>
                <w:szCs w:val="20"/>
              </w:rPr>
            </w:pPr>
            <w:r w:rsidRPr="000B5813">
              <w:rPr>
                <w:color w:val="000000"/>
                <w:sz w:val="20"/>
                <w:szCs w:val="20"/>
              </w:rPr>
              <w:t>123 (30.0)</w:t>
            </w:r>
          </w:p>
        </w:tc>
        <w:tc>
          <w:tcPr>
            <w:tcW w:w="719" w:type="pct"/>
          </w:tcPr>
          <w:p w14:paraId="396EA1D8" w14:textId="77777777" w:rsidR="00765237" w:rsidRPr="000B5813" w:rsidRDefault="00765237" w:rsidP="00765237">
            <w:pPr>
              <w:pStyle w:val="Compact"/>
              <w:jc w:val="right"/>
              <w:rPr>
                <w:color w:val="000000"/>
                <w:sz w:val="20"/>
                <w:szCs w:val="20"/>
              </w:rPr>
            </w:pPr>
            <w:r w:rsidRPr="000B5813">
              <w:rPr>
                <w:color w:val="000000"/>
                <w:sz w:val="20"/>
                <w:szCs w:val="20"/>
              </w:rPr>
              <w:t>4516 (23.9)</w:t>
            </w:r>
          </w:p>
        </w:tc>
      </w:tr>
      <w:tr w:rsidR="00765237" w:rsidRPr="000B5813" w14:paraId="36695858" w14:textId="77777777" w:rsidTr="00765237">
        <w:tc>
          <w:tcPr>
            <w:tcW w:w="0" w:type="auto"/>
          </w:tcPr>
          <w:p w14:paraId="132DD948" w14:textId="77777777" w:rsidR="00765237" w:rsidRPr="000B5813" w:rsidRDefault="00765237" w:rsidP="007C2015">
            <w:pPr>
              <w:pStyle w:val="Compact"/>
              <w:rPr>
                <w:color w:val="000000"/>
                <w:sz w:val="20"/>
                <w:szCs w:val="20"/>
              </w:rPr>
            </w:pPr>
          </w:p>
        </w:tc>
        <w:tc>
          <w:tcPr>
            <w:tcW w:w="978" w:type="pct"/>
          </w:tcPr>
          <w:p w14:paraId="60F55A59" w14:textId="43BE1D3C" w:rsidR="00765237" w:rsidRPr="000B5813" w:rsidRDefault="00765237" w:rsidP="007C2015">
            <w:pPr>
              <w:pStyle w:val="Compact"/>
              <w:rPr>
                <w:color w:val="000000"/>
                <w:sz w:val="20"/>
                <w:szCs w:val="20"/>
              </w:rPr>
            </w:pPr>
            <w:r w:rsidRPr="000B5813">
              <w:rPr>
                <w:color w:val="000000"/>
                <w:sz w:val="20"/>
                <w:szCs w:val="20"/>
              </w:rPr>
              <w:t>Widow/widower</w:t>
            </w:r>
          </w:p>
        </w:tc>
        <w:tc>
          <w:tcPr>
            <w:tcW w:w="739" w:type="pct"/>
          </w:tcPr>
          <w:p w14:paraId="3F97F534" w14:textId="77777777" w:rsidR="00765237" w:rsidRPr="000B5813" w:rsidRDefault="00765237" w:rsidP="00765237">
            <w:pPr>
              <w:pStyle w:val="Compact"/>
              <w:jc w:val="right"/>
              <w:rPr>
                <w:color w:val="000000"/>
                <w:sz w:val="20"/>
                <w:szCs w:val="20"/>
              </w:rPr>
            </w:pPr>
            <w:r w:rsidRPr="000B5813">
              <w:rPr>
                <w:color w:val="000000"/>
                <w:sz w:val="20"/>
                <w:szCs w:val="20"/>
              </w:rPr>
              <w:t xml:space="preserve">392 </w:t>
            </w:r>
            <w:proofErr w:type="gramStart"/>
            <w:r w:rsidRPr="000B5813">
              <w:rPr>
                <w:color w:val="000000"/>
                <w:sz w:val="20"/>
                <w:szCs w:val="20"/>
              </w:rPr>
              <w:t>( 18.0</w:t>
            </w:r>
            <w:proofErr w:type="gramEnd"/>
            <w:r w:rsidRPr="000B5813">
              <w:rPr>
                <w:color w:val="000000"/>
                <w:sz w:val="20"/>
                <w:szCs w:val="20"/>
              </w:rPr>
              <w:t>)</w:t>
            </w:r>
          </w:p>
        </w:tc>
        <w:tc>
          <w:tcPr>
            <w:tcW w:w="812" w:type="pct"/>
          </w:tcPr>
          <w:p w14:paraId="43A6A2CF" w14:textId="77777777" w:rsidR="00765237" w:rsidRPr="000B5813" w:rsidRDefault="00765237" w:rsidP="00765237">
            <w:pPr>
              <w:pStyle w:val="Compact"/>
              <w:jc w:val="right"/>
              <w:rPr>
                <w:color w:val="000000"/>
                <w:sz w:val="20"/>
                <w:szCs w:val="20"/>
              </w:rPr>
            </w:pPr>
            <w:r w:rsidRPr="000B5813">
              <w:rPr>
                <w:color w:val="000000"/>
                <w:sz w:val="20"/>
                <w:szCs w:val="20"/>
              </w:rPr>
              <w:t xml:space="preserve">13767 </w:t>
            </w:r>
            <w:proofErr w:type="gramStart"/>
            <w:r w:rsidRPr="000B5813">
              <w:rPr>
                <w:color w:val="000000"/>
                <w:sz w:val="20"/>
                <w:szCs w:val="20"/>
              </w:rPr>
              <w:t>( 15.5</w:t>
            </w:r>
            <w:proofErr w:type="gramEnd"/>
            <w:r w:rsidRPr="000B5813">
              <w:rPr>
                <w:color w:val="000000"/>
                <w:sz w:val="20"/>
                <w:szCs w:val="20"/>
              </w:rPr>
              <w:t>)</w:t>
            </w:r>
          </w:p>
        </w:tc>
        <w:tc>
          <w:tcPr>
            <w:tcW w:w="665" w:type="pct"/>
          </w:tcPr>
          <w:p w14:paraId="6AC0ADA6" w14:textId="77777777" w:rsidR="00765237" w:rsidRPr="000B5813" w:rsidRDefault="00765237" w:rsidP="00765237">
            <w:pPr>
              <w:pStyle w:val="Compact"/>
              <w:jc w:val="right"/>
              <w:rPr>
                <w:color w:val="000000"/>
                <w:sz w:val="20"/>
                <w:szCs w:val="20"/>
              </w:rPr>
            </w:pPr>
            <w:r w:rsidRPr="000B5813">
              <w:rPr>
                <w:color w:val="000000"/>
                <w:sz w:val="20"/>
                <w:szCs w:val="20"/>
              </w:rPr>
              <w:t>83 (20.2)</w:t>
            </w:r>
          </w:p>
        </w:tc>
        <w:tc>
          <w:tcPr>
            <w:tcW w:w="719" w:type="pct"/>
          </w:tcPr>
          <w:p w14:paraId="7CD299F5" w14:textId="77777777" w:rsidR="00765237" w:rsidRPr="000B5813" w:rsidRDefault="00765237" w:rsidP="00765237">
            <w:pPr>
              <w:pStyle w:val="Compact"/>
              <w:jc w:val="right"/>
              <w:rPr>
                <w:color w:val="000000"/>
                <w:sz w:val="20"/>
                <w:szCs w:val="20"/>
              </w:rPr>
            </w:pPr>
            <w:r w:rsidRPr="000B5813">
              <w:rPr>
                <w:color w:val="000000"/>
                <w:sz w:val="20"/>
                <w:szCs w:val="20"/>
              </w:rPr>
              <w:t>3410 (18.1)</w:t>
            </w:r>
          </w:p>
        </w:tc>
      </w:tr>
      <w:tr w:rsidR="00765237" w:rsidRPr="000B5813" w14:paraId="44628E97" w14:textId="77777777" w:rsidTr="00765237">
        <w:tc>
          <w:tcPr>
            <w:tcW w:w="0" w:type="auto"/>
          </w:tcPr>
          <w:p w14:paraId="026F0A0E" w14:textId="77777777" w:rsidR="00765237" w:rsidRPr="000B5813" w:rsidRDefault="00765237" w:rsidP="007C2015">
            <w:pPr>
              <w:pStyle w:val="Compact"/>
              <w:rPr>
                <w:color w:val="000000"/>
                <w:sz w:val="20"/>
                <w:szCs w:val="20"/>
              </w:rPr>
            </w:pPr>
            <w:r w:rsidRPr="000B5813">
              <w:rPr>
                <w:color w:val="000000"/>
                <w:sz w:val="20"/>
                <w:szCs w:val="20"/>
              </w:rPr>
              <w:t>Charlson</w:t>
            </w:r>
          </w:p>
        </w:tc>
        <w:tc>
          <w:tcPr>
            <w:tcW w:w="978" w:type="pct"/>
          </w:tcPr>
          <w:p w14:paraId="78E165A4" w14:textId="77777777" w:rsidR="00765237" w:rsidRPr="000B5813" w:rsidRDefault="00765237" w:rsidP="007C2015">
            <w:pPr>
              <w:pStyle w:val="Compact"/>
              <w:rPr>
                <w:color w:val="000000"/>
                <w:sz w:val="20"/>
                <w:szCs w:val="20"/>
              </w:rPr>
            </w:pPr>
            <w:r w:rsidRPr="000B5813">
              <w:rPr>
                <w:color w:val="000000"/>
                <w:sz w:val="20"/>
                <w:szCs w:val="20"/>
              </w:rPr>
              <w:t>0</w:t>
            </w:r>
          </w:p>
        </w:tc>
        <w:tc>
          <w:tcPr>
            <w:tcW w:w="739" w:type="pct"/>
          </w:tcPr>
          <w:p w14:paraId="7A054B60" w14:textId="77777777" w:rsidR="00765237" w:rsidRPr="000B5813" w:rsidRDefault="00765237" w:rsidP="00765237">
            <w:pPr>
              <w:pStyle w:val="Compact"/>
              <w:jc w:val="right"/>
              <w:rPr>
                <w:color w:val="000000"/>
                <w:sz w:val="20"/>
                <w:szCs w:val="20"/>
              </w:rPr>
            </w:pPr>
            <w:r w:rsidRPr="000B5813">
              <w:rPr>
                <w:color w:val="000000"/>
                <w:sz w:val="20"/>
                <w:szCs w:val="20"/>
              </w:rPr>
              <w:t xml:space="preserve">1413 </w:t>
            </w:r>
            <w:proofErr w:type="gramStart"/>
            <w:r w:rsidRPr="000B5813">
              <w:rPr>
                <w:color w:val="000000"/>
                <w:sz w:val="20"/>
                <w:szCs w:val="20"/>
              </w:rPr>
              <w:t>( 65.0</w:t>
            </w:r>
            <w:proofErr w:type="gramEnd"/>
            <w:r w:rsidRPr="000B5813">
              <w:rPr>
                <w:color w:val="000000"/>
                <w:sz w:val="20"/>
                <w:szCs w:val="20"/>
              </w:rPr>
              <w:t>)</w:t>
            </w:r>
          </w:p>
        </w:tc>
        <w:tc>
          <w:tcPr>
            <w:tcW w:w="812" w:type="pct"/>
          </w:tcPr>
          <w:p w14:paraId="382989F4" w14:textId="77777777" w:rsidR="00765237" w:rsidRPr="000B5813" w:rsidRDefault="00765237" w:rsidP="00765237">
            <w:pPr>
              <w:pStyle w:val="Compact"/>
              <w:jc w:val="right"/>
              <w:rPr>
                <w:color w:val="000000"/>
                <w:sz w:val="20"/>
                <w:szCs w:val="20"/>
              </w:rPr>
            </w:pPr>
            <w:r w:rsidRPr="000B5813">
              <w:rPr>
                <w:color w:val="000000"/>
                <w:sz w:val="20"/>
                <w:szCs w:val="20"/>
              </w:rPr>
              <w:t xml:space="preserve">67437 </w:t>
            </w:r>
            <w:proofErr w:type="gramStart"/>
            <w:r w:rsidRPr="000B5813">
              <w:rPr>
                <w:color w:val="000000"/>
                <w:sz w:val="20"/>
                <w:szCs w:val="20"/>
              </w:rPr>
              <w:t>( 75.9</w:t>
            </w:r>
            <w:proofErr w:type="gramEnd"/>
            <w:r w:rsidRPr="000B5813">
              <w:rPr>
                <w:color w:val="000000"/>
                <w:sz w:val="20"/>
                <w:szCs w:val="20"/>
              </w:rPr>
              <w:t>)</w:t>
            </w:r>
          </w:p>
        </w:tc>
        <w:tc>
          <w:tcPr>
            <w:tcW w:w="665" w:type="pct"/>
          </w:tcPr>
          <w:p w14:paraId="2C9E14A8" w14:textId="77777777" w:rsidR="00765237" w:rsidRPr="000B5813" w:rsidRDefault="00765237" w:rsidP="00765237">
            <w:pPr>
              <w:pStyle w:val="Compact"/>
              <w:jc w:val="right"/>
              <w:rPr>
                <w:color w:val="000000"/>
                <w:sz w:val="20"/>
                <w:szCs w:val="20"/>
              </w:rPr>
            </w:pPr>
            <w:r w:rsidRPr="000B5813">
              <w:rPr>
                <w:color w:val="000000"/>
                <w:sz w:val="20"/>
                <w:szCs w:val="20"/>
              </w:rPr>
              <w:t>328 (80.0)</w:t>
            </w:r>
          </w:p>
        </w:tc>
        <w:tc>
          <w:tcPr>
            <w:tcW w:w="719" w:type="pct"/>
          </w:tcPr>
          <w:p w14:paraId="478B41A7" w14:textId="77777777" w:rsidR="00765237" w:rsidRPr="000B5813" w:rsidRDefault="00765237" w:rsidP="00765237">
            <w:pPr>
              <w:pStyle w:val="Compact"/>
              <w:jc w:val="right"/>
              <w:rPr>
                <w:color w:val="000000"/>
                <w:sz w:val="20"/>
                <w:szCs w:val="20"/>
              </w:rPr>
            </w:pPr>
            <w:r w:rsidRPr="000B5813">
              <w:rPr>
                <w:color w:val="000000"/>
                <w:sz w:val="20"/>
                <w:szCs w:val="20"/>
              </w:rPr>
              <w:t>16132 (85.6)</w:t>
            </w:r>
          </w:p>
        </w:tc>
      </w:tr>
      <w:tr w:rsidR="00765237" w:rsidRPr="000B5813" w14:paraId="47B5998A" w14:textId="77777777" w:rsidTr="00765237">
        <w:tc>
          <w:tcPr>
            <w:tcW w:w="0" w:type="auto"/>
          </w:tcPr>
          <w:p w14:paraId="1405186A" w14:textId="77777777" w:rsidR="00765237" w:rsidRPr="000B5813" w:rsidRDefault="00765237" w:rsidP="007C2015">
            <w:pPr>
              <w:pStyle w:val="Compact"/>
              <w:rPr>
                <w:color w:val="000000"/>
                <w:sz w:val="20"/>
                <w:szCs w:val="20"/>
              </w:rPr>
            </w:pPr>
          </w:p>
        </w:tc>
        <w:tc>
          <w:tcPr>
            <w:tcW w:w="978" w:type="pct"/>
          </w:tcPr>
          <w:p w14:paraId="22866104" w14:textId="77777777" w:rsidR="00765237" w:rsidRPr="000B5813" w:rsidRDefault="00765237" w:rsidP="007C2015">
            <w:pPr>
              <w:pStyle w:val="Compact"/>
              <w:rPr>
                <w:color w:val="000000"/>
                <w:sz w:val="20"/>
                <w:szCs w:val="20"/>
              </w:rPr>
            </w:pPr>
            <w:r w:rsidRPr="000B5813">
              <w:rPr>
                <w:color w:val="000000"/>
                <w:sz w:val="20"/>
                <w:szCs w:val="20"/>
              </w:rPr>
              <w:t>1</w:t>
            </w:r>
          </w:p>
        </w:tc>
        <w:tc>
          <w:tcPr>
            <w:tcW w:w="739" w:type="pct"/>
          </w:tcPr>
          <w:p w14:paraId="1844AD5F" w14:textId="77777777" w:rsidR="00765237" w:rsidRPr="000B5813" w:rsidRDefault="00765237" w:rsidP="00765237">
            <w:pPr>
              <w:pStyle w:val="Compact"/>
              <w:jc w:val="right"/>
              <w:rPr>
                <w:color w:val="000000"/>
                <w:sz w:val="20"/>
                <w:szCs w:val="20"/>
              </w:rPr>
            </w:pPr>
            <w:r w:rsidRPr="000B5813">
              <w:rPr>
                <w:color w:val="000000"/>
                <w:sz w:val="20"/>
                <w:szCs w:val="20"/>
              </w:rPr>
              <w:t xml:space="preserve">423 </w:t>
            </w:r>
            <w:proofErr w:type="gramStart"/>
            <w:r w:rsidRPr="000B5813">
              <w:rPr>
                <w:color w:val="000000"/>
                <w:sz w:val="20"/>
                <w:szCs w:val="20"/>
              </w:rPr>
              <w:t>( 19.5</w:t>
            </w:r>
            <w:proofErr w:type="gramEnd"/>
            <w:r w:rsidRPr="000B5813">
              <w:rPr>
                <w:color w:val="000000"/>
                <w:sz w:val="20"/>
                <w:szCs w:val="20"/>
              </w:rPr>
              <w:t>)</w:t>
            </w:r>
          </w:p>
        </w:tc>
        <w:tc>
          <w:tcPr>
            <w:tcW w:w="812" w:type="pct"/>
          </w:tcPr>
          <w:p w14:paraId="1DBBE3F7" w14:textId="77777777" w:rsidR="00765237" w:rsidRPr="000B5813" w:rsidRDefault="00765237" w:rsidP="00765237">
            <w:pPr>
              <w:pStyle w:val="Compact"/>
              <w:jc w:val="right"/>
              <w:rPr>
                <w:color w:val="000000"/>
                <w:sz w:val="20"/>
                <w:szCs w:val="20"/>
              </w:rPr>
            </w:pPr>
            <w:r w:rsidRPr="000B5813">
              <w:rPr>
                <w:color w:val="000000"/>
                <w:sz w:val="20"/>
                <w:szCs w:val="20"/>
              </w:rPr>
              <w:t xml:space="preserve">12704 </w:t>
            </w:r>
            <w:proofErr w:type="gramStart"/>
            <w:r w:rsidRPr="000B5813">
              <w:rPr>
                <w:color w:val="000000"/>
                <w:sz w:val="20"/>
                <w:szCs w:val="20"/>
              </w:rPr>
              <w:t>( 14.3</w:t>
            </w:r>
            <w:proofErr w:type="gramEnd"/>
            <w:r w:rsidRPr="000B5813">
              <w:rPr>
                <w:color w:val="000000"/>
                <w:sz w:val="20"/>
                <w:szCs w:val="20"/>
              </w:rPr>
              <w:t>)</w:t>
            </w:r>
          </w:p>
        </w:tc>
        <w:tc>
          <w:tcPr>
            <w:tcW w:w="665" w:type="pct"/>
          </w:tcPr>
          <w:p w14:paraId="4C253506" w14:textId="77777777" w:rsidR="00765237" w:rsidRPr="000B5813" w:rsidRDefault="00765237" w:rsidP="00765237">
            <w:pPr>
              <w:pStyle w:val="Compact"/>
              <w:jc w:val="right"/>
              <w:rPr>
                <w:color w:val="000000"/>
                <w:sz w:val="20"/>
                <w:szCs w:val="20"/>
              </w:rPr>
            </w:pPr>
            <w:r w:rsidRPr="000B5813">
              <w:rPr>
                <w:color w:val="000000"/>
                <w:sz w:val="20"/>
                <w:szCs w:val="20"/>
              </w:rPr>
              <w:t>63 (15.4)</w:t>
            </w:r>
          </w:p>
        </w:tc>
        <w:tc>
          <w:tcPr>
            <w:tcW w:w="719" w:type="pct"/>
          </w:tcPr>
          <w:p w14:paraId="4A700D28" w14:textId="77777777" w:rsidR="00765237" w:rsidRPr="000B5813" w:rsidRDefault="00765237" w:rsidP="00765237">
            <w:pPr>
              <w:pStyle w:val="Compact"/>
              <w:jc w:val="right"/>
              <w:rPr>
                <w:color w:val="000000"/>
                <w:sz w:val="20"/>
                <w:szCs w:val="20"/>
              </w:rPr>
            </w:pPr>
            <w:r w:rsidRPr="000B5813">
              <w:rPr>
                <w:color w:val="000000"/>
                <w:sz w:val="20"/>
                <w:szCs w:val="20"/>
              </w:rPr>
              <w:t>2243 (11.9)</w:t>
            </w:r>
          </w:p>
        </w:tc>
      </w:tr>
      <w:tr w:rsidR="00765237" w:rsidRPr="000B5813" w14:paraId="232A5C06" w14:textId="77777777" w:rsidTr="00765237">
        <w:tc>
          <w:tcPr>
            <w:tcW w:w="0" w:type="auto"/>
          </w:tcPr>
          <w:p w14:paraId="1CD00D17" w14:textId="77777777" w:rsidR="00765237" w:rsidRPr="000B5813" w:rsidRDefault="00765237" w:rsidP="007C2015">
            <w:pPr>
              <w:pStyle w:val="Compact"/>
              <w:rPr>
                <w:color w:val="000000"/>
                <w:sz w:val="20"/>
                <w:szCs w:val="20"/>
              </w:rPr>
            </w:pPr>
          </w:p>
        </w:tc>
        <w:tc>
          <w:tcPr>
            <w:tcW w:w="978" w:type="pct"/>
          </w:tcPr>
          <w:p w14:paraId="7492E98B" w14:textId="77777777" w:rsidR="00765237" w:rsidRPr="000B5813" w:rsidRDefault="00765237" w:rsidP="007C2015">
            <w:pPr>
              <w:pStyle w:val="Compact"/>
              <w:rPr>
                <w:color w:val="000000"/>
                <w:sz w:val="20"/>
                <w:szCs w:val="20"/>
              </w:rPr>
            </w:pPr>
            <w:r w:rsidRPr="000B5813">
              <w:rPr>
                <w:color w:val="000000"/>
                <w:sz w:val="20"/>
                <w:szCs w:val="20"/>
              </w:rPr>
              <w:t>2+</w:t>
            </w:r>
          </w:p>
        </w:tc>
        <w:tc>
          <w:tcPr>
            <w:tcW w:w="739" w:type="pct"/>
          </w:tcPr>
          <w:p w14:paraId="4316708F" w14:textId="77777777" w:rsidR="00765237" w:rsidRPr="000B5813" w:rsidRDefault="00765237" w:rsidP="00765237">
            <w:pPr>
              <w:pStyle w:val="Compact"/>
              <w:jc w:val="right"/>
              <w:rPr>
                <w:color w:val="000000"/>
                <w:sz w:val="20"/>
                <w:szCs w:val="20"/>
              </w:rPr>
            </w:pPr>
            <w:r w:rsidRPr="000B5813">
              <w:rPr>
                <w:color w:val="000000"/>
                <w:sz w:val="20"/>
                <w:szCs w:val="20"/>
              </w:rPr>
              <w:t xml:space="preserve">337 </w:t>
            </w:r>
            <w:proofErr w:type="gramStart"/>
            <w:r w:rsidRPr="000B5813">
              <w:rPr>
                <w:color w:val="000000"/>
                <w:sz w:val="20"/>
                <w:szCs w:val="20"/>
              </w:rPr>
              <w:t>( 15.5</w:t>
            </w:r>
            <w:proofErr w:type="gramEnd"/>
            <w:r w:rsidRPr="000B5813">
              <w:rPr>
                <w:color w:val="000000"/>
                <w:sz w:val="20"/>
                <w:szCs w:val="20"/>
              </w:rPr>
              <w:t>)</w:t>
            </w:r>
          </w:p>
        </w:tc>
        <w:tc>
          <w:tcPr>
            <w:tcW w:w="812" w:type="pct"/>
          </w:tcPr>
          <w:p w14:paraId="4EE8E98D" w14:textId="77777777" w:rsidR="00765237" w:rsidRPr="000B5813" w:rsidRDefault="00765237" w:rsidP="00765237">
            <w:pPr>
              <w:pStyle w:val="Compact"/>
              <w:jc w:val="right"/>
              <w:rPr>
                <w:color w:val="000000"/>
                <w:sz w:val="20"/>
                <w:szCs w:val="20"/>
              </w:rPr>
            </w:pPr>
            <w:r w:rsidRPr="000B5813">
              <w:rPr>
                <w:color w:val="000000"/>
                <w:sz w:val="20"/>
                <w:szCs w:val="20"/>
              </w:rPr>
              <w:t xml:space="preserve">8689 </w:t>
            </w:r>
            <w:proofErr w:type="gramStart"/>
            <w:r w:rsidRPr="000B5813">
              <w:rPr>
                <w:color w:val="000000"/>
                <w:sz w:val="20"/>
                <w:szCs w:val="20"/>
              </w:rPr>
              <w:t>( 9.8</w:t>
            </w:r>
            <w:proofErr w:type="gramEnd"/>
            <w:r w:rsidRPr="000B5813">
              <w:rPr>
                <w:color w:val="000000"/>
                <w:sz w:val="20"/>
                <w:szCs w:val="20"/>
              </w:rPr>
              <w:t>)</w:t>
            </w:r>
          </w:p>
        </w:tc>
        <w:tc>
          <w:tcPr>
            <w:tcW w:w="665" w:type="pct"/>
          </w:tcPr>
          <w:p w14:paraId="5854AAA0" w14:textId="77777777" w:rsidR="00765237" w:rsidRPr="000B5813" w:rsidRDefault="00765237" w:rsidP="00765237">
            <w:pPr>
              <w:pStyle w:val="Compact"/>
              <w:jc w:val="right"/>
              <w:rPr>
                <w:color w:val="000000"/>
                <w:sz w:val="20"/>
                <w:szCs w:val="20"/>
              </w:rPr>
            </w:pPr>
            <w:r w:rsidRPr="000B5813">
              <w:rPr>
                <w:color w:val="000000"/>
                <w:sz w:val="20"/>
                <w:szCs w:val="20"/>
              </w:rPr>
              <w:t>19 (4.6)</w:t>
            </w:r>
          </w:p>
        </w:tc>
        <w:tc>
          <w:tcPr>
            <w:tcW w:w="719" w:type="pct"/>
          </w:tcPr>
          <w:p w14:paraId="4322A540" w14:textId="77777777" w:rsidR="00765237" w:rsidRPr="000B5813" w:rsidRDefault="00765237" w:rsidP="00765237">
            <w:pPr>
              <w:pStyle w:val="Compact"/>
              <w:jc w:val="right"/>
              <w:rPr>
                <w:color w:val="000000"/>
                <w:sz w:val="20"/>
                <w:szCs w:val="20"/>
              </w:rPr>
            </w:pPr>
            <w:r w:rsidRPr="000B5813">
              <w:rPr>
                <w:color w:val="000000"/>
                <w:sz w:val="20"/>
                <w:szCs w:val="20"/>
              </w:rPr>
              <w:t>479 (2.5)</w:t>
            </w:r>
          </w:p>
        </w:tc>
      </w:tr>
      <w:tr w:rsidR="00765237" w:rsidRPr="000B5813" w14:paraId="4E85EBB9" w14:textId="77777777" w:rsidTr="00765237">
        <w:tc>
          <w:tcPr>
            <w:tcW w:w="0" w:type="auto"/>
          </w:tcPr>
          <w:p w14:paraId="2B190881" w14:textId="77777777" w:rsidR="00765237" w:rsidRPr="000B5813" w:rsidRDefault="00765237" w:rsidP="007C2015">
            <w:pPr>
              <w:pStyle w:val="Compact"/>
              <w:rPr>
                <w:color w:val="000000"/>
                <w:sz w:val="20"/>
                <w:szCs w:val="20"/>
              </w:rPr>
            </w:pPr>
            <w:r w:rsidRPr="000B5813">
              <w:rPr>
                <w:color w:val="000000"/>
                <w:sz w:val="20"/>
                <w:szCs w:val="20"/>
              </w:rPr>
              <w:t>Elixhauser</w:t>
            </w:r>
          </w:p>
        </w:tc>
        <w:tc>
          <w:tcPr>
            <w:tcW w:w="978" w:type="pct"/>
          </w:tcPr>
          <w:p w14:paraId="7A680AC9" w14:textId="77777777" w:rsidR="00765237" w:rsidRPr="000B5813" w:rsidRDefault="00765237" w:rsidP="007C2015">
            <w:pPr>
              <w:pStyle w:val="Compact"/>
              <w:rPr>
                <w:color w:val="000000"/>
                <w:sz w:val="20"/>
                <w:szCs w:val="20"/>
              </w:rPr>
            </w:pPr>
            <w:r w:rsidRPr="000B5813">
              <w:rPr>
                <w:color w:val="000000"/>
                <w:sz w:val="20"/>
                <w:szCs w:val="20"/>
              </w:rPr>
              <w:t>0</w:t>
            </w:r>
          </w:p>
        </w:tc>
        <w:tc>
          <w:tcPr>
            <w:tcW w:w="739" w:type="pct"/>
          </w:tcPr>
          <w:p w14:paraId="0472BDA1" w14:textId="77777777" w:rsidR="00765237" w:rsidRPr="000B5813" w:rsidRDefault="00765237" w:rsidP="00765237">
            <w:pPr>
              <w:pStyle w:val="Compact"/>
              <w:jc w:val="right"/>
              <w:rPr>
                <w:color w:val="000000"/>
                <w:sz w:val="20"/>
                <w:szCs w:val="20"/>
              </w:rPr>
            </w:pPr>
            <w:r w:rsidRPr="000B5813">
              <w:rPr>
                <w:color w:val="000000"/>
                <w:sz w:val="20"/>
                <w:szCs w:val="20"/>
              </w:rPr>
              <w:t xml:space="preserve">946 </w:t>
            </w:r>
            <w:proofErr w:type="gramStart"/>
            <w:r w:rsidRPr="000B5813">
              <w:rPr>
                <w:color w:val="000000"/>
                <w:sz w:val="20"/>
                <w:szCs w:val="20"/>
              </w:rPr>
              <w:t>( 43.5</w:t>
            </w:r>
            <w:proofErr w:type="gramEnd"/>
            <w:r w:rsidRPr="000B5813">
              <w:rPr>
                <w:color w:val="000000"/>
                <w:sz w:val="20"/>
                <w:szCs w:val="20"/>
              </w:rPr>
              <w:t>)</w:t>
            </w:r>
          </w:p>
        </w:tc>
        <w:tc>
          <w:tcPr>
            <w:tcW w:w="812" w:type="pct"/>
          </w:tcPr>
          <w:p w14:paraId="40E17FA9" w14:textId="77777777" w:rsidR="00765237" w:rsidRPr="000B5813" w:rsidRDefault="00765237" w:rsidP="00765237">
            <w:pPr>
              <w:pStyle w:val="Compact"/>
              <w:jc w:val="right"/>
              <w:rPr>
                <w:color w:val="000000"/>
                <w:sz w:val="20"/>
                <w:szCs w:val="20"/>
              </w:rPr>
            </w:pPr>
            <w:r w:rsidRPr="000B5813">
              <w:rPr>
                <w:color w:val="000000"/>
                <w:sz w:val="20"/>
                <w:szCs w:val="20"/>
              </w:rPr>
              <w:t xml:space="preserve">50213 </w:t>
            </w:r>
            <w:proofErr w:type="gramStart"/>
            <w:r w:rsidRPr="000B5813">
              <w:rPr>
                <w:color w:val="000000"/>
                <w:sz w:val="20"/>
                <w:szCs w:val="20"/>
              </w:rPr>
              <w:t>( 56.5</w:t>
            </w:r>
            <w:proofErr w:type="gramEnd"/>
            <w:r w:rsidRPr="000B5813">
              <w:rPr>
                <w:color w:val="000000"/>
                <w:sz w:val="20"/>
                <w:szCs w:val="20"/>
              </w:rPr>
              <w:t>)</w:t>
            </w:r>
          </w:p>
        </w:tc>
        <w:tc>
          <w:tcPr>
            <w:tcW w:w="665" w:type="pct"/>
          </w:tcPr>
          <w:p w14:paraId="25EB5CC0" w14:textId="77777777" w:rsidR="00765237" w:rsidRPr="000B5813" w:rsidRDefault="00765237" w:rsidP="00765237">
            <w:pPr>
              <w:pStyle w:val="Compact"/>
              <w:jc w:val="right"/>
              <w:rPr>
                <w:color w:val="000000"/>
                <w:sz w:val="20"/>
                <w:szCs w:val="20"/>
              </w:rPr>
            </w:pPr>
            <w:r w:rsidRPr="000B5813">
              <w:rPr>
                <w:color w:val="000000"/>
                <w:sz w:val="20"/>
                <w:szCs w:val="20"/>
              </w:rPr>
              <w:t>280 (68.3)</w:t>
            </w:r>
          </w:p>
        </w:tc>
        <w:tc>
          <w:tcPr>
            <w:tcW w:w="719" w:type="pct"/>
          </w:tcPr>
          <w:p w14:paraId="5151E9DF" w14:textId="77777777" w:rsidR="00765237" w:rsidRPr="000B5813" w:rsidRDefault="00765237" w:rsidP="00765237">
            <w:pPr>
              <w:pStyle w:val="Compact"/>
              <w:jc w:val="right"/>
              <w:rPr>
                <w:color w:val="000000"/>
                <w:sz w:val="20"/>
                <w:szCs w:val="20"/>
              </w:rPr>
            </w:pPr>
            <w:r w:rsidRPr="000B5813">
              <w:rPr>
                <w:color w:val="000000"/>
                <w:sz w:val="20"/>
                <w:szCs w:val="20"/>
              </w:rPr>
              <w:t>14753 (78.2)</w:t>
            </w:r>
          </w:p>
        </w:tc>
      </w:tr>
      <w:tr w:rsidR="00765237" w:rsidRPr="000B5813" w14:paraId="3E22B39E" w14:textId="77777777" w:rsidTr="00765237">
        <w:tc>
          <w:tcPr>
            <w:tcW w:w="0" w:type="auto"/>
          </w:tcPr>
          <w:p w14:paraId="02B0FEA3" w14:textId="77777777" w:rsidR="00765237" w:rsidRPr="000B5813" w:rsidRDefault="00765237" w:rsidP="007C2015">
            <w:pPr>
              <w:pStyle w:val="Compact"/>
              <w:rPr>
                <w:color w:val="000000"/>
                <w:sz w:val="20"/>
                <w:szCs w:val="20"/>
              </w:rPr>
            </w:pPr>
          </w:p>
        </w:tc>
        <w:tc>
          <w:tcPr>
            <w:tcW w:w="978" w:type="pct"/>
          </w:tcPr>
          <w:p w14:paraId="5B25724E" w14:textId="77777777" w:rsidR="00765237" w:rsidRPr="000B5813" w:rsidRDefault="00765237" w:rsidP="007C2015">
            <w:pPr>
              <w:pStyle w:val="Compact"/>
              <w:rPr>
                <w:color w:val="000000"/>
                <w:sz w:val="20"/>
                <w:szCs w:val="20"/>
              </w:rPr>
            </w:pPr>
            <w:r w:rsidRPr="000B5813">
              <w:rPr>
                <w:color w:val="000000"/>
                <w:sz w:val="20"/>
                <w:szCs w:val="20"/>
              </w:rPr>
              <w:t>1</w:t>
            </w:r>
          </w:p>
        </w:tc>
        <w:tc>
          <w:tcPr>
            <w:tcW w:w="739" w:type="pct"/>
          </w:tcPr>
          <w:p w14:paraId="469EF1EE" w14:textId="77777777" w:rsidR="00765237" w:rsidRPr="000B5813" w:rsidRDefault="00765237" w:rsidP="00765237">
            <w:pPr>
              <w:pStyle w:val="Compact"/>
              <w:jc w:val="right"/>
              <w:rPr>
                <w:color w:val="000000"/>
                <w:sz w:val="20"/>
                <w:szCs w:val="20"/>
              </w:rPr>
            </w:pPr>
            <w:r w:rsidRPr="000B5813">
              <w:rPr>
                <w:color w:val="000000"/>
                <w:sz w:val="20"/>
                <w:szCs w:val="20"/>
              </w:rPr>
              <w:t xml:space="preserve">539 </w:t>
            </w:r>
            <w:proofErr w:type="gramStart"/>
            <w:r w:rsidRPr="000B5813">
              <w:rPr>
                <w:color w:val="000000"/>
                <w:sz w:val="20"/>
                <w:szCs w:val="20"/>
              </w:rPr>
              <w:t>( 24.8</w:t>
            </w:r>
            <w:proofErr w:type="gramEnd"/>
            <w:r w:rsidRPr="000B5813">
              <w:rPr>
                <w:color w:val="000000"/>
                <w:sz w:val="20"/>
                <w:szCs w:val="20"/>
              </w:rPr>
              <w:t>)</w:t>
            </w:r>
          </w:p>
        </w:tc>
        <w:tc>
          <w:tcPr>
            <w:tcW w:w="812" w:type="pct"/>
          </w:tcPr>
          <w:p w14:paraId="5AB40EE7" w14:textId="77777777" w:rsidR="00765237" w:rsidRPr="000B5813" w:rsidRDefault="00765237" w:rsidP="00765237">
            <w:pPr>
              <w:pStyle w:val="Compact"/>
              <w:jc w:val="right"/>
              <w:rPr>
                <w:color w:val="000000"/>
                <w:sz w:val="20"/>
                <w:szCs w:val="20"/>
              </w:rPr>
            </w:pPr>
            <w:r w:rsidRPr="000B5813">
              <w:rPr>
                <w:color w:val="000000"/>
                <w:sz w:val="20"/>
                <w:szCs w:val="20"/>
              </w:rPr>
              <w:t xml:space="preserve">21348 </w:t>
            </w:r>
            <w:proofErr w:type="gramStart"/>
            <w:r w:rsidRPr="000B5813">
              <w:rPr>
                <w:color w:val="000000"/>
                <w:sz w:val="20"/>
                <w:szCs w:val="20"/>
              </w:rPr>
              <w:t>( 24.0</w:t>
            </w:r>
            <w:proofErr w:type="gramEnd"/>
            <w:r w:rsidRPr="000B5813">
              <w:rPr>
                <w:color w:val="000000"/>
                <w:sz w:val="20"/>
                <w:szCs w:val="20"/>
              </w:rPr>
              <w:t>)</w:t>
            </w:r>
          </w:p>
        </w:tc>
        <w:tc>
          <w:tcPr>
            <w:tcW w:w="665" w:type="pct"/>
          </w:tcPr>
          <w:p w14:paraId="48AC8CC8" w14:textId="77777777" w:rsidR="00765237" w:rsidRPr="000B5813" w:rsidRDefault="00765237" w:rsidP="00765237">
            <w:pPr>
              <w:pStyle w:val="Compact"/>
              <w:jc w:val="right"/>
              <w:rPr>
                <w:color w:val="000000"/>
                <w:sz w:val="20"/>
                <w:szCs w:val="20"/>
              </w:rPr>
            </w:pPr>
            <w:r w:rsidRPr="000B5813">
              <w:rPr>
                <w:color w:val="000000"/>
                <w:sz w:val="20"/>
                <w:szCs w:val="20"/>
              </w:rPr>
              <w:t>77 (18.8)</w:t>
            </w:r>
          </w:p>
        </w:tc>
        <w:tc>
          <w:tcPr>
            <w:tcW w:w="719" w:type="pct"/>
          </w:tcPr>
          <w:p w14:paraId="1EA1BED5" w14:textId="77777777" w:rsidR="00765237" w:rsidRPr="000B5813" w:rsidRDefault="00765237" w:rsidP="00765237">
            <w:pPr>
              <w:pStyle w:val="Compact"/>
              <w:jc w:val="right"/>
              <w:rPr>
                <w:color w:val="000000"/>
                <w:sz w:val="20"/>
                <w:szCs w:val="20"/>
              </w:rPr>
            </w:pPr>
            <w:r w:rsidRPr="000B5813">
              <w:rPr>
                <w:color w:val="000000"/>
                <w:sz w:val="20"/>
                <w:szCs w:val="20"/>
              </w:rPr>
              <w:t>2716 (14.4)</w:t>
            </w:r>
          </w:p>
        </w:tc>
      </w:tr>
      <w:tr w:rsidR="00765237" w:rsidRPr="000B5813" w14:paraId="673A3A17" w14:textId="77777777" w:rsidTr="00765237">
        <w:tc>
          <w:tcPr>
            <w:tcW w:w="0" w:type="auto"/>
          </w:tcPr>
          <w:p w14:paraId="54517DC1" w14:textId="77777777" w:rsidR="00765237" w:rsidRPr="000B5813" w:rsidRDefault="00765237" w:rsidP="007C2015">
            <w:pPr>
              <w:pStyle w:val="Compact"/>
              <w:rPr>
                <w:color w:val="000000"/>
                <w:sz w:val="20"/>
                <w:szCs w:val="20"/>
              </w:rPr>
            </w:pPr>
          </w:p>
        </w:tc>
        <w:tc>
          <w:tcPr>
            <w:tcW w:w="978" w:type="pct"/>
          </w:tcPr>
          <w:p w14:paraId="55522848" w14:textId="77777777" w:rsidR="00765237" w:rsidRPr="000B5813" w:rsidRDefault="00765237" w:rsidP="007C2015">
            <w:pPr>
              <w:pStyle w:val="Compact"/>
              <w:rPr>
                <w:color w:val="000000"/>
                <w:sz w:val="20"/>
                <w:szCs w:val="20"/>
              </w:rPr>
            </w:pPr>
            <w:r w:rsidRPr="000B5813">
              <w:rPr>
                <w:color w:val="000000"/>
                <w:sz w:val="20"/>
                <w:szCs w:val="20"/>
              </w:rPr>
              <w:t>2</w:t>
            </w:r>
          </w:p>
        </w:tc>
        <w:tc>
          <w:tcPr>
            <w:tcW w:w="739" w:type="pct"/>
          </w:tcPr>
          <w:p w14:paraId="4BE043D2" w14:textId="77777777" w:rsidR="00765237" w:rsidRPr="000B5813" w:rsidRDefault="00765237" w:rsidP="00765237">
            <w:pPr>
              <w:pStyle w:val="Compact"/>
              <w:jc w:val="right"/>
              <w:rPr>
                <w:color w:val="000000"/>
                <w:sz w:val="20"/>
                <w:szCs w:val="20"/>
              </w:rPr>
            </w:pPr>
            <w:r w:rsidRPr="000B5813">
              <w:rPr>
                <w:color w:val="000000"/>
                <w:sz w:val="20"/>
                <w:szCs w:val="20"/>
              </w:rPr>
              <w:t xml:space="preserve">372 </w:t>
            </w:r>
            <w:proofErr w:type="gramStart"/>
            <w:r w:rsidRPr="000B5813">
              <w:rPr>
                <w:color w:val="000000"/>
                <w:sz w:val="20"/>
                <w:szCs w:val="20"/>
              </w:rPr>
              <w:t>( 17.1</w:t>
            </w:r>
            <w:proofErr w:type="gramEnd"/>
            <w:r w:rsidRPr="000B5813">
              <w:rPr>
                <w:color w:val="000000"/>
                <w:sz w:val="20"/>
                <w:szCs w:val="20"/>
              </w:rPr>
              <w:t>)</w:t>
            </w:r>
          </w:p>
        </w:tc>
        <w:tc>
          <w:tcPr>
            <w:tcW w:w="812" w:type="pct"/>
          </w:tcPr>
          <w:p w14:paraId="7596BE2E" w14:textId="77777777" w:rsidR="00765237" w:rsidRPr="000B5813" w:rsidRDefault="00765237" w:rsidP="00765237">
            <w:pPr>
              <w:pStyle w:val="Compact"/>
              <w:jc w:val="right"/>
              <w:rPr>
                <w:color w:val="000000"/>
                <w:sz w:val="20"/>
                <w:szCs w:val="20"/>
              </w:rPr>
            </w:pPr>
            <w:r w:rsidRPr="000B5813">
              <w:rPr>
                <w:color w:val="000000"/>
                <w:sz w:val="20"/>
                <w:szCs w:val="20"/>
              </w:rPr>
              <w:t xml:space="preserve">10734 </w:t>
            </w:r>
            <w:proofErr w:type="gramStart"/>
            <w:r w:rsidRPr="000B5813">
              <w:rPr>
                <w:color w:val="000000"/>
                <w:sz w:val="20"/>
                <w:szCs w:val="20"/>
              </w:rPr>
              <w:t>( 12.1</w:t>
            </w:r>
            <w:proofErr w:type="gramEnd"/>
            <w:r w:rsidRPr="000B5813">
              <w:rPr>
                <w:color w:val="000000"/>
                <w:sz w:val="20"/>
                <w:szCs w:val="20"/>
              </w:rPr>
              <w:t>)</w:t>
            </w:r>
          </w:p>
        </w:tc>
        <w:tc>
          <w:tcPr>
            <w:tcW w:w="665" w:type="pct"/>
          </w:tcPr>
          <w:p w14:paraId="330AE452" w14:textId="77777777" w:rsidR="00765237" w:rsidRPr="000B5813" w:rsidRDefault="00765237" w:rsidP="00765237">
            <w:pPr>
              <w:pStyle w:val="Compact"/>
              <w:jc w:val="right"/>
              <w:rPr>
                <w:color w:val="000000"/>
                <w:sz w:val="20"/>
                <w:szCs w:val="20"/>
              </w:rPr>
            </w:pPr>
            <w:r w:rsidRPr="000B5813">
              <w:rPr>
                <w:color w:val="000000"/>
                <w:sz w:val="20"/>
                <w:szCs w:val="20"/>
              </w:rPr>
              <w:t>35 (8.5)</w:t>
            </w:r>
          </w:p>
        </w:tc>
        <w:tc>
          <w:tcPr>
            <w:tcW w:w="719" w:type="pct"/>
          </w:tcPr>
          <w:p w14:paraId="43E5F023" w14:textId="77777777" w:rsidR="00765237" w:rsidRPr="000B5813" w:rsidRDefault="00765237" w:rsidP="00765237">
            <w:pPr>
              <w:pStyle w:val="Compact"/>
              <w:jc w:val="right"/>
              <w:rPr>
                <w:color w:val="000000"/>
                <w:sz w:val="20"/>
                <w:szCs w:val="20"/>
              </w:rPr>
            </w:pPr>
            <w:r w:rsidRPr="000B5813">
              <w:rPr>
                <w:color w:val="000000"/>
                <w:sz w:val="20"/>
                <w:szCs w:val="20"/>
              </w:rPr>
              <w:t>900 (4.8)</w:t>
            </w:r>
          </w:p>
        </w:tc>
      </w:tr>
      <w:tr w:rsidR="00765237" w:rsidRPr="000B5813" w14:paraId="3C4A94E5" w14:textId="77777777" w:rsidTr="00765237">
        <w:tc>
          <w:tcPr>
            <w:tcW w:w="0" w:type="auto"/>
          </w:tcPr>
          <w:p w14:paraId="3FD37A38" w14:textId="77777777" w:rsidR="00765237" w:rsidRPr="000B5813" w:rsidRDefault="00765237" w:rsidP="007C2015">
            <w:pPr>
              <w:pStyle w:val="Compact"/>
              <w:rPr>
                <w:color w:val="000000"/>
                <w:sz w:val="20"/>
                <w:szCs w:val="20"/>
              </w:rPr>
            </w:pPr>
          </w:p>
        </w:tc>
        <w:tc>
          <w:tcPr>
            <w:tcW w:w="978" w:type="pct"/>
          </w:tcPr>
          <w:p w14:paraId="2F048578" w14:textId="77777777" w:rsidR="00765237" w:rsidRPr="000B5813" w:rsidRDefault="00765237" w:rsidP="007C2015">
            <w:pPr>
              <w:pStyle w:val="Compact"/>
              <w:rPr>
                <w:color w:val="000000"/>
                <w:sz w:val="20"/>
                <w:szCs w:val="20"/>
              </w:rPr>
            </w:pPr>
            <w:r w:rsidRPr="000B5813">
              <w:rPr>
                <w:color w:val="000000"/>
                <w:sz w:val="20"/>
                <w:szCs w:val="20"/>
              </w:rPr>
              <w:t>3+</w:t>
            </w:r>
          </w:p>
        </w:tc>
        <w:tc>
          <w:tcPr>
            <w:tcW w:w="739" w:type="pct"/>
          </w:tcPr>
          <w:p w14:paraId="5B811F3D" w14:textId="77777777" w:rsidR="00765237" w:rsidRPr="000B5813" w:rsidRDefault="00765237" w:rsidP="00765237">
            <w:pPr>
              <w:pStyle w:val="Compact"/>
              <w:jc w:val="right"/>
              <w:rPr>
                <w:color w:val="000000"/>
                <w:sz w:val="20"/>
                <w:szCs w:val="20"/>
              </w:rPr>
            </w:pPr>
            <w:r w:rsidRPr="000B5813">
              <w:rPr>
                <w:color w:val="000000"/>
                <w:sz w:val="20"/>
                <w:szCs w:val="20"/>
              </w:rPr>
              <w:t xml:space="preserve">316 </w:t>
            </w:r>
            <w:proofErr w:type="gramStart"/>
            <w:r w:rsidRPr="000B5813">
              <w:rPr>
                <w:color w:val="000000"/>
                <w:sz w:val="20"/>
                <w:szCs w:val="20"/>
              </w:rPr>
              <w:t>( 14.5</w:t>
            </w:r>
            <w:proofErr w:type="gramEnd"/>
            <w:r w:rsidRPr="000B5813">
              <w:rPr>
                <w:color w:val="000000"/>
                <w:sz w:val="20"/>
                <w:szCs w:val="20"/>
              </w:rPr>
              <w:t>)</w:t>
            </w:r>
          </w:p>
        </w:tc>
        <w:tc>
          <w:tcPr>
            <w:tcW w:w="812" w:type="pct"/>
          </w:tcPr>
          <w:p w14:paraId="03984E6A" w14:textId="77777777" w:rsidR="00765237" w:rsidRPr="000B5813" w:rsidRDefault="00765237" w:rsidP="00765237">
            <w:pPr>
              <w:pStyle w:val="Compact"/>
              <w:jc w:val="right"/>
              <w:rPr>
                <w:color w:val="000000"/>
                <w:sz w:val="20"/>
                <w:szCs w:val="20"/>
              </w:rPr>
            </w:pPr>
            <w:r w:rsidRPr="000B5813">
              <w:rPr>
                <w:color w:val="000000"/>
                <w:sz w:val="20"/>
                <w:szCs w:val="20"/>
              </w:rPr>
              <w:t xml:space="preserve">6535 </w:t>
            </w:r>
            <w:proofErr w:type="gramStart"/>
            <w:r w:rsidRPr="000B5813">
              <w:rPr>
                <w:color w:val="000000"/>
                <w:sz w:val="20"/>
                <w:szCs w:val="20"/>
              </w:rPr>
              <w:t>( 7.4</w:t>
            </w:r>
            <w:proofErr w:type="gramEnd"/>
            <w:r w:rsidRPr="000B5813">
              <w:rPr>
                <w:color w:val="000000"/>
                <w:sz w:val="20"/>
                <w:szCs w:val="20"/>
              </w:rPr>
              <w:t>)</w:t>
            </w:r>
          </w:p>
        </w:tc>
        <w:tc>
          <w:tcPr>
            <w:tcW w:w="665" w:type="pct"/>
          </w:tcPr>
          <w:p w14:paraId="0504F787" w14:textId="77777777" w:rsidR="00765237" w:rsidRPr="000B5813" w:rsidRDefault="00765237" w:rsidP="00765237">
            <w:pPr>
              <w:pStyle w:val="Compact"/>
              <w:jc w:val="right"/>
              <w:rPr>
                <w:color w:val="000000"/>
                <w:sz w:val="20"/>
                <w:szCs w:val="20"/>
              </w:rPr>
            </w:pPr>
            <w:r w:rsidRPr="000B5813">
              <w:rPr>
                <w:color w:val="000000"/>
                <w:sz w:val="20"/>
                <w:szCs w:val="20"/>
              </w:rPr>
              <w:t>18 (4.4)</w:t>
            </w:r>
          </w:p>
        </w:tc>
        <w:tc>
          <w:tcPr>
            <w:tcW w:w="719" w:type="pct"/>
          </w:tcPr>
          <w:p w14:paraId="2A98A04E" w14:textId="77777777" w:rsidR="00765237" w:rsidRPr="000B5813" w:rsidRDefault="00765237" w:rsidP="00765237">
            <w:pPr>
              <w:pStyle w:val="Compact"/>
              <w:jc w:val="right"/>
              <w:rPr>
                <w:color w:val="000000"/>
                <w:sz w:val="20"/>
                <w:szCs w:val="20"/>
              </w:rPr>
            </w:pPr>
            <w:r w:rsidRPr="000B5813">
              <w:rPr>
                <w:color w:val="000000"/>
                <w:sz w:val="20"/>
                <w:szCs w:val="20"/>
              </w:rPr>
              <w:t>485 (2.6)</w:t>
            </w:r>
          </w:p>
        </w:tc>
      </w:tr>
      <w:tr w:rsidR="00765237" w:rsidRPr="000B5813" w14:paraId="5CB02FEF" w14:textId="77777777" w:rsidTr="00765237">
        <w:tc>
          <w:tcPr>
            <w:tcW w:w="0" w:type="auto"/>
          </w:tcPr>
          <w:p w14:paraId="143EF6C0" w14:textId="77777777" w:rsidR="00765237" w:rsidRPr="000B5813" w:rsidRDefault="00765237" w:rsidP="007C2015">
            <w:pPr>
              <w:pStyle w:val="Compact"/>
              <w:rPr>
                <w:color w:val="000000"/>
                <w:sz w:val="20"/>
                <w:szCs w:val="20"/>
              </w:rPr>
            </w:pPr>
            <w:proofErr w:type="spellStart"/>
            <w:r w:rsidRPr="000B5813">
              <w:rPr>
                <w:color w:val="000000"/>
                <w:sz w:val="20"/>
                <w:szCs w:val="20"/>
              </w:rPr>
              <w:t>RxRiskV</w:t>
            </w:r>
            <w:proofErr w:type="spellEnd"/>
          </w:p>
        </w:tc>
        <w:tc>
          <w:tcPr>
            <w:tcW w:w="978" w:type="pct"/>
          </w:tcPr>
          <w:p w14:paraId="4E8CEA42" w14:textId="77777777" w:rsidR="00765237" w:rsidRPr="000B5813" w:rsidRDefault="00765237" w:rsidP="007C2015">
            <w:pPr>
              <w:pStyle w:val="Compact"/>
              <w:rPr>
                <w:color w:val="000000"/>
                <w:sz w:val="20"/>
                <w:szCs w:val="20"/>
              </w:rPr>
            </w:pPr>
            <w:r w:rsidRPr="000B5813">
              <w:rPr>
                <w:color w:val="000000"/>
                <w:sz w:val="20"/>
                <w:szCs w:val="20"/>
              </w:rPr>
              <w:t>-5-0</w:t>
            </w:r>
          </w:p>
        </w:tc>
        <w:tc>
          <w:tcPr>
            <w:tcW w:w="739" w:type="pct"/>
          </w:tcPr>
          <w:p w14:paraId="0F03BCE6" w14:textId="77777777" w:rsidR="00765237" w:rsidRPr="000B5813" w:rsidRDefault="00765237" w:rsidP="00765237">
            <w:pPr>
              <w:pStyle w:val="Compact"/>
              <w:jc w:val="right"/>
              <w:rPr>
                <w:color w:val="000000"/>
                <w:sz w:val="20"/>
                <w:szCs w:val="20"/>
              </w:rPr>
            </w:pPr>
            <w:r w:rsidRPr="000B5813">
              <w:rPr>
                <w:color w:val="000000"/>
                <w:sz w:val="20"/>
                <w:szCs w:val="20"/>
              </w:rPr>
              <w:t xml:space="preserve">448 </w:t>
            </w:r>
            <w:proofErr w:type="gramStart"/>
            <w:r w:rsidRPr="000B5813">
              <w:rPr>
                <w:color w:val="000000"/>
                <w:sz w:val="20"/>
                <w:szCs w:val="20"/>
              </w:rPr>
              <w:t>( 20.6</w:t>
            </w:r>
            <w:proofErr w:type="gramEnd"/>
            <w:r w:rsidRPr="000B5813">
              <w:rPr>
                <w:color w:val="000000"/>
                <w:sz w:val="20"/>
                <w:szCs w:val="20"/>
              </w:rPr>
              <w:t>)</w:t>
            </w:r>
          </w:p>
        </w:tc>
        <w:tc>
          <w:tcPr>
            <w:tcW w:w="812" w:type="pct"/>
          </w:tcPr>
          <w:p w14:paraId="1D726BA5" w14:textId="77777777" w:rsidR="00765237" w:rsidRPr="000B5813" w:rsidRDefault="00765237" w:rsidP="00765237">
            <w:pPr>
              <w:pStyle w:val="Compact"/>
              <w:jc w:val="right"/>
              <w:rPr>
                <w:color w:val="000000"/>
                <w:sz w:val="20"/>
                <w:szCs w:val="20"/>
              </w:rPr>
            </w:pPr>
            <w:r w:rsidRPr="000B5813">
              <w:rPr>
                <w:color w:val="000000"/>
                <w:sz w:val="20"/>
                <w:szCs w:val="20"/>
              </w:rPr>
              <w:t xml:space="preserve">25956 </w:t>
            </w:r>
            <w:proofErr w:type="gramStart"/>
            <w:r w:rsidRPr="000B5813">
              <w:rPr>
                <w:color w:val="000000"/>
                <w:sz w:val="20"/>
                <w:szCs w:val="20"/>
              </w:rPr>
              <w:t>( 29.2</w:t>
            </w:r>
            <w:proofErr w:type="gramEnd"/>
            <w:r w:rsidRPr="000B5813">
              <w:rPr>
                <w:color w:val="000000"/>
                <w:sz w:val="20"/>
                <w:szCs w:val="20"/>
              </w:rPr>
              <w:t>)</w:t>
            </w:r>
          </w:p>
        </w:tc>
        <w:tc>
          <w:tcPr>
            <w:tcW w:w="665" w:type="pct"/>
          </w:tcPr>
          <w:p w14:paraId="4998533C" w14:textId="77777777" w:rsidR="00765237" w:rsidRPr="000B5813" w:rsidRDefault="00765237" w:rsidP="00765237">
            <w:pPr>
              <w:pStyle w:val="Compact"/>
              <w:jc w:val="right"/>
              <w:rPr>
                <w:color w:val="000000"/>
                <w:sz w:val="20"/>
                <w:szCs w:val="20"/>
              </w:rPr>
            </w:pPr>
            <w:r w:rsidRPr="000B5813">
              <w:rPr>
                <w:color w:val="000000"/>
                <w:sz w:val="20"/>
                <w:szCs w:val="20"/>
              </w:rPr>
              <w:t>123 (30.0)</w:t>
            </w:r>
          </w:p>
        </w:tc>
        <w:tc>
          <w:tcPr>
            <w:tcW w:w="719" w:type="pct"/>
          </w:tcPr>
          <w:p w14:paraId="73BE0AC5" w14:textId="77777777" w:rsidR="00765237" w:rsidRPr="000B5813" w:rsidRDefault="00765237" w:rsidP="00765237">
            <w:pPr>
              <w:pStyle w:val="Compact"/>
              <w:jc w:val="right"/>
              <w:rPr>
                <w:color w:val="000000"/>
                <w:sz w:val="20"/>
                <w:szCs w:val="20"/>
              </w:rPr>
            </w:pPr>
            <w:r w:rsidRPr="000B5813">
              <w:rPr>
                <w:color w:val="000000"/>
                <w:sz w:val="20"/>
                <w:szCs w:val="20"/>
              </w:rPr>
              <w:t>8229 (43.6)</w:t>
            </w:r>
          </w:p>
        </w:tc>
      </w:tr>
      <w:tr w:rsidR="00765237" w:rsidRPr="000B5813" w14:paraId="43178AEC" w14:textId="77777777" w:rsidTr="00765237">
        <w:tc>
          <w:tcPr>
            <w:tcW w:w="0" w:type="auto"/>
          </w:tcPr>
          <w:p w14:paraId="6E2BD424" w14:textId="77777777" w:rsidR="00765237" w:rsidRPr="000B5813" w:rsidRDefault="00765237" w:rsidP="007C2015">
            <w:pPr>
              <w:pStyle w:val="Compact"/>
              <w:rPr>
                <w:color w:val="000000"/>
                <w:sz w:val="20"/>
                <w:szCs w:val="20"/>
              </w:rPr>
            </w:pPr>
          </w:p>
        </w:tc>
        <w:tc>
          <w:tcPr>
            <w:tcW w:w="978" w:type="pct"/>
          </w:tcPr>
          <w:p w14:paraId="22764DA2" w14:textId="77777777" w:rsidR="00765237" w:rsidRPr="000B5813" w:rsidRDefault="00765237" w:rsidP="007C2015">
            <w:pPr>
              <w:pStyle w:val="Compact"/>
              <w:rPr>
                <w:color w:val="000000"/>
                <w:sz w:val="20"/>
                <w:szCs w:val="20"/>
              </w:rPr>
            </w:pPr>
            <w:r w:rsidRPr="000B5813">
              <w:rPr>
                <w:color w:val="000000"/>
                <w:sz w:val="20"/>
                <w:szCs w:val="20"/>
              </w:rPr>
              <w:t>1-3</w:t>
            </w:r>
          </w:p>
        </w:tc>
        <w:tc>
          <w:tcPr>
            <w:tcW w:w="739" w:type="pct"/>
          </w:tcPr>
          <w:p w14:paraId="2F8D10B3" w14:textId="77777777" w:rsidR="00765237" w:rsidRPr="000B5813" w:rsidRDefault="00765237" w:rsidP="00765237">
            <w:pPr>
              <w:pStyle w:val="Compact"/>
              <w:jc w:val="right"/>
              <w:rPr>
                <w:color w:val="000000"/>
                <w:sz w:val="20"/>
                <w:szCs w:val="20"/>
              </w:rPr>
            </w:pPr>
            <w:r w:rsidRPr="000B5813">
              <w:rPr>
                <w:color w:val="000000"/>
                <w:sz w:val="20"/>
                <w:szCs w:val="20"/>
              </w:rPr>
              <w:t xml:space="preserve">711 </w:t>
            </w:r>
            <w:proofErr w:type="gramStart"/>
            <w:r w:rsidRPr="000B5813">
              <w:rPr>
                <w:color w:val="000000"/>
                <w:sz w:val="20"/>
                <w:szCs w:val="20"/>
              </w:rPr>
              <w:t>( 32.7</w:t>
            </w:r>
            <w:proofErr w:type="gramEnd"/>
            <w:r w:rsidRPr="000B5813">
              <w:rPr>
                <w:color w:val="000000"/>
                <w:sz w:val="20"/>
                <w:szCs w:val="20"/>
              </w:rPr>
              <w:t>)</w:t>
            </w:r>
          </w:p>
        </w:tc>
        <w:tc>
          <w:tcPr>
            <w:tcW w:w="812" w:type="pct"/>
          </w:tcPr>
          <w:p w14:paraId="51C67C7E" w14:textId="77777777" w:rsidR="00765237" w:rsidRPr="000B5813" w:rsidRDefault="00765237" w:rsidP="00765237">
            <w:pPr>
              <w:pStyle w:val="Compact"/>
              <w:jc w:val="right"/>
              <w:rPr>
                <w:color w:val="000000"/>
                <w:sz w:val="20"/>
                <w:szCs w:val="20"/>
              </w:rPr>
            </w:pPr>
            <w:r w:rsidRPr="000B5813">
              <w:rPr>
                <w:color w:val="000000"/>
                <w:sz w:val="20"/>
                <w:szCs w:val="20"/>
              </w:rPr>
              <w:t xml:space="preserve">31557 </w:t>
            </w:r>
            <w:proofErr w:type="gramStart"/>
            <w:r w:rsidRPr="000B5813">
              <w:rPr>
                <w:color w:val="000000"/>
                <w:sz w:val="20"/>
                <w:szCs w:val="20"/>
              </w:rPr>
              <w:t>( 35.5</w:t>
            </w:r>
            <w:proofErr w:type="gramEnd"/>
            <w:r w:rsidRPr="000B5813">
              <w:rPr>
                <w:color w:val="000000"/>
                <w:sz w:val="20"/>
                <w:szCs w:val="20"/>
              </w:rPr>
              <w:t>)</w:t>
            </w:r>
          </w:p>
        </w:tc>
        <w:tc>
          <w:tcPr>
            <w:tcW w:w="665" w:type="pct"/>
          </w:tcPr>
          <w:p w14:paraId="46A2C2F8" w14:textId="77777777" w:rsidR="00765237" w:rsidRPr="000B5813" w:rsidRDefault="00765237" w:rsidP="00765237">
            <w:pPr>
              <w:pStyle w:val="Compact"/>
              <w:jc w:val="right"/>
              <w:rPr>
                <w:color w:val="000000"/>
                <w:sz w:val="20"/>
                <w:szCs w:val="20"/>
              </w:rPr>
            </w:pPr>
            <w:r w:rsidRPr="000B5813">
              <w:rPr>
                <w:color w:val="000000"/>
                <w:sz w:val="20"/>
                <w:szCs w:val="20"/>
              </w:rPr>
              <w:t>153 (37.3)</w:t>
            </w:r>
          </w:p>
        </w:tc>
        <w:tc>
          <w:tcPr>
            <w:tcW w:w="719" w:type="pct"/>
          </w:tcPr>
          <w:p w14:paraId="6D1E6BB9" w14:textId="77777777" w:rsidR="00765237" w:rsidRPr="000B5813" w:rsidRDefault="00765237" w:rsidP="00765237">
            <w:pPr>
              <w:pStyle w:val="Compact"/>
              <w:jc w:val="right"/>
              <w:rPr>
                <w:color w:val="000000"/>
                <w:sz w:val="20"/>
                <w:szCs w:val="20"/>
              </w:rPr>
            </w:pPr>
            <w:r w:rsidRPr="000B5813">
              <w:rPr>
                <w:color w:val="000000"/>
                <w:sz w:val="20"/>
                <w:szCs w:val="20"/>
              </w:rPr>
              <w:t>6430 (34.1)</w:t>
            </w:r>
          </w:p>
        </w:tc>
      </w:tr>
      <w:tr w:rsidR="00765237" w:rsidRPr="000B5813" w14:paraId="69B8EDC0" w14:textId="77777777" w:rsidTr="00765237">
        <w:tc>
          <w:tcPr>
            <w:tcW w:w="0" w:type="auto"/>
          </w:tcPr>
          <w:p w14:paraId="79395D2B" w14:textId="77777777" w:rsidR="00765237" w:rsidRPr="000B5813" w:rsidRDefault="00765237" w:rsidP="007C2015">
            <w:pPr>
              <w:pStyle w:val="Compact"/>
              <w:rPr>
                <w:color w:val="000000"/>
                <w:sz w:val="20"/>
                <w:szCs w:val="20"/>
              </w:rPr>
            </w:pPr>
          </w:p>
        </w:tc>
        <w:tc>
          <w:tcPr>
            <w:tcW w:w="978" w:type="pct"/>
          </w:tcPr>
          <w:p w14:paraId="28B827DE" w14:textId="77777777" w:rsidR="00765237" w:rsidRPr="000B5813" w:rsidRDefault="00765237" w:rsidP="007C2015">
            <w:pPr>
              <w:pStyle w:val="Compact"/>
              <w:rPr>
                <w:color w:val="000000"/>
                <w:sz w:val="20"/>
                <w:szCs w:val="20"/>
              </w:rPr>
            </w:pPr>
            <w:r w:rsidRPr="000B5813">
              <w:rPr>
                <w:color w:val="000000"/>
                <w:sz w:val="20"/>
                <w:szCs w:val="20"/>
              </w:rPr>
              <w:t>4-6</w:t>
            </w:r>
          </w:p>
        </w:tc>
        <w:tc>
          <w:tcPr>
            <w:tcW w:w="739" w:type="pct"/>
          </w:tcPr>
          <w:p w14:paraId="3BDE4332" w14:textId="77777777" w:rsidR="00765237" w:rsidRPr="000B5813" w:rsidRDefault="00765237" w:rsidP="00765237">
            <w:pPr>
              <w:pStyle w:val="Compact"/>
              <w:jc w:val="right"/>
              <w:rPr>
                <w:color w:val="000000"/>
                <w:sz w:val="20"/>
                <w:szCs w:val="20"/>
              </w:rPr>
            </w:pPr>
            <w:r w:rsidRPr="000B5813">
              <w:rPr>
                <w:color w:val="000000"/>
                <w:sz w:val="20"/>
                <w:szCs w:val="20"/>
              </w:rPr>
              <w:t xml:space="preserve">547 </w:t>
            </w:r>
            <w:proofErr w:type="gramStart"/>
            <w:r w:rsidRPr="000B5813">
              <w:rPr>
                <w:color w:val="000000"/>
                <w:sz w:val="20"/>
                <w:szCs w:val="20"/>
              </w:rPr>
              <w:t>( 25.2</w:t>
            </w:r>
            <w:proofErr w:type="gramEnd"/>
            <w:r w:rsidRPr="000B5813">
              <w:rPr>
                <w:color w:val="000000"/>
                <w:sz w:val="20"/>
                <w:szCs w:val="20"/>
              </w:rPr>
              <w:t>)</w:t>
            </w:r>
          </w:p>
        </w:tc>
        <w:tc>
          <w:tcPr>
            <w:tcW w:w="812" w:type="pct"/>
          </w:tcPr>
          <w:p w14:paraId="58C49CF2" w14:textId="77777777" w:rsidR="00765237" w:rsidRPr="000B5813" w:rsidRDefault="00765237" w:rsidP="00765237">
            <w:pPr>
              <w:pStyle w:val="Compact"/>
              <w:jc w:val="right"/>
              <w:rPr>
                <w:color w:val="000000"/>
                <w:sz w:val="20"/>
                <w:szCs w:val="20"/>
              </w:rPr>
            </w:pPr>
            <w:r w:rsidRPr="000B5813">
              <w:rPr>
                <w:color w:val="000000"/>
                <w:sz w:val="20"/>
                <w:szCs w:val="20"/>
              </w:rPr>
              <w:t xml:space="preserve">19851 </w:t>
            </w:r>
            <w:proofErr w:type="gramStart"/>
            <w:r w:rsidRPr="000B5813">
              <w:rPr>
                <w:color w:val="000000"/>
                <w:sz w:val="20"/>
                <w:szCs w:val="20"/>
              </w:rPr>
              <w:t>( 22.3</w:t>
            </w:r>
            <w:proofErr w:type="gramEnd"/>
            <w:r w:rsidRPr="000B5813">
              <w:rPr>
                <w:color w:val="000000"/>
                <w:sz w:val="20"/>
                <w:szCs w:val="20"/>
              </w:rPr>
              <w:t>)</w:t>
            </w:r>
          </w:p>
        </w:tc>
        <w:tc>
          <w:tcPr>
            <w:tcW w:w="665" w:type="pct"/>
          </w:tcPr>
          <w:p w14:paraId="09C5CA35" w14:textId="77777777" w:rsidR="00765237" w:rsidRPr="000B5813" w:rsidRDefault="00765237" w:rsidP="00765237">
            <w:pPr>
              <w:pStyle w:val="Compact"/>
              <w:jc w:val="right"/>
              <w:rPr>
                <w:color w:val="000000"/>
                <w:sz w:val="20"/>
                <w:szCs w:val="20"/>
              </w:rPr>
            </w:pPr>
            <w:r w:rsidRPr="000B5813">
              <w:rPr>
                <w:color w:val="000000"/>
                <w:sz w:val="20"/>
                <w:szCs w:val="20"/>
              </w:rPr>
              <w:t>86 (21.0)</w:t>
            </w:r>
          </w:p>
        </w:tc>
        <w:tc>
          <w:tcPr>
            <w:tcW w:w="719" w:type="pct"/>
          </w:tcPr>
          <w:p w14:paraId="03EB0203" w14:textId="77777777" w:rsidR="00765237" w:rsidRPr="000B5813" w:rsidRDefault="00765237" w:rsidP="00765237">
            <w:pPr>
              <w:pStyle w:val="Compact"/>
              <w:jc w:val="right"/>
              <w:rPr>
                <w:color w:val="000000"/>
                <w:sz w:val="20"/>
                <w:szCs w:val="20"/>
              </w:rPr>
            </w:pPr>
            <w:r w:rsidRPr="000B5813">
              <w:rPr>
                <w:color w:val="000000"/>
                <w:sz w:val="20"/>
                <w:szCs w:val="20"/>
              </w:rPr>
              <w:t>2770 (14.7)</w:t>
            </w:r>
          </w:p>
        </w:tc>
      </w:tr>
      <w:tr w:rsidR="00765237" w:rsidRPr="000B5813" w14:paraId="364F1223" w14:textId="77777777" w:rsidTr="00765237">
        <w:tc>
          <w:tcPr>
            <w:tcW w:w="0" w:type="auto"/>
          </w:tcPr>
          <w:p w14:paraId="7685D595" w14:textId="77777777" w:rsidR="00765237" w:rsidRPr="000B5813" w:rsidRDefault="00765237" w:rsidP="007C2015">
            <w:pPr>
              <w:pStyle w:val="Compact"/>
              <w:rPr>
                <w:color w:val="000000"/>
                <w:sz w:val="20"/>
                <w:szCs w:val="20"/>
              </w:rPr>
            </w:pPr>
          </w:p>
        </w:tc>
        <w:tc>
          <w:tcPr>
            <w:tcW w:w="978" w:type="pct"/>
          </w:tcPr>
          <w:p w14:paraId="075FB87B" w14:textId="77777777" w:rsidR="00765237" w:rsidRPr="000B5813" w:rsidRDefault="00765237" w:rsidP="007C2015">
            <w:pPr>
              <w:pStyle w:val="Compact"/>
              <w:rPr>
                <w:color w:val="000000"/>
                <w:sz w:val="20"/>
                <w:szCs w:val="20"/>
              </w:rPr>
            </w:pPr>
            <w:r w:rsidRPr="000B5813">
              <w:rPr>
                <w:color w:val="000000"/>
                <w:sz w:val="20"/>
                <w:szCs w:val="20"/>
              </w:rPr>
              <w:t>7+</w:t>
            </w:r>
          </w:p>
        </w:tc>
        <w:tc>
          <w:tcPr>
            <w:tcW w:w="739" w:type="pct"/>
          </w:tcPr>
          <w:p w14:paraId="7E350A31" w14:textId="77777777" w:rsidR="00765237" w:rsidRPr="000B5813" w:rsidRDefault="00765237" w:rsidP="00765237">
            <w:pPr>
              <w:pStyle w:val="Compact"/>
              <w:jc w:val="right"/>
              <w:rPr>
                <w:color w:val="000000"/>
                <w:sz w:val="20"/>
                <w:szCs w:val="20"/>
              </w:rPr>
            </w:pPr>
            <w:r w:rsidRPr="000B5813">
              <w:rPr>
                <w:color w:val="000000"/>
                <w:sz w:val="20"/>
                <w:szCs w:val="20"/>
              </w:rPr>
              <w:t xml:space="preserve">467 </w:t>
            </w:r>
            <w:proofErr w:type="gramStart"/>
            <w:r w:rsidRPr="000B5813">
              <w:rPr>
                <w:color w:val="000000"/>
                <w:sz w:val="20"/>
                <w:szCs w:val="20"/>
              </w:rPr>
              <w:t>( 21.5</w:t>
            </w:r>
            <w:proofErr w:type="gramEnd"/>
            <w:r w:rsidRPr="000B5813">
              <w:rPr>
                <w:color w:val="000000"/>
                <w:sz w:val="20"/>
                <w:szCs w:val="20"/>
              </w:rPr>
              <w:t>)</w:t>
            </w:r>
          </w:p>
        </w:tc>
        <w:tc>
          <w:tcPr>
            <w:tcW w:w="812" w:type="pct"/>
          </w:tcPr>
          <w:p w14:paraId="53D4ECE4" w14:textId="77777777" w:rsidR="00765237" w:rsidRPr="000B5813" w:rsidRDefault="00765237" w:rsidP="00765237">
            <w:pPr>
              <w:pStyle w:val="Compact"/>
              <w:jc w:val="right"/>
              <w:rPr>
                <w:color w:val="000000"/>
                <w:sz w:val="20"/>
                <w:szCs w:val="20"/>
              </w:rPr>
            </w:pPr>
            <w:r w:rsidRPr="000B5813">
              <w:rPr>
                <w:color w:val="000000"/>
                <w:sz w:val="20"/>
                <w:szCs w:val="20"/>
              </w:rPr>
              <w:t xml:space="preserve">11466 </w:t>
            </w:r>
            <w:proofErr w:type="gramStart"/>
            <w:r w:rsidRPr="000B5813">
              <w:rPr>
                <w:color w:val="000000"/>
                <w:sz w:val="20"/>
                <w:szCs w:val="20"/>
              </w:rPr>
              <w:t>( 12.9</w:t>
            </w:r>
            <w:proofErr w:type="gramEnd"/>
            <w:r w:rsidRPr="000B5813">
              <w:rPr>
                <w:color w:val="000000"/>
                <w:sz w:val="20"/>
                <w:szCs w:val="20"/>
              </w:rPr>
              <w:t>)</w:t>
            </w:r>
          </w:p>
        </w:tc>
        <w:tc>
          <w:tcPr>
            <w:tcW w:w="665" w:type="pct"/>
          </w:tcPr>
          <w:p w14:paraId="2A90C0AB" w14:textId="77777777" w:rsidR="00765237" w:rsidRPr="000B5813" w:rsidRDefault="00765237" w:rsidP="00765237">
            <w:pPr>
              <w:pStyle w:val="Compact"/>
              <w:jc w:val="right"/>
              <w:rPr>
                <w:color w:val="000000"/>
                <w:sz w:val="20"/>
                <w:szCs w:val="20"/>
              </w:rPr>
            </w:pPr>
            <w:r w:rsidRPr="000B5813">
              <w:rPr>
                <w:color w:val="000000"/>
                <w:sz w:val="20"/>
                <w:szCs w:val="20"/>
              </w:rPr>
              <w:t>48 (11.7)</w:t>
            </w:r>
          </w:p>
        </w:tc>
        <w:tc>
          <w:tcPr>
            <w:tcW w:w="719" w:type="pct"/>
          </w:tcPr>
          <w:p w14:paraId="0E3C31CC" w14:textId="77777777" w:rsidR="00765237" w:rsidRPr="000B5813" w:rsidRDefault="00765237" w:rsidP="00765237">
            <w:pPr>
              <w:pStyle w:val="Compact"/>
              <w:jc w:val="right"/>
              <w:rPr>
                <w:color w:val="000000"/>
                <w:sz w:val="20"/>
                <w:szCs w:val="20"/>
              </w:rPr>
            </w:pPr>
            <w:r w:rsidRPr="000B5813">
              <w:rPr>
                <w:color w:val="000000"/>
                <w:sz w:val="20"/>
                <w:szCs w:val="20"/>
              </w:rPr>
              <w:t>1425 (7.6)</w:t>
            </w:r>
          </w:p>
        </w:tc>
      </w:tr>
      <w:tr w:rsidR="00765237" w:rsidRPr="000B5813" w14:paraId="32115A10" w14:textId="77777777" w:rsidTr="00765237">
        <w:tc>
          <w:tcPr>
            <w:tcW w:w="0" w:type="auto"/>
          </w:tcPr>
          <w:p w14:paraId="127796F1" w14:textId="77777777" w:rsidR="00765237" w:rsidRPr="000B5813" w:rsidRDefault="00765237" w:rsidP="007C2015">
            <w:pPr>
              <w:pStyle w:val="Compact"/>
              <w:rPr>
                <w:color w:val="000000"/>
                <w:sz w:val="20"/>
                <w:szCs w:val="20"/>
              </w:rPr>
            </w:pPr>
            <w:r w:rsidRPr="000B5813">
              <w:rPr>
                <w:color w:val="000000"/>
                <w:sz w:val="20"/>
                <w:szCs w:val="20"/>
              </w:rPr>
              <w:t>AIDS/HIV</w:t>
            </w:r>
          </w:p>
        </w:tc>
        <w:tc>
          <w:tcPr>
            <w:tcW w:w="978" w:type="pct"/>
          </w:tcPr>
          <w:p w14:paraId="10E6674E" w14:textId="77777777" w:rsidR="00765237" w:rsidRPr="000B5813" w:rsidRDefault="00765237" w:rsidP="007C2015">
            <w:pPr>
              <w:pStyle w:val="Compact"/>
              <w:rPr>
                <w:color w:val="000000"/>
                <w:sz w:val="20"/>
                <w:szCs w:val="20"/>
              </w:rPr>
            </w:pPr>
          </w:p>
        </w:tc>
        <w:tc>
          <w:tcPr>
            <w:tcW w:w="739" w:type="pct"/>
          </w:tcPr>
          <w:p w14:paraId="7215E74F" w14:textId="77777777" w:rsidR="00765237" w:rsidRPr="000B5813" w:rsidRDefault="00765237" w:rsidP="00765237">
            <w:pPr>
              <w:pStyle w:val="Compact"/>
              <w:jc w:val="right"/>
              <w:rPr>
                <w:color w:val="000000"/>
                <w:sz w:val="20"/>
                <w:szCs w:val="20"/>
              </w:rPr>
            </w:pPr>
            <w:r w:rsidRPr="000B5813">
              <w:rPr>
                <w:color w:val="000000"/>
                <w:sz w:val="20"/>
                <w:szCs w:val="20"/>
              </w:rPr>
              <w:t xml:space="preserve">1 </w:t>
            </w:r>
            <w:proofErr w:type="gramStart"/>
            <w:r w:rsidRPr="000B5813">
              <w:rPr>
                <w:color w:val="000000"/>
                <w:sz w:val="20"/>
                <w:szCs w:val="20"/>
              </w:rPr>
              <w:t>( 0.0</w:t>
            </w:r>
            <w:proofErr w:type="gramEnd"/>
            <w:r w:rsidRPr="000B5813">
              <w:rPr>
                <w:color w:val="000000"/>
                <w:sz w:val="20"/>
                <w:szCs w:val="20"/>
              </w:rPr>
              <w:t>)</w:t>
            </w:r>
          </w:p>
        </w:tc>
        <w:tc>
          <w:tcPr>
            <w:tcW w:w="812" w:type="pct"/>
          </w:tcPr>
          <w:p w14:paraId="4D57C8F2" w14:textId="77777777" w:rsidR="00765237" w:rsidRPr="000B5813" w:rsidRDefault="00765237" w:rsidP="00765237">
            <w:pPr>
              <w:pStyle w:val="Compact"/>
              <w:jc w:val="right"/>
              <w:rPr>
                <w:color w:val="000000"/>
                <w:sz w:val="20"/>
                <w:szCs w:val="20"/>
              </w:rPr>
            </w:pPr>
            <w:r w:rsidRPr="000B5813">
              <w:rPr>
                <w:color w:val="000000"/>
                <w:sz w:val="20"/>
                <w:szCs w:val="20"/>
              </w:rPr>
              <w:t xml:space="preserve">16 </w:t>
            </w:r>
            <w:proofErr w:type="gramStart"/>
            <w:r w:rsidRPr="000B5813">
              <w:rPr>
                <w:color w:val="000000"/>
                <w:sz w:val="20"/>
                <w:szCs w:val="20"/>
              </w:rPr>
              <w:t>( 0.0</w:t>
            </w:r>
            <w:proofErr w:type="gramEnd"/>
            <w:r w:rsidRPr="000B5813">
              <w:rPr>
                <w:color w:val="000000"/>
                <w:sz w:val="20"/>
                <w:szCs w:val="20"/>
              </w:rPr>
              <w:t>)</w:t>
            </w:r>
          </w:p>
        </w:tc>
        <w:tc>
          <w:tcPr>
            <w:tcW w:w="665" w:type="pct"/>
          </w:tcPr>
          <w:p w14:paraId="3BC4C082" w14:textId="77777777" w:rsidR="00765237" w:rsidRPr="000B5813" w:rsidRDefault="00765237" w:rsidP="00765237">
            <w:pPr>
              <w:pStyle w:val="Compact"/>
              <w:jc w:val="right"/>
              <w:rPr>
                <w:color w:val="000000"/>
                <w:sz w:val="20"/>
                <w:szCs w:val="20"/>
              </w:rPr>
            </w:pPr>
            <w:r w:rsidRPr="000B5813">
              <w:rPr>
                <w:color w:val="000000"/>
                <w:sz w:val="20"/>
                <w:szCs w:val="20"/>
              </w:rPr>
              <w:t>0 (0.0)</w:t>
            </w:r>
          </w:p>
        </w:tc>
        <w:tc>
          <w:tcPr>
            <w:tcW w:w="719" w:type="pct"/>
          </w:tcPr>
          <w:p w14:paraId="061A17D7" w14:textId="77777777" w:rsidR="00765237" w:rsidRPr="000B5813" w:rsidRDefault="00765237" w:rsidP="00765237">
            <w:pPr>
              <w:pStyle w:val="Compact"/>
              <w:jc w:val="right"/>
              <w:rPr>
                <w:color w:val="000000"/>
                <w:sz w:val="20"/>
                <w:szCs w:val="20"/>
              </w:rPr>
            </w:pPr>
            <w:r w:rsidRPr="000B5813">
              <w:rPr>
                <w:color w:val="000000"/>
                <w:sz w:val="20"/>
                <w:szCs w:val="20"/>
              </w:rPr>
              <w:t>8 (0.0)</w:t>
            </w:r>
          </w:p>
        </w:tc>
      </w:tr>
      <w:tr w:rsidR="00765237" w:rsidRPr="000B5813" w14:paraId="2D8E92A3" w14:textId="77777777" w:rsidTr="00765237">
        <w:tc>
          <w:tcPr>
            <w:tcW w:w="0" w:type="auto"/>
          </w:tcPr>
          <w:p w14:paraId="5EB8F22D" w14:textId="77777777" w:rsidR="00765237" w:rsidRPr="000B5813" w:rsidRDefault="00765237" w:rsidP="007C2015">
            <w:pPr>
              <w:pStyle w:val="Compact"/>
              <w:rPr>
                <w:color w:val="000000"/>
                <w:sz w:val="20"/>
                <w:szCs w:val="20"/>
              </w:rPr>
            </w:pPr>
            <w:r w:rsidRPr="000B5813">
              <w:rPr>
                <w:color w:val="000000"/>
                <w:sz w:val="20"/>
                <w:szCs w:val="20"/>
              </w:rPr>
              <w:t>Anemia</w:t>
            </w:r>
          </w:p>
        </w:tc>
        <w:tc>
          <w:tcPr>
            <w:tcW w:w="978" w:type="pct"/>
          </w:tcPr>
          <w:p w14:paraId="782F846E" w14:textId="77777777" w:rsidR="00765237" w:rsidRPr="000B5813" w:rsidRDefault="00765237" w:rsidP="007C2015">
            <w:pPr>
              <w:pStyle w:val="Compact"/>
              <w:rPr>
                <w:color w:val="000000"/>
                <w:sz w:val="20"/>
                <w:szCs w:val="20"/>
              </w:rPr>
            </w:pPr>
          </w:p>
        </w:tc>
        <w:tc>
          <w:tcPr>
            <w:tcW w:w="739" w:type="pct"/>
          </w:tcPr>
          <w:p w14:paraId="51F8793B" w14:textId="77777777" w:rsidR="00765237" w:rsidRPr="000B5813" w:rsidRDefault="00765237" w:rsidP="00765237">
            <w:pPr>
              <w:pStyle w:val="Compact"/>
              <w:jc w:val="right"/>
              <w:rPr>
                <w:color w:val="000000"/>
                <w:sz w:val="20"/>
                <w:szCs w:val="20"/>
              </w:rPr>
            </w:pPr>
            <w:r w:rsidRPr="000B5813">
              <w:rPr>
                <w:color w:val="000000"/>
                <w:sz w:val="20"/>
                <w:szCs w:val="20"/>
              </w:rPr>
              <w:t xml:space="preserve">20 </w:t>
            </w:r>
            <w:proofErr w:type="gramStart"/>
            <w:r w:rsidRPr="000B5813">
              <w:rPr>
                <w:color w:val="000000"/>
                <w:sz w:val="20"/>
                <w:szCs w:val="20"/>
              </w:rPr>
              <w:t>( 0.9</w:t>
            </w:r>
            <w:proofErr w:type="gramEnd"/>
            <w:r w:rsidRPr="000B5813">
              <w:rPr>
                <w:color w:val="000000"/>
                <w:sz w:val="20"/>
                <w:szCs w:val="20"/>
              </w:rPr>
              <w:t>)</w:t>
            </w:r>
          </w:p>
        </w:tc>
        <w:tc>
          <w:tcPr>
            <w:tcW w:w="812" w:type="pct"/>
          </w:tcPr>
          <w:p w14:paraId="444F9D48" w14:textId="77777777" w:rsidR="00765237" w:rsidRPr="000B5813" w:rsidRDefault="00765237" w:rsidP="00765237">
            <w:pPr>
              <w:pStyle w:val="Compact"/>
              <w:jc w:val="right"/>
              <w:rPr>
                <w:color w:val="000000"/>
                <w:sz w:val="20"/>
                <w:szCs w:val="20"/>
              </w:rPr>
            </w:pPr>
            <w:r w:rsidRPr="000B5813">
              <w:rPr>
                <w:color w:val="000000"/>
                <w:sz w:val="20"/>
                <w:szCs w:val="20"/>
              </w:rPr>
              <w:t xml:space="preserve">619 </w:t>
            </w:r>
            <w:proofErr w:type="gramStart"/>
            <w:r w:rsidRPr="000B5813">
              <w:rPr>
                <w:color w:val="000000"/>
                <w:sz w:val="20"/>
                <w:szCs w:val="20"/>
              </w:rPr>
              <w:t>( 0.7</w:t>
            </w:r>
            <w:proofErr w:type="gramEnd"/>
            <w:r w:rsidRPr="000B5813">
              <w:rPr>
                <w:color w:val="000000"/>
                <w:sz w:val="20"/>
                <w:szCs w:val="20"/>
              </w:rPr>
              <w:t>)</w:t>
            </w:r>
          </w:p>
        </w:tc>
        <w:tc>
          <w:tcPr>
            <w:tcW w:w="665" w:type="pct"/>
          </w:tcPr>
          <w:p w14:paraId="3D51AC9F" w14:textId="77777777" w:rsidR="00765237" w:rsidRPr="000B5813" w:rsidRDefault="00765237" w:rsidP="00765237">
            <w:pPr>
              <w:pStyle w:val="Compact"/>
              <w:jc w:val="right"/>
              <w:rPr>
                <w:color w:val="000000"/>
                <w:sz w:val="20"/>
                <w:szCs w:val="20"/>
              </w:rPr>
            </w:pPr>
            <w:r w:rsidRPr="000B5813">
              <w:rPr>
                <w:color w:val="000000"/>
                <w:sz w:val="20"/>
                <w:szCs w:val="20"/>
              </w:rPr>
              <w:t>0 (0.0)</w:t>
            </w:r>
          </w:p>
        </w:tc>
        <w:tc>
          <w:tcPr>
            <w:tcW w:w="719" w:type="pct"/>
          </w:tcPr>
          <w:p w14:paraId="015824F6" w14:textId="77777777" w:rsidR="00765237" w:rsidRPr="000B5813" w:rsidRDefault="00765237" w:rsidP="00765237">
            <w:pPr>
              <w:pStyle w:val="Compact"/>
              <w:jc w:val="right"/>
              <w:rPr>
                <w:color w:val="000000"/>
                <w:sz w:val="20"/>
                <w:szCs w:val="20"/>
              </w:rPr>
            </w:pPr>
            <w:r w:rsidRPr="000B5813">
              <w:rPr>
                <w:color w:val="000000"/>
                <w:sz w:val="20"/>
                <w:szCs w:val="20"/>
              </w:rPr>
              <w:t>49 (0.3)</w:t>
            </w:r>
          </w:p>
        </w:tc>
      </w:tr>
      <w:tr w:rsidR="00765237" w:rsidRPr="000B5813" w14:paraId="45A1E957" w14:textId="77777777" w:rsidTr="00765237">
        <w:tc>
          <w:tcPr>
            <w:tcW w:w="0" w:type="auto"/>
          </w:tcPr>
          <w:p w14:paraId="519C4391" w14:textId="77777777" w:rsidR="00765237" w:rsidRPr="000B5813" w:rsidRDefault="00765237" w:rsidP="007C2015">
            <w:pPr>
              <w:pStyle w:val="Compact"/>
              <w:rPr>
                <w:color w:val="000000"/>
                <w:sz w:val="20"/>
                <w:szCs w:val="20"/>
              </w:rPr>
            </w:pPr>
            <w:r w:rsidRPr="000B5813">
              <w:rPr>
                <w:color w:val="000000"/>
                <w:sz w:val="20"/>
                <w:szCs w:val="20"/>
              </w:rPr>
              <w:t>Arrhythmia</w:t>
            </w:r>
          </w:p>
        </w:tc>
        <w:tc>
          <w:tcPr>
            <w:tcW w:w="978" w:type="pct"/>
          </w:tcPr>
          <w:p w14:paraId="72D8FA89" w14:textId="77777777" w:rsidR="00765237" w:rsidRPr="000B5813" w:rsidRDefault="00765237" w:rsidP="007C2015">
            <w:pPr>
              <w:pStyle w:val="Compact"/>
              <w:rPr>
                <w:color w:val="000000"/>
                <w:sz w:val="20"/>
                <w:szCs w:val="20"/>
              </w:rPr>
            </w:pPr>
          </w:p>
        </w:tc>
        <w:tc>
          <w:tcPr>
            <w:tcW w:w="739" w:type="pct"/>
          </w:tcPr>
          <w:p w14:paraId="09104EA9" w14:textId="77777777" w:rsidR="00765237" w:rsidRPr="000B5813" w:rsidRDefault="00765237" w:rsidP="00765237">
            <w:pPr>
              <w:pStyle w:val="Compact"/>
              <w:jc w:val="right"/>
              <w:rPr>
                <w:color w:val="000000"/>
                <w:sz w:val="20"/>
                <w:szCs w:val="20"/>
              </w:rPr>
            </w:pPr>
            <w:r w:rsidRPr="000B5813">
              <w:rPr>
                <w:color w:val="000000"/>
                <w:sz w:val="20"/>
                <w:szCs w:val="20"/>
              </w:rPr>
              <w:t xml:space="preserve">271 </w:t>
            </w:r>
            <w:proofErr w:type="gramStart"/>
            <w:r w:rsidRPr="000B5813">
              <w:rPr>
                <w:color w:val="000000"/>
                <w:sz w:val="20"/>
                <w:szCs w:val="20"/>
              </w:rPr>
              <w:t>( 12.5</w:t>
            </w:r>
            <w:proofErr w:type="gramEnd"/>
            <w:r w:rsidRPr="000B5813">
              <w:rPr>
                <w:color w:val="000000"/>
                <w:sz w:val="20"/>
                <w:szCs w:val="20"/>
              </w:rPr>
              <w:t>)</w:t>
            </w:r>
          </w:p>
        </w:tc>
        <w:tc>
          <w:tcPr>
            <w:tcW w:w="812" w:type="pct"/>
          </w:tcPr>
          <w:p w14:paraId="51A66AA8" w14:textId="77777777" w:rsidR="00765237" w:rsidRPr="000B5813" w:rsidRDefault="00765237" w:rsidP="00765237">
            <w:pPr>
              <w:pStyle w:val="Compact"/>
              <w:jc w:val="right"/>
              <w:rPr>
                <w:color w:val="000000"/>
                <w:sz w:val="20"/>
                <w:szCs w:val="20"/>
              </w:rPr>
            </w:pPr>
            <w:r w:rsidRPr="000B5813">
              <w:rPr>
                <w:color w:val="000000"/>
                <w:sz w:val="20"/>
                <w:szCs w:val="20"/>
              </w:rPr>
              <w:t xml:space="preserve">6368 </w:t>
            </w:r>
            <w:proofErr w:type="gramStart"/>
            <w:r w:rsidRPr="000B5813">
              <w:rPr>
                <w:color w:val="000000"/>
                <w:sz w:val="20"/>
                <w:szCs w:val="20"/>
              </w:rPr>
              <w:t>( 7.2</w:t>
            </w:r>
            <w:proofErr w:type="gramEnd"/>
            <w:r w:rsidRPr="000B5813">
              <w:rPr>
                <w:color w:val="000000"/>
                <w:sz w:val="20"/>
                <w:szCs w:val="20"/>
              </w:rPr>
              <w:t>)</w:t>
            </w:r>
          </w:p>
        </w:tc>
        <w:tc>
          <w:tcPr>
            <w:tcW w:w="665" w:type="pct"/>
          </w:tcPr>
          <w:p w14:paraId="785690E2" w14:textId="77777777" w:rsidR="00765237" w:rsidRPr="000B5813" w:rsidRDefault="00765237" w:rsidP="00765237">
            <w:pPr>
              <w:pStyle w:val="Compact"/>
              <w:jc w:val="right"/>
              <w:rPr>
                <w:color w:val="000000"/>
                <w:sz w:val="20"/>
                <w:szCs w:val="20"/>
              </w:rPr>
            </w:pPr>
            <w:r w:rsidRPr="000B5813">
              <w:rPr>
                <w:color w:val="000000"/>
                <w:sz w:val="20"/>
                <w:szCs w:val="20"/>
              </w:rPr>
              <w:t>28 (6.8)</w:t>
            </w:r>
          </w:p>
        </w:tc>
        <w:tc>
          <w:tcPr>
            <w:tcW w:w="719" w:type="pct"/>
          </w:tcPr>
          <w:p w14:paraId="2C0136D9" w14:textId="77777777" w:rsidR="00765237" w:rsidRPr="000B5813" w:rsidRDefault="00765237" w:rsidP="00765237">
            <w:pPr>
              <w:pStyle w:val="Compact"/>
              <w:jc w:val="right"/>
              <w:rPr>
                <w:color w:val="000000"/>
                <w:sz w:val="20"/>
                <w:szCs w:val="20"/>
              </w:rPr>
            </w:pPr>
            <w:r w:rsidRPr="000B5813">
              <w:rPr>
                <w:color w:val="000000"/>
                <w:sz w:val="20"/>
                <w:szCs w:val="20"/>
              </w:rPr>
              <w:t>843 (4.5)</w:t>
            </w:r>
          </w:p>
        </w:tc>
      </w:tr>
      <w:tr w:rsidR="00765237" w:rsidRPr="000B5813" w14:paraId="50078CB9" w14:textId="77777777" w:rsidTr="00765237">
        <w:tc>
          <w:tcPr>
            <w:tcW w:w="0" w:type="auto"/>
          </w:tcPr>
          <w:p w14:paraId="6F818585" w14:textId="77777777" w:rsidR="00765237" w:rsidRPr="000B5813" w:rsidRDefault="00765237" w:rsidP="007C2015">
            <w:pPr>
              <w:pStyle w:val="Compact"/>
              <w:rPr>
                <w:color w:val="000000"/>
                <w:sz w:val="20"/>
                <w:szCs w:val="20"/>
              </w:rPr>
            </w:pPr>
            <w:r w:rsidRPr="000B5813">
              <w:rPr>
                <w:color w:val="000000"/>
                <w:sz w:val="20"/>
                <w:szCs w:val="20"/>
              </w:rPr>
              <w:t>Arterial hypertension</w:t>
            </w:r>
          </w:p>
        </w:tc>
        <w:tc>
          <w:tcPr>
            <w:tcW w:w="978" w:type="pct"/>
          </w:tcPr>
          <w:p w14:paraId="56EC3421" w14:textId="77777777" w:rsidR="00765237" w:rsidRPr="000B5813" w:rsidRDefault="00765237" w:rsidP="007C2015">
            <w:pPr>
              <w:pStyle w:val="Compact"/>
              <w:rPr>
                <w:color w:val="000000"/>
                <w:sz w:val="20"/>
                <w:szCs w:val="20"/>
              </w:rPr>
            </w:pPr>
          </w:p>
        </w:tc>
        <w:tc>
          <w:tcPr>
            <w:tcW w:w="739" w:type="pct"/>
          </w:tcPr>
          <w:p w14:paraId="3E98B6B9" w14:textId="77777777" w:rsidR="00765237" w:rsidRPr="000B5813" w:rsidRDefault="00765237" w:rsidP="00765237">
            <w:pPr>
              <w:pStyle w:val="Compact"/>
              <w:jc w:val="right"/>
              <w:rPr>
                <w:color w:val="000000"/>
                <w:sz w:val="20"/>
                <w:szCs w:val="20"/>
              </w:rPr>
            </w:pPr>
            <w:r w:rsidRPr="000B5813">
              <w:rPr>
                <w:color w:val="000000"/>
                <w:sz w:val="20"/>
                <w:szCs w:val="20"/>
              </w:rPr>
              <w:t xml:space="preserve">753 </w:t>
            </w:r>
            <w:proofErr w:type="gramStart"/>
            <w:r w:rsidRPr="000B5813">
              <w:rPr>
                <w:color w:val="000000"/>
                <w:sz w:val="20"/>
                <w:szCs w:val="20"/>
              </w:rPr>
              <w:t>( 34.7</w:t>
            </w:r>
            <w:proofErr w:type="gramEnd"/>
            <w:r w:rsidRPr="000B5813">
              <w:rPr>
                <w:color w:val="000000"/>
                <w:sz w:val="20"/>
                <w:szCs w:val="20"/>
              </w:rPr>
              <w:t>)</w:t>
            </w:r>
          </w:p>
        </w:tc>
        <w:tc>
          <w:tcPr>
            <w:tcW w:w="812" w:type="pct"/>
          </w:tcPr>
          <w:p w14:paraId="03A69DCB" w14:textId="77777777" w:rsidR="00765237" w:rsidRPr="000B5813" w:rsidRDefault="00765237" w:rsidP="00765237">
            <w:pPr>
              <w:pStyle w:val="Compact"/>
              <w:jc w:val="right"/>
              <w:rPr>
                <w:color w:val="000000"/>
                <w:sz w:val="20"/>
                <w:szCs w:val="20"/>
              </w:rPr>
            </w:pPr>
            <w:r w:rsidRPr="000B5813">
              <w:rPr>
                <w:color w:val="000000"/>
                <w:sz w:val="20"/>
                <w:szCs w:val="20"/>
              </w:rPr>
              <w:t xml:space="preserve">24058 </w:t>
            </w:r>
            <w:proofErr w:type="gramStart"/>
            <w:r w:rsidRPr="000B5813">
              <w:rPr>
                <w:color w:val="000000"/>
                <w:sz w:val="20"/>
                <w:szCs w:val="20"/>
              </w:rPr>
              <w:t>( 27.1</w:t>
            </w:r>
            <w:proofErr w:type="gramEnd"/>
            <w:r w:rsidRPr="000B5813">
              <w:rPr>
                <w:color w:val="000000"/>
                <w:sz w:val="20"/>
                <w:szCs w:val="20"/>
              </w:rPr>
              <w:t>)</w:t>
            </w:r>
          </w:p>
        </w:tc>
        <w:tc>
          <w:tcPr>
            <w:tcW w:w="665" w:type="pct"/>
          </w:tcPr>
          <w:p w14:paraId="2A002C45" w14:textId="77777777" w:rsidR="00765237" w:rsidRPr="000B5813" w:rsidRDefault="00765237" w:rsidP="00765237">
            <w:pPr>
              <w:pStyle w:val="Compact"/>
              <w:jc w:val="right"/>
              <w:rPr>
                <w:color w:val="000000"/>
                <w:sz w:val="20"/>
                <w:szCs w:val="20"/>
              </w:rPr>
            </w:pPr>
            <w:r w:rsidRPr="000B5813">
              <w:rPr>
                <w:color w:val="000000"/>
                <w:sz w:val="20"/>
                <w:szCs w:val="20"/>
              </w:rPr>
              <w:t>45 (11.0)</w:t>
            </w:r>
          </w:p>
        </w:tc>
        <w:tc>
          <w:tcPr>
            <w:tcW w:w="719" w:type="pct"/>
          </w:tcPr>
          <w:p w14:paraId="63AF1D65" w14:textId="77777777" w:rsidR="00765237" w:rsidRPr="000B5813" w:rsidRDefault="00765237" w:rsidP="00765237">
            <w:pPr>
              <w:pStyle w:val="Compact"/>
              <w:jc w:val="right"/>
              <w:rPr>
                <w:color w:val="000000"/>
                <w:sz w:val="20"/>
                <w:szCs w:val="20"/>
              </w:rPr>
            </w:pPr>
            <w:r w:rsidRPr="000B5813">
              <w:rPr>
                <w:color w:val="000000"/>
                <w:sz w:val="20"/>
                <w:szCs w:val="20"/>
              </w:rPr>
              <w:t>1440 (7.6)</w:t>
            </w:r>
          </w:p>
        </w:tc>
      </w:tr>
      <w:tr w:rsidR="00765237" w:rsidRPr="000B5813" w14:paraId="5CEA5C38" w14:textId="77777777" w:rsidTr="00765237">
        <w:tc>
          <w:tcPr>
            <w:tcW w:w="0" w:type="auto"/>
          </w:tcPr>
          <w:p w14:paraId="4CAE77AA" w14:textId="77777777" w:rsidR="00765237" w:rsidRPr="000B5813" w:rsidRDefault="00765237" w:rsidP="007C2015">
            <w:pPr>
              <w:pStyle w:val="Compact"/>
              <w:rPr>
                <w:color w:val="000000"/>
                <w:sz w:val="20"/>
                <w:szCs w:val="20"/>
              </w:rPr>
            </w:pPr>
            <w:r w:rsidRPr="000B5813">
              <w:rPr>
                <w:color w:val="000000"/>
                <w:sz w:val="20"/>
                <w:szCs w:val="20"/>
              </w:rPr>
              <w:t>Cancer</w:t>
            </w:r>
          </w:p>
        </w:tc>
        <w:tc>
          <w:tcPr>
            <w:tcW w:w="978" w:type="pct"/>
          </w:tcPr>
          <w:p w14:paraId="5C318228" w14:textId="77777777" w:rsidR="00765237" w:rsidRPr="000B5813" w:rsidRDefault="00765237" w:rsidP="007C2015">
            <w:pPr>
              <w:pStyle w:val="Compact"/>
              <w:rPr>
                <w:color w:val="000000"/>
                <w:sz w:val="20"/>
                <w:szCs w:val="20"/>
              </w:rPr>
            </w:pPr>
          </w:p>
        </w:tc>
        <w:tc>
          <w:tcPr>
            <w:tcW w:w="739" w:type="pct"/>
          </w:tcPr>
          <w:p w14:paraId="725B2AB8" w14:textId="77777777" w:rsidR="00765237" w:rsidRPr="000B5813" w:rsidRDefault="00765237" w:rsidP="00765237">
            <w:pPr>
              <w:pStyle w:val="Compact"/>
              <w:jc w:val="right"/>
              <w:rPr>
                <w:color w:val="000000"/>
                <w:sz w:val="20"/>
                <w:szCs w:val="20"/>
              </w:rPr>
            </w:pPr>
            <w:r w:rsidRPr="000B5813">
              <w:rPr>
                <w:color w:val="000000"/>
                <w:sz w:val="20"/>
                <w:szCs w:val="20"/>
              </w:rPr>
              <w:t xml:space="preserve">142 </w:t>
            </w:r>
            <w:proofErr w:type="gramStart"/>
            <w:r w:rsidRPr="000B5813">
              <w:rPr>
                <w:color w:val="000000"/>
                <w:sz w:val="20"/>
                <w:szCs w:val="20"/>
              </w:rPr>
              <w:t>( 6.5</w:t>
            </w:r>
            <w:proofErr w:type="gramEnd"/>
            <w:r w:rsidRPr="000B5813">
              <w:rPr>
                <w:color w:val="000000"/>
                <w:sz w:val="20"/>
                <w:szCs w:val="20"/>
              </w:rPr>
              <w:t>)</w:t>
            </w:r>
          </w:p>
        </w:tc>
        <w:tc>
          <w:tcPr>
            <w:tcW w:w="812" w:type="pct"/>
          </w:tcPr>
          <w:p w14:paraId="2E82CE27" w14:textId="77777777" w:rsidR="00765237" w:rsidRPr="000B5813" w:rsidRDefault="00765237" w:rsidP="00765237">
            <w:pPr>
              <w:pStyle w:val="Compact"/>
              <w:jc w:val="right"/>
              <w:rPr>
                <w:color w:val="000000"/>
                <w:sz w:val="20"/>
                <w:szCs w:val="20"/>
              </w:rPr>
            </w:pPr>
            <w:r w:rsidRPr="000B5813">
              <w:rPr>
                <w:color w:val="000000"/>
                <w:sz w:val="20"/>
                <w:szCs w:val="20"/>
              </w:rPr>
              <w:t xml:space="preserve">3997 </w:t>
            </w:r>
            <w:proofErr w:type="gramStart"/>
            <w:r w:rsidRPr="000B5813">
              <w:rPr>
                <w:color w:val="000000"/>
                <w:sz w:val="20"/>
                <w:szCs w:val="20"/>
              </w:rPr>
              <w:t>( 4.5</w:t>
            </w:r>
            <w:proofErr w:type="gramEnd"/>
            <w:r w:rsidRPr="000B5813">
              <w:rPr>
                <w:color w:val="000000"/>
                <w:sz w:val="20"/>
                <w:szCs w:val="20"/>
              </w:rPr>
              <w:t>)</w:t>
            </w:r>
          </w:p>
        </w:tc>
        <w:tc>
          <w:tcPr>
            <w:tcW w:w="665" w:type="pct"/>
          </w:tcPr>
          <w:p w14:paraId="6B2B8B00" w14:textId="77777777" w:rsidR="00765237" w:rsidRPr="000B5813" w:rsidRDefault="00765237" w:rsidP="00765237">
            <w:pPr>
              <w:pStyle w:val="Compact"/>
              <w:jc w:val="right"/>
              <w:rPr>
                <w:color w:val="000000"/>
                <w:sz w:val="20"/>
                <w:szCs w:val="20"/>
              </w:rPr>
            </w:pPr>
            <w:r w:rsidRPr="000B5813">
              <w:rPr>
                <w:color w:val="000000"/>
                <w:sz w:val="20"/>
                <w:szCs w:val="20"/>
              </w:rPr>
              <w:t>20 (4.9)</w:t>
            </w:r>
          </w:p>
        </w:tc>
        <w:tc>
          <w:tcPr>
            <w:tcW w:w="719" w:type="pct"/>
          </w:tcPr>
          <w:p w14:paraId="0080813B" w14:textId="77777777" w:rsidR="00765237" w:rsidRPr="000B5813" w:rsidRDefault="00765237" w:rsidP="00765237">
            <w:pPr>
              <w:pStyle w:val="Compact"/>
              <w:jc w:val="right"/>
              <w:rPr>
                <w:color w:val="000000"/>
                <w:sz w:val="20"/>
                <w:szCs w:val="20"/>
              </w:rPr>
            </w:pPr>
            <w:r w:rsidRPr="000B5813">
              <w:rPr>
                <w:color w:val="000000"/>
                <w:sz w:val="20"/>
                <w:szCs w:val="20"/>
              </w:rPr>
              <w:t>822 (4.4)</w:t>
            </w:r>
          </w:p>
        </w:tc>
      </w:tr>
      <w:tr w:rsidR="00765237" w:rsidRPr="000B5813" w14:paraId="1C4F1713" w14:textId="77777777" w:rsidTr="00765237">
        <w:tc>
          <w:tcPr>
            <w:tcW w:w="0" w:type="auto"/>
          </w:tcPr>
          <w:p w14:paraId="25E0BB7F" w14:textId="77777777" w:rsidR="00765237" w:rsidRPr="000B5813" w:rsidRDefault="00765237" w:rsidP="007C2015">
            <w:pPr>
              <w:pStyle w:val="Compact"/>
              <w:rPr>
                <w:color w:val="000000"/>
                <w:sz w:val="20"/>
                <w:szCs w:val="20"/>
              </w:rPr>
            </w:pPr>
            <w:r w:rsidRPr="000B5813">
              <w:rPr>
                <w:color w:val="000000"/>
                <w:sz w:val="20"/>
                <w:szCs w:val="20"/>
              </w:rPr>
              <w:t>CNS disease</w:t>
            </w:r>
          </w:p>
        </w:tc>
        <w:tc>
          <w:tcPr>
            <w:tcW w:w="978" w:type="pct"/>
          </w:tcPr>
          <w:p w14:paraId="3985AC56" w14:textId="77777777" w:rsidR="00765237" w:rsidRPr="000B5813" w:rsidRDefault="00765237" w:rsidP="007C2015">
            <w:pPr>
              <w:pStyle w:val="Compact"/>
              <w:rPr>
                <w:color w:val="000000"/>
                <w:sz w:val="20"/>
                <w:szCs w:val="20"/>
              </w:rPr>
            </w:pPr>
          </w:p>
        </w:tc>
        <w:tc>
          <w:tcPr>
            <w:tcW w:w="739" w:type="pct"/>
          </w:tcPr>
          <w:p w14:paraId="583137BB" w14:textId="77777777" w:rsidR="00765237" w:rsidRPr="000B5813" w:rsidRDefault="00765237" w:rsidP="00765237">
            <w:pPr>
              <w:pStyle w:val="Compact"/>
              <w:jc w:val="right"/>
              <w:rPr>
                <w:color w:val="000000"/>
                <w:sz w:val="20"/>
                <w:szCs w:val="20"/>
              </w:rPr>
            </w:pPr>
            <w:r w:rsidRPr="000B5813">
              <w:rPr>
                <w:color w:val="000000"/>
                <w:sz w:val="20"/>
                <w:szCs w:val="20"/>
              </w:rPr>
              <w:t xml:space="preserve">166 </w:t>
            </w:r>
            <w:proofErr w:type="gramStart"/>
            <w:r w:rsidRPr="000B5813">
              <w:rPr>
                <w:color w:val="000000"/>
                <w:sz w:val="20"/>
                <w:szCs w:val="20"/>
              </w:rPr>
              <w:t>( 7.6</w:t>
            </w:r>
            <w:proofErr w:type="gramEnd"/>
            <w:r w:rsidRPr="000B5813">
              <w:rPr>
                <w:color w:val="000000"/>
                <w:sz w:val="20"/>
                <w:szCs w:val="20"/>
              </w:rPr>
              <w:t>)</w:t>
            </w:r>
          </w:p>
        </w:tc>
        <w:tc>
          <w:tcPr>
            <w:tcW w:w="812" w:type="pct"/>
          </w:tcPr>
          <w:p w14:paraId="7333EEA0" w14:textId="77777777" w:rsidR="00765237" w:rsidRPr="000B5813" w:rsidRDefault="00765237" w:rsidP="00765237">
            <w:pPr>
              <w:pStyle w:val="Compact"/>
              <w:jc w:val="right"/>
              <w:rPr>
                <w:color w:val="000000"/>
                <w:sz w:val="20"/>
                <w:szCs w:val="20"/>
              </w:rPr>
            </w:pPr>
            <w:r w:rsidRPr="000B5813">
              <w:rPr>
                <w:color w:val="000000"/>
                <w:sz w:val="20"/>
                <w:szCs w:val="20"/>
              </w:rPr>
              <w:t xml:space="preserve">3142 </w:t>
            </w:r>
            <w:proofErr w:type="gramStart"/>
            <w:r w:rsidRPr="000B5813">
              <w:rPr>
                <w:color w:val="000000"/>
                <w:sz w:val="20"/>
                <w:szCs w:val="20"/>
              </w:rPr>
              <w:t>( 3.5</w:t>
            </w:r>
            <w:proofErr w:type="gramEnd"/>
            <w:r w:rsidRPr="000B5813">
              <w:rPr>
                <w:color w:val="000000"/>
                <w:sz w:val="20"/>
                <w:szCs w:val="20"/>
              </w:rPr>
              <w:t>)</w:t>
            </w:r>
          </w:p>
        </w:tc>
        <w:tc>
          <w:tcPr>
            <w:tcW w:w="665" w:type="pct"/>
          </w:tcPr>
          <w:p w14:paraId="2A566D55" w14:textId="77777777" w:rsidR="00765237" w:rsidRPr="000B5813" w:rsidRDefault="00765237" w:rsidP="00765237">
            <w:pPr>
              <w:pStyle w:val="Compact"/>
              <w:jc w:val="right"/>
              <w:rPr>
                <w:color w:val="000000"/>
                <w:sz w:val="20"/>
                <w:szCs w:val="20"/>
              </w:rPr>
            </w:pPr>
            <w:r w:rsidRPr="000B5813">
              <w:rPr>
                <w:color w:val="000000"/>
                <w:sz w:val="20"/>
                <w:szCs w:val="20"/>
              </w:rPr>
              <w:t>17 (4.1)</w:t>
            </w:r>
          </w:p>
        </w:tc>
        <w:tc>
          <w:tcPr>
            <w:tcW w:w="719" w:type="pct"/>
          </w:tcPr>
          <w:p w14:paraId="50AD1D6F" w14:textId="77777777" w:rsidR="00765237" w:rsidRPr="000B5813" w:rsidRDefault="00765237" w:rsidP="00765237">
            <w:pPr>
              <w:pStyle w:val="Compact"/>
              <w:jc w:val="right"/>
              <w:rPr>
                <w:color w:val="000000"/>
                <w:sz w:val="20"/>
                <w:szCs w:val="20"/>
              </w:rPr>
            </w:pPr>
            <w:r w:rsidRPr="000B5813">
              <w:rPr>
                <w:color w:val="000000"/>
                <w:sz w:val="20"/>
                <w:szCs w:val="20"/>
              </w:rPr>
              <w:t>310 (1.6)</w:t>
            </w:r>
          </w:p>
        </w:tc>
      </w:tr>
      <w:tr w:rsidR="00765237" w:rsidRPr="000B5813" w14:paraId="4E32D441" w14:textId="77777777" w:rsidTr="00765237">
        <w:tc>
          <w:tcPr>
            <w:tcW w:w="0" w:type="auto"/>
          </w:tcPr>
          <w:p w14:paraId="2134EF06" w14:textId="77777777" w:rsidR="00765237" w:rsidRPr="000B5813" w:rsidRDefault="00765237" w:rsidP="007C2015">
            <w:pPr>
              <w:pStyle w:val="Compact"/>
              <w:rPr>
                <w:color w:val="000000"/>
                <w:sz w:val="20"/>
                <w:szCs w:val="20"/>
              </w:rPr>
            </w:pPr>
            <w:r w:rsidRPr="000B5813">
              <w:rPr>
                <w:color w:val="000000"/>
                <w:sz w:val="20"/>
                <w:szCs w:val="20"/>
              </w:rPr>
              <w:t>Coagulopathy</w:t>
            </w:r>
          </w:p>
        </w:tc>
        <w:tc>
          <w:tcPr>
            <w:tcW w:w="978" w:type="pct"/>
          </w:tcPr>
          <w:p w14:paraId="06C278B9" w14:textId="77777777" w:rsidR="00765237" w:rsidRPr="000B5813" w:rsidRDefault="00765237" w:rsidP="007C2015">
            <w:pPr>
              <w:pStyle w:val="Compact"/>
              <w:rPr>
                <w:color w:val="000000"/>
                <w:sz w:val="20"/>
                <w:szCs w:val="20"/>
              </w:rPr>
            </w:pPr>
          </w:p>
        </w:tc>
        <w:tc>
          <w:tcPr>
            <w:tcW w:w="739" w:type="pct"/>
          </w:tcPr>
          <w:p w14:paraId="6D9E05E1" w14:textId="77777777" w:rsidR="00765237" w:rsidRPr="000B5813" w:rsidRDefault="00765237" w:rsidP="00765237">
            <w:pPr>
              <w:pStyle w:val="Compact"/>
              <w:jc w:val="right"/>
              <w:rPr>
                <w:color w:val="000000"/>
                <w:sz w:val="20"/>
                <w:szCs w:val="20"/>
              </w:rPr>
            </w:pPr>
            <w:r w:rsidRPr="000B5813">
              <w:rPr>
                <w:color w:val="000000"/>
                <w:sz w:val="20"/>
                <w:szCs w:val="20"/>
              </w:rPr>
              <w:t xml:space="preserve">9 </w:t>
            </w:r>
            <w:proofErr w:type="gramStart"/>
            <w:r w:rsidRPr="000B5813">
              <w:rPr>
                <w:color w:val="000000"/>
                <w:sz w:val="20"/>
                <w:szCs w:val="20"/>
              </w:rPr>
              <w:t>( 0.4</w:t>
            </w:r>
            <w:proofErr w:type="gramEnd"/>
            <w:r w:rsidRPr="000B5813">
              <w:rPr>
                <w:color w:val="000000"/>
                <w:sz w:val="20"/>
                <w:szCs w:val="20"/>
              </w:rPr>
              <w:t>)</w:t>
            </w:r>
          </w:p>
        </w:tc>
        <w:tc>
          <w:tcPr>
            <w:tcW w:w="812" w:type="pct"/>
          </w:tcPr>
          <w:p w14:paraId="62547D2D" w14:textId="77777777" w:rsidR="00765237" w:rsidRPr="000B5813" w:rsidRDefault="00765237" w:rsidP="00765237">
            <w:pPr>
              <w:pStyle w:val="Compact"/>
              <w:jc w:val="right"/>
              <w:rPr>
                <w:color w:val="000000"/>
                <w:sz w:val="20"/>
                <w:szCs w:val="20"/>
              </w:rPr>
            </w:pPr>
            <w:r w:rsidRPr="000B5813">
              <w:rPr>
                <w:color w:val="000000"/>
                <w:sz w:val="20"/>
                <w:szCs w:val="20"/>
              </w:rPr>
              <w:t xml:space="preserve">329 </w:t>
            </w:r>
            <w:proofErr w:type="gramStart"/>
            <w:r w:rsidRPr="000B5813">
              <w:rPr>
                <w:color w:val="000000"/>
                <w:sz w:val="20"/>
                <w:szCs w:val="20"/>
              </w:rPr>
              <w:t>( 0.4</w:t>
            </w:r>
            <w:proofErr w:type="gramEnd"/>
            <w:r w:rsidRPr="000B5813">
              <w:rPr>
                <w:color w:val="000000"/>
                <w:sz w:val="20"/>
                <w:szCs w:val="20"/>
              </w:rPr>
              <w:t>)</w:t>
            </w:r>
          </w:p>
        </w:tc>
        <w:tc>
          <w:tcPr>
            <w:tcW w:w="665" w:type="pct"/>
          </w:tcPr>
          <w:p w14:paraId="5E530BAD" w14:textId="77777777" w:rsidR="00765237" w:rsidRPr="000B5813" w:rsidRDefault="00765237" w:rsidP="00765237">
            <w:pPr>
              <w:pStyle w:val="Compact"/>
              <w:jc w:val="right"/>
              <w:rPr>
                <w:color w:val="000000"/>
                <w:sz w:val="20"/>
                <w:szCs w:val="20"/>
              </w:rPr>
            </w:pPr>
            <w:r w:rsidRPr="000B5813">
              <w:rPr>
                <w:color w:val="000000"/>
                <w:sz w:val="20"/>
                <w:szCs w:val="20"/>
              </w:rPr>
              <w:t>0 (0.0)</w:t>
            </w:r>
          </w:p>
        </w:tc>
        <w:tc>
          <w:tcPr>
            <w:tcW w:w="719" w:type="pct"/>
          </w:tcPr>
          <w:p w14:paraId="32F3CE01" w14:textId="77777777" w:rsidR="00765237" w:rsidRPr="000B5813" w:rsidRDefault="00765237" w:rsidP="00765237">
            <w:pPr>
              <w:pStyle w:val="Compact"/>
              <w:jc w:val="right"/>
              <w:rPr>
                <w:color w:val="000000"/>
                <w:sz w:val="20"/>
                <w:szCs w:val="20"/>
              </w:rPr>
            </w:pPr>
            <w:r w:rsidRPr="000B5813">
              <w:rPr>
                <w:color w:val="000000"/>
                <w:sz w:val="20"/>
                <w:szCs w:val="20"/>
              </w:rPr>
              <w:t>17 (0.1)</w:t>
            </w:r>
          </w:p>
        </w:tc>
      </w:tr>
      <w:tr w:rsidR="00765237" w:rsidRPr="000B5813" w14:paraId="429E4A0C" w14:textId="77777777" w:rsidTr="00765237">
        <w:tc>
          <w:tcPr>
            <w:tcW w:w="0" w:type="auto"/>
          </w:tcPr>
          <w:p w14:paraId="0F059DEE" w14:textId="77777777" w:rsidR="00765237" w:rsidRPr="000B5813" w:rsidRDefault="00765237" w:rsidP="007C2015">
            <w:pPr>
              <w:pStyle w:val="Compact"/>
              <w:rPr>
                <w:color w:val="000000"/>
                <w:sz w:val="20"/>
                <w:szCs w:val="20"/>
              </w:rPr>
            </w:pPr>
            <w:r w:rsidRPr="000B5813">
              <w:rPr>
                <w:color w:val="000000"/>
                <w:sz w:val="20"/>
                <w:szCs w:val="20"/>
              </w:rPr>
              <w:t>Diabetes</w:t>
            </w:r>
          </w:p>
        </w:tc>
        <w:tc>
          <w:tcPr>
            <w:tcW w:w="978" w:type="pct"/>
          </w:tcPr>
          <w:p w14:paraId="65885E8B" w14:textId="77777777" w:rsidR="00765237" w:rsidRPr="000B5813" w:rsidRDefault="00765237" w:rsidP="007C2015">
            <w:pPr>
              <w:pStyle w:val="Compact"/>
              <w:rPr>
                <w:color w:val="000000"/>
                <w:sz w:val="20"/>
                <w:szCs w:val="20"/>
              </w:rPr>
            </w:pPr>
          </w:p>
        </w:tc>
        <w:tc>
          <w:tcPr>
            <w:tcW w:w="739" w:type="pct"/>
          </w:tcPr>
          <w:p w14:paraId="3B9FE558" w14:textId="77777777" w:rsidR="00765237" w:rsidRPr="000B5813" w:rsidRDefault="00765237" w:rsidP="00765237">
            <w:pPr>
              <w:pStyle w:val="Compact"/>
              <w:jc w:val="right"/>
              <w:rPr>
                <w:color w:val="000000"/>
                <w:sz w:val="20"/>
                <w:szCs w:val="20"/>
              </w:rPr>
            </w:pPr>
            <w:r w:rsidRPr="000B5813">
              <w:rPr>
                <w:color w:val="000000"/>
                <w:sz w:val="20"/>
                <w:szCs w:val="20"/>
              </w:rPr>
              <w:t xml:space="preserve">212 </w:t>
            </w:r>
            <w:proofErr w:type="gramStart"/>
            <w:r w:rsidRPr="000B5813">
              <w:rPr>
                <w:color w:val="000000"/>
                <w:sz w:val="20"/>
                <w:szCs w:val="20"/>
              </w:rPr>
              <w:t>( 9.8</w:t>
            </w:r>
            <w:proofErr w:type="gramEnd"/>
            <w:r w:rsidRPr="000B5813">
              <w:rPr>
                <w:color w:val="000000"/>
                <w:sz w:val="20"/>
                <w:szCs w:val="20"/>
              </w:rPr>
              <w:t>)</w:t>
            </w:r>
          </w:p>
        </w:tc>
        <w:tc>
          <w:tcPr>
            <w:tcW w:w="812" w:type="pct"/>
          </w:tcPr>
          <w:p w14:paraId="002E3B90" w14:textId="77777777" w:rsidR="00765237" w:rsidRPr="000B5813" w:rsidRDefault="00765237" w:rsidP="00765237">
            <w:pPr>
              <w:pStyle w:val="Compact"/>
              <w:jc w:val="right"/>
              <w:rPr>
                <w:color w:val="000000"/>
                <w:sz w:val="20"/>
                <w:szCs w:val="20"/>
              </w:rPr>
            </w:pPr>
            <w:r w:rsidRPr="000B5813">
              <w:rPr>
                <w:color w:val="000000"/>
                <w:sz w:val="20"/>
                <w:szCs w:val="20"/>
              </w:rPr>
              <w:t xml:space="preserve">5973 </w:t>
            </w:r>
            <w:proofErr w:type="gramStart"/>
            <w:r w:rsidRPr="000B5813">
              <w:rPr>
                <w:color w:val="000000"/>
                <w:sz w:val="20"/>
                <w:szCs w:val="20"/>
              </w:rPr>
              <w:t>( 6.7</w:t>
            </w:r>
            <w:proofErr w:type="gramEnd"/>
            <w:r w:rsidRPr="000B5813">
              <w:rPr>
                <w:color w:val="000000"/>
                <w:sz w:val="20"/>
                <w:szCs w:val="20"/>
              </w:rPr>
              <w:t>)</w:t>
            </w:r>
          </w:p>
        </w:tc>
        <w:tc>
          <w:tcPr>
            <w:tcW w:w="665" w:type="pct"/>
          </w:tcPr>
          <w:p w14:paraId="08AFA795" w14:textId="77777777" w:rsidR="00765237" w:rsidRPr="000B5813" w:rsidRDefault="00765237" w:rsidP="00765237">
            <w:pPr>
              <w:pStyle w:val="Compact"/>
              <w:jc w:val="right"/>
              <w:rPr>
                <w:color w:val="000000"/>
                <w:sz w:val="20"/>
                <w:szCs w:val="20"/>
              </w:rPr>
            </w:pPr>
            <w:r w:rsidRPr="000B5813">
              <w:rPr>
                <w:color w:val="000000"/>
                <w:sz w:val="20"/>
                <w:szCs w:val="20"/>
              </w:rPr>
              <w:t>17 (4.1)</w:t>
            </w:r>
          </w:p>
        </w:tc>
        <w:tc>
          <w:tcPr>
            <w:tcW w:w="719" w:type="pct"/>
          </w:tcPr>
          <w:p w14:paraId="55BCAF4F" w14:textId="77777777" w:rsidR="00765237" w:rsidRPr="000B5813" w:rsidRDefault="00765237" w:rsidP="00765237">
            <w:pPr>
              <w:pStyle w:val="Compact"/>
              <w:jc w:val="right"/>
              <w:rPr>
                <w:color w:val="000000"/>
                <w:sz w:val="20"/>
                <w:szCs w:val="20"/>
              </w:rPr>
            </w:pPr>
            <w:r w:rsidRPr="000B5813">
              <w:rPr>
                <w:color w:val="000000"/>
                <w:sz w:val="20"/>
                <w:szCs w:val="20"/>
              </w:rPr>
              <w:t>493 (2.6)</w:t>
            </w:r>
          </w:p>
        </w:tc>
      </w:tr>
      <w:tr w:rsidR="00765237" w:rsidRPr="000B5813" w14:paraId="24D9A491" w14:textId="77777777" w:rsidTr="00765237">
        <w:tc>
          <w:tcPr>
            <w:tcW w:w="0" w:type="auto"/>
          </w:tcPr>
          <w:p w14:paraId="4D8B8F8A" w14:textId="77777777" w:rsidR="00765237" w:rsidRPr="000B5813" w:rsidRDefault="00765237" w:rsidP="007C2015">
            <w:pPr>
              <w:pStyle w:val="Compact"/>
              <w:rPr>
                <w:color w:val="000000"/>
                <w:sz w:val="20"/>
                <w:szCs w:val="20"/>
              </w:rPr>
            </w:pPr>
            <w:r w:rsidRPr="000B5813">
              <w:rPr>
                <w:color w:val="000000"/>
                <w:sz w:val="20"/>
                <w:szCs w:val="20"/>
              </w:rPr>
              <w:t>Drug alcohol abuse</w:t>
            </w:r>
          </w:p>
        </w:tc>
        <w:tc>
          <w:tcPr>
            <w:tcW w:w="978" w:type="pct"/>
          </w:tcPr>
          <w:p w14:paraId="7E0E9186" w14:textId="77777777" w:rsidR="00765237" w:rsidRPr="000B5813" w:rsidRDefault="00765237" w:rsidP="007C2015">
            <w:pPr>
              <w:pStyle w:val="Compact"/>
              <w:rPr>
                <w:color w:val="000000"/>
                <w:sz w:val="20"/>
                <w:szCs w:val="20"/>
              </w:rPr>
            </w:pPr>
          </w:p>
        </w:tc>
        <w:tc>
          <w:tcPr>
            <w:tcW w:w="739" w:type="pct"/>
          </w:tcPr>
          <w:p w14:paraId="0FF1AD34" w14:textId="77777777" w:rsidR="00765237" w:rsidRPr="000B5813" w:rsidRDefault="00765237" w:rsidP="00765237">
            <w:pPr>
              <w:pStyle w:val="Compact"/>
              <w:jc w:val="right"/>
              <w:rPr>
                <w:color w:val="000000"/>
                <w:sz w:val="20"/>
                <w:szCs w:val="20"/>
              </w:rPr>
            </w:pPr>
            <w:r w:rsidRPr="000B5813">
              <w:rPr>
                <w:color w:val="000000"/>
                <w:sz w:val="20"/>
                <w:szCs w:val="20"/>
              </w:rPr>
              <w:t xml:space="preserve">30 </w:t>
            </w:r>
            <w:proofErr w:type="gramStart"/>
            <w:r w:rsidRPr="000B5813">
              <w:rPr>
                <w:color w:val="000000"/>
                <w:sz w:val="20"/>
                <w:szCs w:val="20"/>
              </w:rPr>
              <w:t>( 1.4</w:t>
            </w:r>
            <w:proofErr w:type="gramEnd"/>
            <w:r w:rsidRPr="000B5813">
              <w:rPr>
                <w:color w:val="000000"/>
                <w:sz w:val="20"/>
                <w:szCs w:val="20"/>
              </w:rPr>
              <w:t>)</w:t>
            </w:r>
          </w:p>
        </w:tc>
        <w:tc>
          <w:tcPr>
            <w:tcW w:w="812" w:type="pct"/>
          </w:tcPr>
          <w:p w14:paraId="458E708B" w14:textId="77777777" w:rsidR="00765237" w:rsidRPr="000B5813" w:rsidRDefault="00765237" w:rsidP="00765237">
            <w:pPr>
              <w:pStyle w:val="Compact"/>
              <w:jc w:val="right"/>
              <w:rPr>
                <w:color w:val="000000"/>
                <w:sz w:val="20"/>
                <w:szCs w:val="20"/>
              </w:rPr>
            </w:pPr>
            <w:r w:rsidRPr="000B5813">
              <w:rPr>
                <w:color w:val="000000"/>
                <w:sz w:val="20"/>
                <w:szCs w:val="20"/>
              </w:rPr>
              <w:t xml:space="preserve">682 </w:t>
            </w:r>
            <w:proofErr w:type="gramStart"/>
            <w:r w:rsidRPr="000B5813">
              <w:rPr>
                <w:color w:val="000000"/>
                <w:sz w:val="20"/>
                <w:szCs w:val="20"/>
              </w:rPr>
              <w:t>( 0.8</w:t>
            </w:r>
            <w:proofErr w:type="gramEnd"/>
            <w:r w:rsidRPr="000B5813">
              <w:rPr>
                <w:color w:val="000000"/>
                <w:sz w:val="20"/>
                <w:szCs w:val="20"/>
              </w:rPr>
              <w:t>)</w:t>
            </w:r>
          </w:p>
        </w:tc>
        <w:tc>
          <w:tcPr>
            <w:tcW w:w="665" w:type="pct"/>
          </w:tcPr>
          <w:p w14:paraId="0480575F" w14:textId="77777777" w:rsidR="00765237" w:rsidRPr="000B5813" w:rsidRDefault="00765237" w:rsidP="00765237">
            <w:pPr>
              <w:pStyle w:val="Compact"/>
              <w:jc w:val="right"/>
              <w:rPr>
                <w:color w:val="000000"/>
                <w:sz w:val="20"/>
                <w:szCs w:val="20"/>
              </w:rPr>
            </w:pPr>
            <w:r w:rsidRPr="000B5813">
              <w:rPr>
                <w:color w:val="000000"/>
                <w:sz w:val="20"/>
                <w:szCs w:val="20"/>
              </w:rPr>
              <w:t>6 (1.5)</w:t>
            </w:r>
          </w:p>
        </w:tc>
        <w:tc>
          <w:tcPr>
            <w:tcW w:w="719" w:type="pct"/>
          </w:tcPr>
          <w:p w14:paraId="4AA486F1" w14:textId="77777777" w:rsidR="00765237" w:rsidRPr="000B5813" w:rsidRDefault="00765237" w:rsidP="00765237">
            <w:pPr>
              <w:pStyle w:val="Compact"/>
              <w:jc w:val="right"/>
              <w:rPr>
                <w:color w:val="000000"/>
                <w:sz w:val="20"/>
                <w:szCs w:val="20"/>
              </w:rPr>
            </w:pPr>
            <w:r w:rsidRPr="000B5813">
              <w:rPr>
                <w:color w:val="000000"/>
                <w:sz w:val="20"/>
                <w:szCs w:val="20"/>
              </w:rPr>
              <w:t>105 (0.6)</w:t>
            </w:r>
          </w:p>
        </w:tc>
      </w:tr>
      <w:tr w:rsidR="00765237" w:rsidRPr="000B5813" w14:paraId="06282C76" w14:textId="77777777" w:rsidTr="00765237">
        <w:tc>
          <w:tcPr>
            <w:tcW w:w="0" w:type="auto"/>
          </w:tcPr>
          <w:p w14:paraId="4C8B206C" w14:textId="77777777" w:rsidR="00765237" w:rsidRPr="000B5813" w:rsidRDefault="00765237" w:rsidP="007C2015">
            <w:pPr>
              <w:pStyle w:val="Compact"/>
              <w:rPr>
                <w:color w:val="000000"/>
                <w:sz w:val="20"/>
                <w:szCs w:val="20"/>
              </w:rPr>
            </w:pPr>
            <w:r w:rsidRPr="000B5813">
              <w:rPr>
                <w:color w:val="000000"/>
                <w:sz w:val="20"/>
                <w:szCs w:val="20"/>
              </w:rPr>
              <w:t>Fluid electrolyte disorders</w:t>
            </w:r>
          </w:p>
        </w:tc>
        <w:tc>
          <w:tcPr>
            <w:tcW w:w="978" w:type="pct"/>
          </w:tcPr>
          <w:p w14:paraId="1067AF98" w14:textId="77777777" w:rsidR="00765237" w:rsidRPr="000B5813" w:rsidRDefault="00765237" w:rsidP="007C2015">
            <w:pPr>
              <w:pStyle w:val="Compact"/>
              <w:rPr>
                <w:color w:val="000000"/>
                <w:sz w:val="20"/>
                <w:szCs w:val="20"/>
              </w:rPr>
            </w:pPr>
          </w:p>
        </w:tc>
        <w:tc>
          <w:tcPr>
            <w:tcW w:w="739" w:type="pct"/>
          </w:tcPr>
          <w:p w14:paraId="74C82452" w14:textId="77777777" w:rsidR="00765237" w:rsidRPr="000B5813" w:rsidRDefault="00765237" w:rsidP="00765237">
            <w:pPr>
              <w:pStyle w:val="Compact"/>
              <w:jc w:val="right"/>
              <w:rPr>
                <w:color w:val="000000"/>
                <w:sz w:val="20"/>
                <w:szCs w:val="20"/>
              </w:rPr>
            </w:pPr>
            <w:r w:rsidRPr="000B5813">
              <w:rPr>
                <w:color w:val="000000"/>
                <w:sz w:val="20"/>
                <w:szCs w:val="20"/>
              </w:rPr>
              <w:t xml:space="preserve">29 </w:t>
            </w:r>
            <w:proofErr w:type="gramStart"/>
            <w:r w:rsidRPr="000B5813">
              <w:rPr>
                <w:color w:val="000000"/>
                <w:sz w:val="20"/>
                <w:szCs w:val="20"/>
              </w:rPr>
              <w:t>( 1.3</w:t>
            </w:r>
            <w:proofErr w:type="gramEnd"/>
            <w:r w:rsidRPr="000B5813">
              <w:rPr>
                <w:color w:val="000000"/>
                <w:sz w:val="20"/>
                <w:szCs w:val="20"/>
              </w:rPr>
              <w:t>)</w:t>
            </w:r>
          </w:p>
        </w:tc>
        <w:tc>
          <w:tcPr>
            <w:tcW w:w="812" w:type="pct"/>
          </w:tcPr>
          <w:p w14:paraId="3D265048" w14:textId="77777777" w:rsidR="00765237" w:rsidRPr="000B5813" w:rsidRDefault="00765237" w:rsidP="00765237">
            <w:pPr>
              <w:pStyle w:val="Compact"/>
              <w:jc w:val="right"/>
              <w:rPr>
                <w:color w:val="000000"/>
                <w:sz w:val="20"/>
                <w:szCs w:val="20"/>
              </w:rPr>
            </w:pPr>
            <w:r w:rsidRPr="000B5813">
              <w:rPr>
                <w:color w:val="000000"/>
                <w:sz w:val="20"/>
                <w:szCs w:val="20"/>
              </w:rPr>
              <w:t xml:space="preserve">534 </w:t>
            </w:r>
            <w:proofErr w:type="gramStart"/>
            <w:r w:rsidRPr="000B5813">
              <w:rPr>
                <w:color w:val="000000"/>
                <w:sz w:val="20"/>
                <w:szCs w:val="20"/>
              </w:rPr>
              <w:t>( 0.6</w:t>
            </w:r>
            <w:proofErr w:type="gramEnd"/>
            <w:r w:rsidRPr="000B5813">
              <w:rPr>
                <w:color w:val="000000"/>
                <w:sz w:val="20"/>
                <w:szCs w:val="20"/>
              </w:rPr>
              <w:t>)</w:t>
            </w:r>
          </w:p>
        </w:tc>
        <w:tc>
          <w:tcPr>
            <w:tcW w:w="665" w:type="pct"/>
          </w:tcPr>
          <w:p w14:paraId="01E2A29E" w14:textId="77777777" w:rsidR="00765237" w:rsidRPr="000B5813" w:rsidRDefault="00765237" w:rsidP="00765237">
            <w:pPr>
              <w:pStyle w:val="Compact"/>
              <w:jc w:val="right"/>
              <w:rPr>
                <w:color w:val="000000"/>
                <w:sz w:val="20"/>
                <w:szCs w:val="20"/>
              </w:rPr>
            </w:pPr>
            <w:r w:rsidRPr="000B5813">
              <w:rPr>
                <w:color w:val="000000"/>
                <w:sz w:val="20"/>
                <w:szCs w:val="20"/>
              </w:rPr>
              <w:t>8 (2.0)</w:t>
            </w:r>
          </w:p>
        </w:tc>
        <w:tc>
          <w:tcPr>
            <w:tcW w:w="719" w:type="pct"/>
          </w:tcPr>
          <w:p w14:paraId="6E852D4F" w14:textId="77777777" w:rsidR="00765237" w:rsidRPr="000B5813" w:rsidRDefault="00765237" w:rsidP="00765237">
            <w:pPr>
              <w:pStyle w:val="Compact"/>
              <w:jc w:val="right"/>
              <w:rPr>
                <w:color w:val="000000"/>
                <w:sz w:val="20"/>
                <w:szCs w:val="20"/>
              </w:rPr>
            </w:pPr>
            <w:r w:rsidRPr="000B5813">
              <w:rPr>
                <w:color w:val="000000"/>
                <w:sz w:val="20"/>
                <w:szCs w:val="20"/>
              </w:rPr>
              <w:t>195 (1.0)</w:t>
            </w:r>
          </w:p>
        </w:tc>
      </w:tr>
      <w:tr w:rsidR="00765237" w:rsidRPr="000B5813" w14:paraId="5195C14F" w14:textId="77777777" w:rsidTr="00765237">
        <w:tc>
          <w:tcPr>
            <w:tcW w:w="0" w:type="auto"/>
          </w:tcPr>
          <w:p w14:paraId="4E3E5F8B" w14:textId="77777777" w:rsidR="00765237" w:rsidRPr="000B5813" w:rsidRDefault="00765237" w:rsidP="007C2015">
            <w:pPr>
              <w:pStyle w:val="Compact"/>
              <w:rPr>
                <w:color w:val="000000"/>
                <w:sz w:val="20"/>
                <w:szCs w:val="20"/>
              </w:rPr>
            </w:pPr>
            <w:r w:rsidRPr="000B5813">
              <w:rPr>
                <w:color w:val="000000"/>
                <w:sz w:val="20"/>
                <w:szCs w:val="20"/>
              </w:rPr>
              <w:t>Heart condition</w:t>
            </w:r>
          </w:p>
        </w:tc>
        <w:tc>
          <w:tcPr>
            <w:tcW w:w="978" w:type="pct"/>
          </w:tcPr>
          <w:p w14:paraId="49E42592" w14:textId="77777777" w:rsidR="00765237" w:rsidRPr="000B5813" w:rsidRDefault="00765237" w:rsidP="007C2015">
            <w:pPr>
              <w:pStyle w:val="Compact"/>
              <w:rPr>
                <w:color w:val="000000"/>
                <w:sz w:val="20"/>
                <w:szCs w:val="20"/>
              </w:rPr>
            </w:pPr>
          </w:p>
        </w:tc>
        <w:tc>
          <w:tcPr>
            <w:tcW w:w="739" w:type="pct"/>
          </w:tcPr>
          <w:p w14:paraId="50823638" w14:textId="77777777" w:rsidR="00765237" w:rsidRPr="000B5813" w:rsidRDefault="00765237" w:rsidP="00765237">
            <w:pPr>
              <w:pStyle w:val="Compact"/>
              <w:jc w:val="right"/>
              <w:rPr>
                <w:color w:val="000000"/>
                <w:sz w:val="20"/>
                <w:szCs w:val="20"/>
              </w:rPr>
            </w:pPr>
            <w:r w:rsidRPr="000B5813">
              <w:rPr>
                <w:color w:val="000000"/>
                <w:sz w:val="20"/>
                <w:szCs w:val="20"/>
              </w:rPr>
              <w:t xml:space="preserve">149 </w:t>
            </w:r>
            <w:proofErr w:type="gramStart"/>
            <w:r w:rsidRPr="000B5813">
              <w:rPr>
                <w:color w:val="000000"/>
                <w:sz w:val="20"/>
                <w:szCs w:val="20"/>
              </w:rPr>
              <w:t>( 6.9</w:t>
            </w:r>
            <w:proofErr w:type="gramEnd"/>
            <w:r w:rsidRPr="000B5813">
              <w:rPr>
                <w:color w:val="000000"/>
                <w:sz w:val="20"/>
                <w:szCs w:val="20"/>
              </w:rPr>
              <w:t>)</w:t>
            </w:r>
          </w:p>
        </w:tc>
        <w:tc>
          <w:tcPr>
            <w:tcW w:w="812" w:type="pct"/>
          </w:tcPr>
          <w:p w14:paraId="2E66D691" w14:textId="77777777" w:rsidR="00765237" w:rsidRPr="000B5813" w:rsidRDefault="00765237" w:rsidP="00765237">
            <w:pPr>
              <w:pStyle w:val="Compact"/>
              <w:jc w:val="right"/>
              <w:rPr>
                <w:color w:val="000000"/>
                <w:sz w:val="20"/>
                <w:szCs w:val="20"/>
              </w:rPr>
            </w:pPr>
            <w:r w:rsidRPr="000B5813">
              <w:rPr>
                <w:color w:val="000000"/>
                <w:sz w:val="20"/>
                <w:szCs w:val="20"/>
              </w:rPr>
              <w:t xml:space="preserve">3693 </w:t>
            </w:r>
            <w:proofErr w:type="gramStart"/>
            <w:r w:rsidRPr="000B5813">
              <w:rPr>
                <w:color w:val="000000"/>
                <w:sz w:val="20"/>
                <w:szCs w:val="20"/>
              </w:rPr>
              <w:t>( 4.2</w:t>
            </w:r>
            <w:proofErr w:type="gramEnd"/>
            <w:r w:rsidRPr="000B5813">
              <w:rPr>
                <w:color w:val="000000"/>
                <w:sz w:val="20"/>
                <w:szCs w:val="20"/>
              </w:rPr>
              <w:t>)</w:t>
            </w:r>
          </w:p>
        </w:tc>
        <w:tc>
          <w:tcPr>
            <w:tcW w:w="665" w:type="pct"/>
          </w:tcPr>
          <w:p w14:paraId="3A423272" w14:textId="77777777" w:rsidR="00765237" w:rsidRPr="000B5813" w:rsidRDefault="00765237" w:rsidP="00765237">
            <w:pPr>
              <w:pStyle w:val="Compact"/>
              <w:jc w:val="right"/>
              <w:rPr>
                <w:color w:val="000000"/>
                <w:sz w:val="20"/>
                <w:szCs w:val="20"/>
              </w:rPr>
            </w:pPr>
            <w:r w:rsidRPr="000B5813">
              <w:rPr>
                <w:color w:val="000000"/>
                <w:sz w:val="20"/>
                <w:szCs w:val="20"/>
              </w:rPr>
              <w:t>13 (3.2)</w:t>
            </w:r>
          </w:p>
        </w:tc>
        <w:tc>
          <w:tcPr>
            <w:tcW w:w="719" w:type="pct"/>
          </w:tcPr>
          <w:p w14:paraId="18961AFB" w14:textId="77777777" w:rsidR="00765237" w:rsidRPr="000B5813" w:rsidRDefault="00765237" w:rsidP="00765237">
            <w:pPr>
              <w:pStyle w:val="Compact"/>
              <w:jc w:val="right"/>
              <w:rPr>
                <w:color w:val="000000"/>
                <w:sz w:val="20"/>
                <w:szCs w:val="20"/>
              </w:rPr>
            </w:pPr>
            <w:r w:rsidRPr="000B5813">
              <w:rPr>
                <w:color w:val="000000"/>
                <w:sz w:val="20"/>
                <w:szCs w:val="20"/>
              </w:rPr>
              <w:t>421 (2.2)</w:t>
            </w:r>
          </w:p>
        </w:tc>
      </w:tr>
      <w:tr w:rsidR="00765237" w:rsidRPr="000B5813" w14:paraId="6751FB05" w14:textId="77777777" w:rsidTr="00765237">
        <w:tc>
          <w:tcPr>
            <w:tcW w:w="0" w:type="auto"/>
          </w:tcPr>
          <w:p w14:paraId="7925E164" w14:textId="77777777" w:rsidR="00765237" w:rsidRPr="000B5813" w:rsidRDefault="00765237" w:rsidP="007C2015">
            <w:pPr>
              <w:pStyle w:val="Compact"/>
              <w:rPr>
                <w:color w:val="000000"/>
                <w:sz w:val="20"/>
                <w:szCs w:val="20"/>
              </w:rPr>
            </w:pPr>
            <w:r w:rsidRPr="000B5813">
              <w:rPr>
                <w:color w:val="000000"/>
                <w:sz w:val="20"/>
                <w:szCs w:val="20"/>
              </w:rPr>
              <w:t>Myocardial infarction</w:t>
            </w:r>
          </w:p>
        </w:tc>
        <w:tc>
          <w:tcPr>
            <w:tcW w:w="978" w:type="pct"/>
          </w:tcPr>
          <w:p w14:paraId="3D44B689" w14:textId="77777777" w:rsidR="00765237" w:rsidRPr="000B5813" w:rsidRDefault="00765237" w:rsidP="007C2015">
            <w:pPr>
              <w:pStyle w:val="Compact"/>
              <w:rPr>
                <w:color w:val="000000"/>
                <w:sz w:val="20"/>
                <w:szCs w:val="20"/>
              </w:rPr>
            </w:pPr>
          </w:p>
        </w:tc>
        <w:tc>
          <w:tcPr>
            <w:tcW w:w="739" w:type="pct"/>
          </w:tcPr>
          <w:p w14:paraId="101B6D54" w14:textId="77777777" w:rsidR="00765237" w:rsidRPr="000B5813" w:rsidRDefault="00765237" w:rsidP="00765237">
            <w:pPr>
              <w:pStyle w:val="Compact"/>
              <w:jc w:val="right"/>
              <w:rPr>
                <w:color w:val="000000"/>
                <w:sz w:val="20"/>
                <w:szCs w:val="20"/>
              </w:rPr>
            </w:pPr>
            <w:r w:rsidRPr="000B5813">
              <w:rPr>
                <w:color w:val="000000"/>
                <w:sz w:val="20"/>
                <w:szCs w:val="20"/>
              </w:rPr>
              <w:t xml:space="preserve">105 </w:t>
            </w:r>
            <w:proofErr w:type="gramStart"/>
            <w:r w:rsidRPr="000B5813">
              <w:rPr>
                <w:color w:val="000000"/>
                <w:sz w:val="20"/>
                <w:szCs w:val="20"/>
              </w:rPr>
              <w:t>( 4.8</w:t>
            </w:r>
            <w:proofErr w:type="gramEnd"/>
            <w:r w:rsidRPr="000B5813">
              <w:rPr>
                <w:color w:val="000000"/>
                <w:sz w:val="20"/>
                <w:szCs w:val="20"/>
              </w:rPr>
              <w:t>)</w:t>
            </w:r>
          </w:p>
        </w:tc>
        <w:tc>
          <w:tcPr>
            <w:tcW w:w="812" w:type="pct"/>
          </w:tcPr>
          <w:p w14:paraId="073DF4E7" w14:textId="77777777" w:rsidR="00765237" w:rsidRPr="000B5813" w:rsidRDefault="00765237" w:rsidP="00765237">
            <w:pPr>
              <w:pStyle w:val="Compact"/>
              <w:jc w:val="right"/>
              <w:rPr>
                <w:color w:val="000000"/>
                <w:sz w:val="20"/>
                <w:szCs w:val="20"/>
              </w:rPr>
            </w:pPr>
            <w:r w:rsidRPr="000B5813">
              <w:rPr>
                <w:color w:val="000000"/>
                <w:sz w:val="20"/>
                <w:szCs w:val="20"/>
              </w:rPr>
              <w:t xml:space="preserve">3087 </w:t>
            </w:r>
            <w:proofErr w:type="gramStart"/>
            <w:r w:rsidRPr="000B5813">
              <w:rPr>
                <w:color w:val="000000"/>
                <w:sz w:val="20"/>
                <w:szCs w:val="20"/>
              </w:rPr>
              <w:t>( 3.5</w:t>
            </w:r>
            <w:proofErr w:type="gramEnd"/>
            <w:r w:rsidRPr="000B5813">
              <w:rPr>
                <w:color w:val="000000"/>
                <w:sz w:val="20"/>
                <w:szCs w:val="20"/>
              </w:rPr>
              <w:t>)</w:t>
            </w:r>
          </w:p>
        </w:tc>
        <w:tc>
          <w:tcPr>
            <w:tcW w:w="665" w:type="pct"/>
          </w:tcPr>
          <w:p w14:paraId="6EE8FD09" w14:textId="77777777" w:rsidR="00765237" w:rsidRPr="000B5813" w:rsidRDefault="00765237" w:rsidP="00765237">
            <w:pPr>
              <w:pStyle w:val="Compact"/>
              <w:jc w:val="right"/>
              <w:rPr>
                <w:color w:val="000000"/>
                <w:sz w:val="20"/>
                <w:szCs w:val="20"/>
              </w:rPr>
            </w:pPr>
            <w:r w:rsidRPr="000B5813">
              <w:rPr>
                <w:color w:val="000000"/>
                <w:sz w:val="20"/>
                <w:szCs w:val="20"/>
              </w:rPr>
              <w:t>0 (0.0)</w:t>
            </w:r>
          </w:p>
        </w:tc>
        <w:tc>
          <w:tcPr>
            <w:tcW w:w="719" w:type="pct"/>
          </w:tcPr>
          <w:p w14:paraId="7B40282B" w14:textId="77777777" w:rsidR="00765237" w:rsidRPr="000B5813" w:rsidRDefault="00765237" w:rsidP="00765237">
            <w:pPr>
              <w:pStyle w:val="Compact"/>
              <w:jc w:val="right"/>
              <w:rPr>
                <w:color w:val="000000"/>
                <w:sz w:val="20"/>
                <w:szCs w:val="20"/>
              </w:rPr>
            </w:pPr>
            <w:r w:rsidRPr="000B5813">
              <w:rPr>
                <w:color w:val="000000"/>
                <w:sz w:val="20"/>
                <w:szCs w:val="20"/>
              </w:rPr>
              <w:t>73 (0.4)</w:t>
            </w:r>
          </w:p>
        </w:tc>
      </w:tr>
      <w:tr w:rsidR="00765237" w:rsidRPr="000B5813" w14:paraId="005157A5" w14:textId="77777777" w:rsidTr="00765237">
        <w:tc>
          <w:tcPr>
            <w:tcW w:w="0" w:type="auto"/>
          </w:tcPr>
          <w:p w14:paraId="4F17E354" w14:textId="77777777" w:rsidR="00765237" w:rsidRPr="000B5813" w:rsidRDefault="00765237" w:rsidP="007C2015">
            <w:pPr>
              <w:pStyle w:val="Compact"/>
              <w:rPr>
                <w:color w:val="000000"/>
                <w:sz w:val="20"/>
                <w:szCs w:val="20"/>
              </w:rPr>
            </w:pPr>
            <w:r w:rsidRPr="000B5813">
              <w:rPr>
                <w:color w:val="000000"/>
                <w:sz w:val="20"/>
                <w:szCs w:val="20"/>
              </w:rPr>
              <w:t>Hypothyroidism</w:t>
            </w:r>
          </w:p>
        </w:tc>
        <w:tc>
          <w:tcPr>
            <w:tcW w:w="978" w:type="pct"/>
          </w:tcPr>
          <w:p w14:paraId="6278F8A9" w14:textId="77777777" w:rsidR="00765237" w:rsidRPr="000B5813" w:rsidRDefault="00765237" w:rsidP="007C2015">
            <w:pPr>
              <w:pStyle w:val="Compact"/>
              <w:rPr>
                <w:color w:val="000000"/>
                <w:sz w:val="20"/>
                <w:szCs w:val="20"/>
              </w:rPr>
            </w:pPr>
          </w:p>
        </w:tc>
        <w:tc>
          <w:tcPr>
            <w:tcW w:w="739" w:type="pct"/>
          </w:tcPr>
          <w:p w14:paraId="55E861DB" w14:textId="77777777" w:rsidR="00765237" w:rsidRPr="000B5813" w:rsidRDefault="00765237" w:rsidP="00765237">
            <w:pPr>
              <w:pStyle w:val="Compact"/>
              <w:jc w:val="right"/>
              <w:rPr>
                <w:color w:val="000000"/>
                <w:sz w:val="20"/>
                <w:szCs w:val="20"/>
              </w:rPr>
            </w:pPr>
            <w:r w:rsidRPr="000B5813">
              <w:rPr>
                <w:color w:val="000000"/>
                <w:sz w:val="20"/>
                <w:szCs w:val="20"/>
              </w:rPr>
              <w:t xml:space="preserve">82 </w:t>
            </w:r>
            <w:proofErr w:type="gramStart"/>
            <w:r w:rsidRPr="000B5813">
              <w:rPr>
                <w:color w:val="000000"/>
                <w:sz w:val="20"/>
                <w:szCs w:val="20"/>
              </w:rPr>
              <w:t>( 3.8</w:t>
            </w:r>
            <w:proofErr w:type="gramEnd"/>
            <w:r w:rsidRPr="000B5813">
              <w:rPr>
                <w:color w:val="000000"/>
                <w:sz w:val="20"/>
                <w:szCs w:val="20"/>
              </w:rPr>
              <w:t>)</w:t>
            </w:r>
          </w:p>
        </w:tc>
        <w:tc>
          <w:tcPr>
            <w:tcW w:w="812" w:type="pct"/>
          </w:tcPr>
          <w:p w14:paraId="4EFEEF11" w14:textId="77777777" w:rsidR="00765237" w:rsidRPr="000B5813" w:rsidRDefault="00765237" w:rsidP="00765237">
            <w:pPr>
              <w:pStyle w:val="Compact"/>
              <w:jc w:val="right"/>
              <w:rPr>
                <w:color w:val="000000"/>
                <w:sz w:val="20"/>
                <w:szCs w:val="20"/>
              </w:rPr>
            </w:pPr>
            <w:r w:rsidRPr="000B5813">
              <w:rPr>
                <w:color w:val="000000"/>
                <w:sz w:val="20"/>
                <w:szCs w:val="20"/>
              </w:rPr>
              <w:t xml:space="preserve">2583 </w:t>
            </w:r>
            <w:proofErr w:type="gramStart"/>
            <w:r w:rsidRPr="000B5813">
              <w:rPr>
                <w:color w:val="000000"/>
                <w:sz w:val="20"/>
                <w:szCs w:val="20"/>
              </w:rPr>
              <w:t>( 2.9</w:t>
            </w:r>
            <w:proofErr w:type="gramEnd"/>
            <w:r w:rsidRPr="000B5813">
              <w:rPr>
                <w:color w:val="000000"/>
                <w:sz w:val="20"/>
                <w:szCs w:val="20"/>
              </w:rPr>
              <w:t>)</w:t>
            </w:r>
          </w:p>
        </w:tc>
        <w:tc>
          <w:tcPr>
            <w:tcW w:w="665" w:type="pct"/>
          </w:tcPr>
          <w:p w14:paraId="25263738" w14:textId="34707DDF" w:rsidR="00765237" w:rsidRPr="000B5813" w:rsidRDefault="00C92BCF" w:rsidP="00765237">
            <w:pPr>
              <w:pStyle w:val="Compact"/>
              <w:jc w:val="right"/>
              <w:rPr>
                <w:color w:val="000000"/>
                <w:sz w:val="20"/>
                <w:szCs w:val="20"/>
              </w:rPr>
            </w:pPr>
            <w:r>
              <w:rPr>
                <w:color w:val="000000"/>
                <w:sz w:val="20"/>
                <w:szCs w:val="20"/>
              </w:rPr>
              <w:t>*</w:t>
            </w:r>
          </w:p>
        </w:tc>
        <w:tc>
          <w:tcPr>
            <w:tcW w:w="719" w:type="pct"/>
          </w:tcPr>
          <w:p w14:paraId="4621233B" w14:textId="529E6DAA" w:rsidR="00765237" w:rsidRPr="000B5813" w:rsidRDefault="00C92BCF" w:rsidP="00765237">
            <w:pPr>
              <w:pStyle w:val="Compact"/>
              <w:jc w:val="right"/>
              <w:rPr>
                <w:color w:val="000000"/>
                <w:sz w:val="20"/>
                <w:szCs w:val="20"/>
              </w:rPr>
            </w:pPr>
            <w:r>
              <w:rPr>
                <w:color w:val="000000"/>
                <w:sz w:val="20"/>
                <w:szCs w:val="20"/>
              </w:rPr>
              <w:t>*</w:t>
            </w:r>
          </w:p>
        </w:tc>
      </w:tr>
      <w:tr w:rsidR="00765237" w:rsidRPr="000B5813" w14:paraId="39D4E712" w14:textId="77777777" w:rsidTr="00765237">
        <w:tc>
          <w:tcPr>
            <w:tcW w:w="0" w:type="auto"/>
          </w:tcPr>
          <w:p w14:paraId="4B9BF3D0" w14:textId="77777777" w:rsidR="00765237" w:rsidRPr="000B5813" w:rsidRDefault="00765237" w:rsidP="007C2015">
            <w:pPr>
              <w:pStyle w:val="Compact"/>
              <w:rPr>
                <w:color w:val="000000"/>
                <w:sz w:val="20"/>
                <w:szCs w:val="20"/>
              </w:rPr>
            </w:pPr>
            <w:r w:rsidRPr="000B5813">
              <w:rPr>
                <w:color w:val="000000"/>
                <w:sz w:val="20"/>
                <w:szCs w:val="20"/>
              </w:rPr>
              <w:t>Kidney disease</w:t>
            </w:r>
          </w:p>
        </w:tc>
        <w:tc>
          <w:tcPr>
            <w:tcW w:w="978" w:type="pct"/>
          </w:tcPr>
          <w:p w14:paraId="38E5461C" w14:textId="77777777" w:rsidR="00765237" w:rsidRPr="000B5813" w:rsidRDefault="00765237" w:rsidP="007C2015">
            <w:pPr>
              <w:pStyle w:val="Compact"/>
              <w:rPr>
                <w:color w:val="000000"/>
                <w:sz w:val="20"/>
                <w:szCs w:val="20"/>
              </w:rPr>
            </w:pPr>
          </w:p>
        </w:tc>
        <w:tc>
          <w:tcPr>
            <w:tcW w:w="739" w:type="pct"/>
          </w:tcPr>
          <w:p w14:paraId="4EBF7657" w14:textId="77777777" w:rsidR="00765237" w:rsidRPr="000B5813" w:rsidRDefault="00765237" w:rsidP="00765237">
            <w:pPr>
              <w:pStyle w:val="Compact"/>
              <w:jc w:val="right"/>
              <w:rPr>
                <w:color w:val="000000"/>
                <w:sz w:val="20"/>
                <w:szCs w:val="20"/>
              </w:rPr>
            </w:pPr>
            <w:r w:rsidRPr="000B5813">
              <w:rPr>
                <w:color w:val="000000"/>
                <w:sz w:val="20"/>
                <w:szCs w:val="20"/>
              </w:rPr>
              <w:t xml:space="preserve">36 </w:t>
            </w:r>
            <w:proofErr w:type="gramStart"/>
            <w:r w:rsidRPr="000B5813">
              <w:rPr>
                <w:color w:val="000000"/>
                <w:sz w:val="20"/>
                <w:szCs w:val="20"/>
              </w:rPr>
              <w:t>( 1.7</w:t>
            </w:r>
            <w:proofErr w:type="gramEnd"/>
            <w:r w:rsidRPr="000B5813">
              <w:rPr>
                <w:color w:val="000000"/>
                <w:sz w:val="20"/>
                <w:szCs w:val="20"/>
              </w:rPr>
              <w:t>)</w:t>
            </w:r>
          </w:p>
        </w:tc>
        <w:tc>
          <w:tcPr>
            <w:tcW w:w="812" w:type="pct"/>
          </w:tcPr>
          <w:p w14:paraId="222BBD1A" w14:textId="77777777" w:rsidR="00765237" w:rsidRPr="000B5813" w:rsidRDefault="00765237" w:rsidP="00765237">
            <w:pPr>
              <w:pStyle w:val="Compact"/>
              <w:jc w:val="right"/>
              <w:rPr>
                <w:color w:val="000000"/>
                <w:sz w:val="20"/>
                <w:szCs w:val="20"/>
              </w:rPr>
            </w:pPr>
            <w:r w:rsidRPr="000B5813">
              <w:rPr>
                <w:color w:val="000000"/>
                <w:sz w:val="20"/>
                <w:szCs w:val="20"/>
              </w:rPr>
              <w:t xml:space="preserve">883 </w:t>
            </w:r>
            <w:proofErr w:type="gramStart"/>
            <w:r w:rsidRPr="000B5813">
              <w:rPr>
                <w:color w:val="000000"/>
                <w:sz w:val="20"/>
                <w:szCs w:val="20"/>
              </w:rPr>
              <w:t>( 1.0</w:t>
            </w:r>
            <w:proofErr w:type="gramEnd"/>
            <w:r w:rsidRPr="000B5813">
              <w:rPr>
                <w:color w:val="000000"/>
                <w:sz w:val="20"/>
                <w:szCs w:val="20"/>
              </w:rPr>
              <w:t>)</w:t>
            </w:r>
          </w:p>
        </w:tc>
        <w:tc>
          <w:tcPr>
            <w:tcW w:w="665" w:type="pct"/>
          </w:tcPr>
          <w:p w14:paraId="03024B97" w14:textId="5A99A010" w:rsidR="00765237" w:rsidRPr="000B5813" w:rsidRDefault="00C92BCF" w:rsidP="00765237">
            <w:pPr>
              <w:pStyle w:val="Compact"/>
              <w:jc w:val="right"/>
              <w:rPr>
                <w:color w:val="000000"/>
                <w:sz w:val="20"/>
                <w:szCs w:val="20"/>
              </w:rPr>
            </w:pPr>
            <w:r>
              <w:rPr>
                <w:color w:val="000000"/>
                <w:sz w:val="20"/>
                <w:szCs w:val="20"/>
              </w:rPr>
              <w:t>*</w:t>
            </w:r>
          </w:p>
        </w:tc>
        <w:tc>
          <w:tcPr>
            <w:tcW w:w="719" w:type="pct"/>
          </w:tcPr>
          <w:p w14:paraId="0A1A9BBA" w14:textId="22E1E328" w:rsidR="00765237" w:rsidRPr="000B5813" w:rsidRDefault="00C92BCF" w:rsidP="00765237">
            <w:pPr>
              <w:pStyle w:val="Compact"/>
              <w:jc w:val="right"/>
              <w:rPr>
                <w:color w:val="000000"/>
                <w:sz w:val="20"/>
                <w:szCs w:val="20"/>
              </w:rPr>
            </w:pPr>
            <w:r>
              <w:rPr>
                <w:color w:val="000000"/>
                <w:sz w:val="20"/>
                <w:szCs w:val="20"/>
              </w:rPr>
              <w:t>*</w:t>
            </w:r>
          </w:p>
        </w:tc>
      </w:tr>
      <w:tr w:rsidR="00765237" w:rsidRPr="000B5813" w14:paraId="309C2C8D" w14:textId="77777777" w:rsidTr="00765237">
        <w:tc>
          <w:tcPr>
            <w:tcW w:w="0" w:type="auto"/>
          </w:tcPr>
          <w:p w14:paraId="37B1665C" w14:textId="77777777" w:rsidR="00765237" w:rsidRPr="000B5813" w:rsidRDefault="00765237" w:rsidP="007C2015">
            <w:pPr>
              <w:pStyle w:val="Compact"/>
              <w:rPr>
                <w:color w:val="000000"/>
                <w:sz w:val="20"/>
                <w:szCs w:val="20"/>
              </w:rPr>
            </w:pPr>
            <w:r w:rsidRPr="000B5813">
              <w:rPr>
                <w:color w:val="000000"/>
                <w:sz w:val="20"/>
                <w:szCs w:val="20"/>
              </w:rPr>
              <w:t>Liver disease</w:t>
            </w:r>
          </w:p>
        </w:tc>
        <w:tc>
          <w:tcPr>
            <w:tcW w:w="978" w:type="pct"/>
          </w:tcPr>
          <w:p w14:paraId="2BB0B742" w14:textId="77777777" w:rsidR="00765237" w:rsidRPr="000B5813" w:rsidRDefault="00765237" w:rsidP="007C2015">
            <w:pPr>
              <w:pStyle w:val="Compact"/>
              <w:rPr>
                <w:color w:val="000000"/>
                <w:sz w:val="20"/>
                <w:szCs w:val="20"/>
              </w:rPr>
            </w:pPr>
          </w:p>
        </w:tc>
        <w:tc>
          <w:tcPr>
            <w:tcW w:w="739" w:type="pct"/>
          </w:tcPr>
          <w:p w14:paraId="35731EAB" w14:textId="77777777" w:rsidR="00765237" w:rsidRPr="000B5813" w:rsidRDefault="00765237" w:rsidP="00765237">
            <w:pPr>
              <w:pStyle w:val="Compact"/>
              <w:jc w:val="right"/>
              <w:rPr>
                <w:color w:val="000000"/>
                <w:sz w:val="20"/>
                <w:szCs w:val="20"/>
              </w:rPr>
            </w:pPr>
            <w:r w:rsidRPr="000B5813">
              <w:rPr>
                <w:color w:val="000000"/>
                <w:sz w:val="20"/>
                <w:szCs w:val="20"/>
              </w:rPr>
              <w:t xml:space="preserve">33 </w:t>
            </w:r>
            <w:proofErr w:type="gramStart"/>
            <w:r w:rsidRPr="000B5813">
              <w:rPr>
                <w:color w:val="000000"/>
                <w:sz w:val="20"/>
                <w:szCs w:val="20"/>
              </w:rPr>
              <w:t>( 1.5</w:t>
            </w:r>
            <w:proofErr w:type="gramEnd"/>
            <w:r w:rsidRPr="000B5813">
              <w:rPr>
                <w:color w:val="000000"/>
                <w:sz w:val="20"/>
                <w:szCs w:val="20"/>
              </w:rPr>
              <w:t>)</w:t>
            </w:r>
          </w:p>
        </w:tc>
        <w:tc>
          <w:tcPr>
            <w:tcW w:w="812" w:type="pct"/>
          </w:tcPr>
          <w:p w14:paraId="1C6C48BC" w14:textId="77777777" w:rsidR="00765237" w:rsidRPr="000B5813" w:rsidRDefault="00765237" w:rsidP="00765237">
            <w:pPr>
              <w:pStyle w:val="Compact"/>
              <w:jc w:val="right"/>
              <w:rPr>
                <w:color w:val="000000"/>
                <w:sz w:val="20"/>
                <w:szCs w:val="20"/>
              </w:rPr>
            </w:pPr>
            <w:r w:rsidRPr="000B5813">
              <w:rPr>
                <w:color w:val="000000"/>
                <w:sz w:val="20"/>
                <w:szCs w:val="20"/>
              </w:rPr>
              <w:t xml:space="preserve">524 </w:t>
            </w:r>
            <w:proofErr w:type="gramStart"/>
            <w:r w:rsidRPr="000B5813">
              <w:rPr>
                <w:color w:val="000000"/>
                <w:sz w:val="20"/>
                <w:szCs w:val="20"/>
              </w:rPr>
              <w:t>( 0.6</w:t>
            </w:r>
            <w:proofErr w:type="gramEnd"/>
            <w:r w:rsidRPr="000B5813">
              <w:rPr>
                <w:color w:val="000000"/>
                <w:sz w:val="20"/>
                <w:szCs w:val="20"/>
              </w:rPr>
              <w:t>)</w:t>
            </w:r>
          </w:p>
        </w:tc>
        <w:tc>
          <w:tcPr>
            <w:tcW w:w="665" w:type="pct"/>
          </w:tcPr>
          <w:p w14:paraId="012F1A22" w14:textId="4ED44B8C" w:rsidR="00765237" w:rsidRPr="000B5813" w:rsidRDefault="00C92BCF" w:rsidP="00765237">
            <w:pPr>
              <w:pStyle w:val="Compact"/>
              <w:jc w:val="right"/>
              <w:rPr>
                <w:color w:val="000000"/>
                <w:sz w:val="20"/>
                <w:szCs w:val="20"/>
              </w:rPr>
            </w:pPr>
            <w:r>
              <w:rPr>
                <w:color w:val="000000"/>
                <w:sz w:val="20"/>
                <w:szCs w:val="20"/>
              </w:rPr>
              <w:t>*</w:t>
            </w:r>
          </w:p>
        </w:tc>
        <w:tc>
          <w:tcPr>
            <w:tcW w:w="719" w:type="pct"/>
          </w:tcPr>
          <w:p w14:paraId="070A48EC" w14:textId="416327C8" w:rsidR="00765237" w:rsidRPr="000B5813" w:rsidRDefault="00C92BCF" w:rsidP="00765237">
            <w:pPr>
              <w:pStyle w:val="Compact"/>
              <w:jc w:val="right"/>
              <w:rPr>
                <w:color w:val="000000"/>
                <w:sz w:val="20"/>
                <w:szCs w:val="20"/>
              </w:rPr>
            </w:pPr>
            <w:r>
              <w:rPr>
                <w:color w:val="000000"/>
                <w:sz w:val="20"/>
                <w:szCs w:val="20"/>
              </w:rPr>
              <w:t>*</w:t>
            </w:r>
          </w:p>
        </w:tc>
      </w:tr>
      <w:tr w:rsidR="00765237" w:rsidRPr="000B5813" w14:paraId="1051043A" w14:textId="77777777" w:rsidTr="00765237">
        <w:tc>
          <w:tcPr>
            <w:tcW w:w="0" w:type="auto"/>
          </w:tcPr>
          <w:p w14:paraId="7265DFA5" w14:textId="77777777" w:rsidR="00765237" w:rsidRPr="000B5813" w:rsidRDefault="00765237" w:rsidP="007C2015">
            <w:pPr>
              <w:pStyle w:val="Compact"/>
              <w:rPr>
                <w:color w:val="000000"/>
                <w:sz w:val="20"/>
                <w:szCs w:val="20"/>
              </w:rPr>
            </w:pPr>
            <w:r w:rsidRPr="000B5813">
              <w:rPr>
                <w:color w:val="000000"/>
                <w:sz w:val="20"/>
                <w:szCs w:val="20"/>
              </w:rPr>
              <w:t>Lung airways disease</w:t>
            </w:r>
          </w:p>
        </w:tc>
        <w:tc>
          <w:tcPr>
            <w:tcW w:w="978" w:type="pct"/>
          </w:tcPr>
          <w:p w14:paraId="4941AAE6" w14:textId="77777777" w:rsidR="00765237" w:rsidRPr="000B5813" w:rsidRDefault="00765237" w:rsidP="007C2015">
            <w:pPr>
              <w:pStyle w:val="Compact"/>
              <w:rPr>
                <w:color w:val="000000"/>
                <w:sz w:val="20"/>
                <w:szCs w:val="20"/>
              </w:rPr>
            </w:pPr>
          </w:p>
        </w:tc>
        <w:tc>
          <w:tcPr>
            <w:tcW w:w="739" w:type="pct"/>
          </w:tcPr>
          <w:p w14:paraId="774615A3" w14:textId="77777777" w:rsidR="00765237" w:rsidRPr="000B5813" w:rsidRDefault="00765237" w:rsidP="00765237">
            <w:pPr>
              <w:pStyle w:val="Compact"/>
              <w:jc w:val="right"/>
              <w:rPr>
                <w:color w:val="000000"/>
                <w:sz w:val="20"/>
                <w:szCs w:val="20"/>
              </w:rPr>
            </w:pPr>
            <w:r w:rsidRPr="000B5813">
              <w:rPr>
                <w:color w:val="000000"/>
                <w:sz w:val="20"/>
                <w:szCs w:val="20"/>
              </w:rPr>
              <w:t xml:space="preserve">172 </w:t>
            </w:r>
            <w:proofErr w:type="gramStart"/>
            <w:r w:rsidRPr="000B5813">
              <w:rPr>
                <w:color w:val="000000"/>
                <w:sz w:val="20"/>
                <w:szCs w:val="20"/>
              </w:rPr>
              <w:t>( 7.9</w:t>
            </w:r>
            <w:proofErr w:type="gramEnd"/>
            <w:r w:rsidRPr="000B5813">
              <w:rPr>
                <w:color w:val="000000"/>
                <w:sz w:val="20"/>
                <w:szCs w:val="20"/>
              </w:rPr>
              <w:t>)</w:t>
            </w:r>
          </w:p>
        </w:tc>
        <w:tc>
          <w:tcPr>
            <w:tcW w:w="812" w:type="pct"/>
          </w:tcPr>
          <w:p w14:paraId="56B9177B" w14:textId="77777777" w:rsidR="00765237" w:rsidRPr="000B5813" w:rsidRDefault="00765237" w:rsidP="00765237">
            <w:pPr>
              <w:pStyle w:val="Compact"/>
              <w:jc w:val="right"/>
              <w:rPr>
                <w:color w:val="000000"/>
                <w:sz w:val="20"/>
                <w:szCs w:val="20"/>
              </w:rPr>
            </w:pPr>
            <w:r w:rsidRPr="000B5813">
              <w:rPr>
                <w:color w:val="000000"/>
                <w:sz w:val="20"/>
                <w:szCs w:val="20"/>
              </w:rPr>
              <w:t xml:space="preserve">4317 </w:t>
            </w:r>
            <w:proofErr w:type="gramStart"/>
            <w:r w:rsidRPr="000B5813">
              <w:rPr>
                <w:color w:val="000000"/>
                <w:sz w:val="20"/>
                <w:szCs w:val="20"/>
              </w:rPr>
              <w:t>( 4.9</w:t>
            </w:r>
            <w:proofErr w:type="gramEnd"/>
            <w:r w:rsidRPr="000B5813">
              <w:rPr>
                <w:color w:val="000000"/>
                <w:sz w:val="20"/>
                <w:szCs w:val="20"/>
              </w:rPr>
              <w:t>)</w:t>
            </w:r>
          </w:p>
        </w:tc>
        <w:tc>
          <w:tcPr>
            <w:tcW w:w="665" w:type="pct"/>
          </w:tcPr>
          <w:p w14:paraId="15C6C0E6" w14:textId="77777777" w:rsidR="00765237" w:rsidRPr="000B5813" w:rsidRDefault="00765237" w:rsidP="00765237">
            <w:pPr>
              <w:pStyle w:val="Compact"/>
              <w:jc w:val="right"/>
              <w:rPr>
                <w:color w:val="000000"/>
                <w:sz w:val="20"/>
                <w:szCs w:val="20"/>
              </w:rPr>
            </w:pPr>
            <w:r w:rsidRPr="000B5813">
              <w:rPr>
                <w:color w:val="000000"/>
                <w:sz w:val="20"/>
                <w:szCs w:val="20"/>
              </w:rPr>
              <w:t>20 (4.9)</w:t>
            </w:r>
          </w:p>
        </w:tc>
        <w:tc>
          <w:tcPr>
            <w:tcW w:w="719" w:type="pct"/>
          </w:tcPr>
          <w:p w14:paraId="04E2EAA9" w14:textId="77777777" w:rsidR="00765237" w:rsidRPr="000B5813" w:rsidRDefault="00765237" w:rsidP="00765237">
            <w:pPr>
              <w:pStyle w:val="Compact"/>
              <w:jc w:val="right"/>
              <w:rPr>
                <w:color w:val="000000"/>
                <w:sz w:val="20"/>
                <w:szCs w:val="20"/>
              </w:rPr>
            </w:pPr>
            <w:r w:rsidRPr="000B5813">
              <w:rPr>
                <w:color w:val="000000"/>
                <w:sz w:val="20"/>
                <w:szCs w:val="20"/>
              </w:rPr>
              <w:t>537 (2.8)</w:t>
            </w:r>
          </w:p>
        </w:tc>
      </w:tr>
      <w:tr w:rsidR="00765237" w:rsidRPr="000B5813" w14:paraId="194D415C" w14:textId="77777777" w:rsidTr="00765237">
        <w:tc>
          <w:tcPr>
            <w:tcW w:w="0" w:type="auto"/>
          </w:tcPr>
          <w:p w14:paraId="0F1BECB4" w14:textId="77777777" w:rsidR="00765237" w:rsidRPr="000B5813" w:rsidRDefault="00765237" w:rsidP="007C2015">
            <w:pPr>
              <w:pStyle w:val="Compact"/>
              <w:rPr>
                <w:color w:val="000000"/>
                <w:sz w:val="20"/>
                <w:szCs w:val="20"/>
              </w:rPr>
            </w:pPr>
            <w:r w:rsidRPr="000B5813">
              <w:rPr>
                <w:color w:val="000000"/>
                <w:sz w:val="20"/>
                <w:szCs w:val="20"/>
              </w:rPr>
              <w:t>Peptic ulcer</w:t>
            </w:r>
          </w:p>
        </w:tc>
        <w:tc>
          <w:tcPr>
            <w:tcW w:w="978" w:type="pct"/>
          </w:tcPr>
          <w:p w14:paraId="3D5481BE" w14:textId="77777777" w:rsidR="00765237" w:rsidRPr="000B5813" w:rsidRDefault="00765237" w:rsidP="007C2015">
            <w:pPr>
              <w:pStyle w:val="Compact"/>
              <w:rPr>
                <w:color w:val="000000"/>
                <w:sz w:val="20"/>
                <w:szCs w:val="20"/>
              </w:rPr>
            </w:pPr>
          </w:p>
        </w:tc>
        <w:tc>
          <w:tcPr>
            <w:tcW w:w="739" w:type="pct"/>
          </w:tcPr>
          <w:p w14:paraId="6E023362" w14:textId="77777777" w:rsidR="00765237" w:rsidRPr="000B5813" w:rsidRDefault="00765237" w:rsidP="00765237">
            <w:pPr>
              <w:pStyle w:val="Compact"/>
              <w:jc w:val="right"/>
              <w:rPr>
                <w:color w:val="000000"/>
                <w:sz w:val="20"/>
                <w:szCs w:val="20"/>
              </w:rPr>
            </w:pPr>
            <w:r w:rsidRPr="000B5813">
              <w:rPr>
                <w:color w:val="000000"/>
                <w:sz w:val="20"/>
                <w:szCs w:val="20"/>
              </w:rPr>
              <w:t xml:space="preserve">21 </w:t>
            </w:r>
            <w:proofErr w:type="gramStart"/>
            <w:r w:rsidRPr="000B5813">
              <w:rPr>
                <w:color w:val="000000"/>
                <w:sz w:val="20"/>
                <w:szCs w:val="20"/>
              </w:rPr>
              <w:t>( 1.0</w:t>
            </w:r>
            <w:proofErr w:type="gramEnd"/>
            <w:r w:rsidRPr="000B5813">
              <w:rPr>
                <w:color w:val="000000"/>
                <w:sz w:val="20"/>
                <w:szCs w:val="20"/>
              </w:rPr>
              <w:t>)</w:t>
            </w:r>
          </w:p>
        </w:tc>
        <w:tc>
          <w:tcPr>
            <w:tcW w:w="812" w:type="pct"/>
          </w:tcPr>
          <w:p w14:paraId="657A1CE0" w14:textId="77777777" w:rsidR="00765237" w:rsidRPr="000B5813" w:rsidRDefault="00765237" w:rsidP="00765237">
            <w:pPr>
              <w:pStyle w:val="Compact"/>
              <w:jc w:val="right"/>
              <w:rPr>
                <w:color w:val="000000"/>
                <w:sz w:val="20"/>
                <w:szCs w:val="20"/>
              </w:rPr>
            </w:pPr>
            <w:r w:rsidRPr="000B5813">
              <w:rPr>
                <w:color w:val="000000"/>
                <w:sz w:val="20"/>
                <w:szCs w:val="20"/>
              </w:rPr>
              <w:t xml:space="preserve">536 </w:t>
            </w:r>
            <w:proofErr w:type="gramStart"/>
            <w:r w:rsidRPr="000B5813">
              <w:rPr>
                <w:color w:val="000000"/>
                <w:sz w:val="20"/>
                <w:szCs w:val="20"/>
              </w:rPr>
              <w:t>( 0.6</w:t>
            </w:r>
            <w:proofErr w:type="gramEnd"/>
            <w:r w:rsidRPr="000B5813">
              <w:rPr>
                <w:color w:val="000000"/>
                <w:sz w:val="20"/>
                <w:szCs w:val="20"/>
              </w:rPr>
              <w:t>)</w:t>
            </w:r>
          </w:p>
        </w:tc>
        <w:tc>
          <w:tcPr>
            <w:tcW w:w="665" w:type="pct"/>
          </w:tcPr>
          <w:p w14:paraId="18B2BB55" w14:textId="13F9E90B" w:rsidR="00765237" w:rsidRPr="000B5813" w:rsidRDefault="00C92BCF" w:rsidP="00765237">
            <w:pPr>
              <w:pStyle w:val="Compact"/>
              <w:jc w:val="right"/>
              <w:rPr>
                <w:color w:val="000000"/>
                <w:sz w:val="20"/>
                <w:szCs w:val="20"/>
              </w:rPr>
            </w:pPr>
            <w:r>
              <w:rPr>
                <w:color w:val="000000"/>
                <w:sz w:val="20"/>
                <w:szCs w:val="20"/>
              </w:rPr>
              <w:t>*</w:t>
            </w:r>
          </w:p>
        </w:tc>
        <w:tc>
          <w:tcPr>
            <w:tcW w:w="719" w:type="pct"/>
          </w:tcPr>
          <w:p w14:paraId="1BC96C52" w14:textId="756E061D" w:rsidR="00765237" w:rsidRPr="000B5813" w:rsidRDefault="00C92BCF" w:rsidP="00765237">
            <w:pPr>
              <w:pStyle w:val="Compact"/>
              <w:jc w:val="right"/>
              <w:rPr>
                <w:color w:val="000000"/>
                <w:sz w:val="20"/>
                <w:szCs w:val="20"/>
              </w:rPr>
            </w:pPr>
            <w:r>
              <w:rPr>
                <w:color w:val="000000"/>
                <w:sz w:val="20"/>
                <w:szCs w:val="20"/>
              </w:rPr>
              <w:t>*</w:t>
            </w:r>
          </w:p>
        </w:tc>
      </w:tr>
      <w:tr w:rsidR="00765237" w:rsidRPr="000B5813" w14:paraId="60D53991" w14:textId="77777777" w:rsidTr="00765237">
        <w:tc>
          <w:tcPr>
            <w:tcW w:w="0" w:type="auto"/>
          </w:tcPr>
          <w:p w14:paraId="43D12968" w14:textId="77777777" w:rsidR="00765237" w:rsidRPr="000B5813" w:rsidRDefault="00765237" w:rsidP="007C2015">
            <w:pPr>
              <w:pStyle w:val="Compact"/>
              <w:rPr>
                <w:color w:val="000000"/>
                <w:sz w:val="20"/>
                <w:szCs w:val="20"/>
              </w:rPr>
            </w:pPr>
            <w:r w:rsidRPr="000B5813">
              <w:rPr>
                <w:color w:val="000000"/>
                <w:sz w:val="20"/>
                <w:szCs w:val="20"/>
              </w:rPr>
              <w:t>Rheumatic disease</w:t>
            </w:r>
          </w:p>
        </w:tc>
        <w:tc>
          <w:tcPr>
            <w:tcW w:w="978" w:type="pct"/>
          </w:tcPr>
          <w:p w14:paraId="4A2E6375" w14:textId="77777777" w:rsidR="00765237" w:rsidRPr="000B5813" w:rsidRDefault="00765237" w:rsidP="007C2015">
            <w:pPr>
              <w:pStyle w:val="Compact"/>
              <w:rPr>
                <w:color w:val="000000"/>
                <w:sz w:val="20"/>
                <w:szCs w:val="20"/>
              </w:rPr>
            </w:pPr>
          </w:p>
        </w:tc>
        <w:tc>
          <w:tcPr>
            <w:tcW w:w="739" w:type="pct"/>
          </w:tcPr>
          <w:p w14:paraId="70AA4FD3" w14:textId="77777777" w:rsidR="00765237" w:rsidRPr="000B5813" w:rsidRDefault="00765237" w:rsidP="00765237">
            <w:pPr>
              <w:pStyle w:val="Compact"/>
              <w:jc w:val="right"/>
              <w:rPr>
                <w:color w:val="000000"/>
                <w:sz w:val="20"/>
                <w:szCs w:val="20"/>
              </w:rPr>
            </w:pPr>
            <w:r w:rsidRPr="000B5813">
              <w:rPr>
                <w:color w:val="000000"/>
                <w:sz w:val="20"/>
                <w:szCs w:val="20"/>
              </w:rPr>
              <w:t xml:space="preserve">144 </w:t>
            </w:r>
            <w:proofErr w:type="gramStart"/>
            <w:r w:rsidRPr="000B5813">
              <w:rPr>
                <w:color w:val="000000"/>
                <w:sz w:val="20"/>
                <w:szCs w:val="20"/>
              </w:rPr>
              <w:t>( 6.6</w:t>
            </w:r>
            <w:proofErr w:type="gramEnd"/>
            <w:r w:rsidRPr="000B5813">
              <w:rPr>
                <w:color w:val="000000"/>
                <w:sz w:val="20"/>
                <w:szCs w:val="20"/>
              </w:rPr>
              <w:t>)</w:t>
            </w:r>
          </w:p>
        </w:tc>
        <w:tc>
          <w:tcPr>
            <w:tcW w:w="812" w:type="pct"/>
          </w:tcPr>
          <w:p w14:paraId="50C54710" w14:textId="77777777" w:rsidR="00765237" w:rsidRPr="000B5813" w:rsidRDefault="00765237" w:rsidP="00765237">
            <w:pPr>
              <w:pStyle w:val="Compact"/>
              <w:jc w:val="right"/>
              <w:rPr>
                <w:color w:val="000000"/>
                <w:sz w:val="20"/>
                <w:szCs w:val="20"/>
              </w:rPr>
            </w:pPr>
            <w:r w:rsidRPr="000B5813">
              <w:rPr>
                <w:color w:val="000000"/>
                <w:sz w:val="20"/>
                <w:szCs w:val="20"/>
              </w:rPr>
              <w:t xml:space="preserve">3926 </w:t>
            </w:r>
            <w:proofErr w:type="gramStart"/>
            <w:r w:rsidRPr="000B5813">
              <w:rPr>
                <w:color w:val="000000"/>
                <w:sz w:val="20"/>
                <w:szCs w:val="20"/>
              </w:rPr>
              <w:t>( 4.4</w:t>
            </w:r>
            <w:proofErr w:type="gramEnd"/>
            <w:r w:rsidRPr="000B5813">
              <w:rPr>
                <w:color w:val="000000"/>
                <w:sz w:val="20"/>
                <w:szCs w:val="20"/>
              </w:rPr>
              <w:t>)</w:t>
            </w:r>
          </w:p>
        </w:tc>
        <w:tc>
          <w:tcPr>
            <w:tcW w:w="665" w:type="pct"/>
          </w:tcPr>
          <w:p w14:paraId="3B4422EE" w14:textId="77777777" w:rsidR="00765237" w:rsidRPr="000B5813" w:rsidRDefault="00765237" w:rsidP="00765237">
            <w:pPr>
              <w:pStyle w:val="Compact"/>
              <w:jc w:val="right"/>
              <w:rPr>
                <w:color w:val="000000"/>
                <w:sz w:val="20"/>
                <w:szCs w:val="20"/>
              </w:rPr>
            </w:pPr>
            <w:r w:rsidRPr="000B5813">
              <w:rPr>
                <w:color w:val="000000"/>
                <w:sz w:val="20"/>
                <w:szCs w:val="20"/>
              </w:rPr>
              <w:t>12 (2.9)</w:t>
            </w:r>
          </w:p>
        </w:tc>
        <w:tc>
          <w:tcPr>
            <w:tcW w:w="719" w:type="pct"/>
          </w:tcPr>
          <w:p w14:paraId="3FFCD070" w14:textId="77777777" w:rsidR="00765237" w:rsidRPr="000B5813" w:rsidRDefault="00765237" w:rsidP="00765237">
            <w:pPr>
              <w:pStyle w:val="Compact"/>
              <w:jc w:val="right"/>
              <w:rPr>
                <w:color w:val="000000"/>
                <w:sz w:val="20"/>
                <w:szCs w:val="20"/>
              </w:rPr>
            </w:pPr>
            <w:r w:rsidRPr="000B5813">
              <w:rPr>
                <w:color w:val="000000"/>
                <w:sz w:val="20"/>
                <w:szCs w:val="20"/>
              </w:rPr>
              <w:t>384 (2.0)</w:t>
            </w:r>
          </w:p>
        </w:tc>
      </w:tr>
      <w:tr w:rsidR="00765237" w:rsidRPr="000B5813" w14:paraId="6B742566" w14:textId="77777777" w:rsidTr="00765237">
        <w:tc>
          <w:tcPr>
            <w:tcW w:w="0" w:type="auto"/>
          </w:tcPr>
          <w:p w14:paraId="6F0E6A8E" w14:textId="77777777" w:rsidR="00765237" w:rsidRPr="000B5813" w:rsidRDefault="00765237" w:rsidP="007C2015">
            <w:pPr>
              <w:pStyle w:val="Compact"/>
              <w:rPr>
                <w:color w:val="000000"/>
                <w:sz w:val="20"/>
                <w:szCs w:val="20"/>
              </w:rPr>
            </w:pPr>
            <w:r w:rsidRPr="000B5813">
              <w:rPr>
                <w:color w:val="000000"/>
                <w:sz w:val="20"/>
                <w:szCs w:val="20"/>
              </w:rPr>
              <w:t>Vascular disease</w:t>
            </w:r>
          </w:p>
        </w:tc>
        <w:tc>
          <w:tcPr>
            <w:tcW w:w="978" w:type="pct"/>
          </w:tcPr>
          <w:p w14:paraId="171AC598" w14:textId="77777777" w:rsidR="00765237" w:rsidRPr="000B5813" w:rsidRDefault="00765237" w:rsidP="007C2015">
            <w:pPr>
              <w:pStyle w:val="Compact"/>
              <w:rPr>
                <w:color w:val="000000"/>
                <w:sz w:val="20"/>
                <w:szCs w:val="20"/>
              </w:rPr>
            </w:pPr>
          </w:p>
        </w:tc>
        <w:tc>
          <w:tcPr>
            <w:tcW w:w="739" w:type="pct"/>
          </w:tcPr>
          <w:p w14:paraId="791B235E" w14:textId="77777777" w:rsidR="00765237" w:rsidRPr="000B5813" w:rsidRDefault="00765237" w:rsidP="00765237">
            <w:pPr>
              <w:pStyle w:val="Compact"/>
              <w:jc w:val="right"/>
              <w:rPr>
                <w:color w:val="000000"/>
                <w:sz w:val="20"/>
                <w:szCs w:val="20"/>
              </w:rPr>
            </w:pPr>
            <w:r w:rsidRPr="000B5813">
              <w:rPr>
                <w:color w:val="000000"/>
                <w:sz w:val="20"/>
                <w:szCs w:val="20"/>
              </w:rPr>
              <w:t xml:space="preserve">89 </w:t>
            </w:r>
            <w:proofErr w:type="gramStart"/>
            <w:r w:rsidRPr="000B5813">
              <w:rPr>
                <w:color w:val="000000"/>
                <w:sz w:val="20"/>
                <w:szCs w:val="20"/>
              </w:rPr>
              <w:t>( 4.1</w:t>
            </w:r>
            <w:proofErr w:type="gramEnd"/>
            <w:r w:rsidRPr="000B5813">
              <w:rPr>
                <w:color w:val="000000"/>
                <w:sz w:val="20"/>
                <w:szCs w:val="20"/>
              </w:rPr>
              <w:t>)</w:t>
            </w:r>
          </w:p>
        </w:tc>
        <w:tc>
          <w:tcPr>
            <w:tcW w:w="812" w:type="pct"/>
          </w:tcPr>
          <w:p w14:paraId="2128D479" w14:textId="77777777" w:rsidR="00765237" w:rsidRPr="000B5813" w:rsidRDefault="00765237" w:rsidP="00765237">
            <w:pPr>
              <w:pStyle w:val="Compact"/>
              <w:jc w:val="right"/>
              <w:rPr>
                <w:color w:val="000000"/>
                <w:sz w:val="20"/>
                <w:szCs w:val="20"/>
              </w:rPr>
            </w:pPr>
            <w:r w:rsidRPr="000B5813">
              <w:rPr>
                <w:color w:val="000000"/>
                <w:sz w:val="20"/>
                <w:szCs w:val="20"/>
              </w:rPr>
              <w:t xml:space="preserve">2523 </w:t>
            </w:r>
            <w:proofErr w:type="gramStart"/>
            <w:r w:rsidRPr="000B5813">
              <w:rPr>
                <w:color w:val="000000"/>
                <w:sz w:val="20"/>
                <w:szCs w:val="20"/>
              </w:rPr>
              <w:t>( 2.8</w:t>
            </w:r>
            <w:proofErr w:type="gramEnd"/>
            <w:r w:rsidRPr="000B5813">
              <w:rPr>
                <w:color w:val="000000"/>
                <w:sz w:val="20"/>
                <w:szCs w:val="20"/>
              </w:rPr>
              <w:t>)</w:t>
            </w:r>
          </w:p>
        </w:tc>
        <w:tc>
          <w:tcPr>
            <w:tcW w:w="665" w:type="pct"/>
          </w:tcPr>
          <w:p w14:paraId="366BDB3B" w14:textId="77777777" w:rsidR="00765237" w:rsidRPr="000B5813" w:rsidRDefault="00765237" w:rsidP="00765237">
            <w:pPr>
              <w:pStyle w:val="Compact"/>
              <w:jc w:val="right"/>
              <w:rPr>
                <w:color w:val="000000"/>
                <w:sz w:val="20"/>
                <w:szCs w:val="20"/>
              </w:rPr>
            </w:pPr>
            <w:r w:rsidRPr="000B5813">
              <w:rPr>
                <w:color w:val="000000"/>
                <w:sz w:val="20"/>
                <w:szCs w:val="20"/>
              </w:rPr>
              <w:t>21 (5.1)</w:t>
            </w:r>
          </w:p>
        </w:tc>
        <w:tc>
          <w:tcPr>
            <w:tcW w:w="719" w:type="pct"/>
          </w:tcPr>
          <w:p w14:paraId="62C645E4" w14:textId="77777777" w:rsidR="00765237" w:rsidRPr="000B5813" w:rsidRDefault="00765237" w:rsidP="00765237">
            <w:pPr>
              <w:pStyle w:val="Compact"/>
              <w:jc w:val="right"/>
              <w:rPr>
                <w:color w:val="000000"/>
                <w:sz w:val="20"/>
                <w:szCs w:val="20"/>
              </w:rPr>
            </w:pPr>
            <w:r w:rsidRPr="000B5813">
              <w:rPr>
                <w:color w:val="000000"/>
                <w:sz w:val="20"/>
                <w:szCs w:val="20"/>
              </w:rPr>
              <w:t>506 (2.7)</w:t>
            </w:r>
          </w:p>
        </w:tc>
      </w:tr>
      <w:tr w:rsidR="00765237" w:rsidRPr="000B5813" w14:paraId="48819349" w14:textId="77777777" w:rsidTr="00765237">
        <w:tc>
          <w:tcPr>
            <w:tcW w:w="0" w:type="auto"/>
          </w:tcPr>
          <w:p w14:paraId="61CBB7A2" w14:textId="77777777" w:rsidR="00765237" w:rsidRPr="000B5813" w:rsidRDefault="00765237" w:rsidP="007C2015">
            <w:pPr>
              <w:pStyle w:val="Compact"/>
              <w:rPr>
                <w:color w:val="000000"/>
                <w:sz w:val="20"/>
                <w:szCs w:val="20"/>
              </w:rPr>
            </w:pPr>
            <w:r w:rsidRPr="000B5813">
              <w:rPr>
                <w:color w:val="000000"/>
                <w:sz w:val="20"/>
                <w:szCs w:val="20"/>
              </w:rPr>
              <w:t>Weight loss</w:t>
            </w:r>
          </w:p>
        </w:tc>
        <w:tc>
          <w:tcPr>
            <w:tcW w:w="978" w:type="pct"/>
          </w:tcPr>
          <w:p w14:paraId="5F50AC2C" w14:textId="77777777" w:rsidR="00765237" w:rsidRPr="000B5813" w:rsidRDefault="00765237" w:rsidP="007C2015">
            <w:pPr>
              <w:pStyle w:val="Compact"/>
              <w:rPr>
                <w:color w:val="000000"/>
                <w:sz w:val="20"/>
                <w:szCs w:val="20"/>
              </w:rPr>
            </w:pPr>
          </w:p>
        </w:tc>
        <w:tc>
          <w:tcPr>
            <w:tcW w:w="739" w:type="pct"/>
          </w:tcPr>
          <w:p w14:paraId="34EA0A86" w14:textId="77777777" w:rsidR="00765237" w:rsidRPr="000B5813" w:rsidRDefault="00765237" w:rsidP="00765237">
            <w:pPr>
              <w:pStyle w:val="Compact"/>
              <w:jc w:val="right"/>
              <w:rPr>
                <w:color w:val="000000"/>
                <w:sz w:val="20"/>
                <w:szCs w:val="20"/>
              </w:rPr>
            </w:pPr>
            <w:r w:rsidRPr="000B5813">
              <w:rPr>
                <w:color w:val="000000"/>
                <w:sz w:val="20"/>
                <w:szCs w:val="20"/>
              </w:rPr>
              <w:t xml:space="preserve">5 </w:t>
            </w:r>
            <w:proofErr w:type="gramStart"/>
            <w:r w:rsidRPr="000B5813">
              <w:rPr>
                <w:color w:val="000000"/>
                <w:sz w:val="20"/>
                <w:szCs w:val="20"/>
              </w:rPr>
              <w:t>( 0.2</w:t>
            </w:r>
            <w:proofErr w:type="gramEnd"/>
            <w:r w:rsidRPr="000B5813">
              <w:rPr>
                <w:color w:val="000000"/>
                <w:sz w:val="20"/>
                <w:szCs w:val="20"/>
              </w:rPr>
              <w:t>)</w:t>
            </w:r>
          </w:p>
        </w:tc>
        <w:tc>
          <w:tcPr>
            <w:tcW w:w="812" w:type="pct"/>
          </w:tcPr>
          <w:p w14:paraId="11A277CC" w14:textId="77777777" w:rsidR="00765237" w:rsidRPr="000B5813" w:rsidRDefault="00765237" w:rsidP="00765237">
            <w:pPr>
              <w:pStyle w:val="Compact"/>
              <w:jc w:val="right"/>
              <w:rPr>
                <w:color w:val="000000"/>
                <w:sz w:val="20"/>
                <w:szCs w:val="20"/>
              </w:rPr>
            </w:pPr>
            <w:r w:rsidRPr="000B5813">
              <w:rPr>
                <w:color w:val="000000"/>
                <w:sz w:val="20"/>
                <w:szCs w:val="20"/>
              </w:rPr>
              <w:t xml:space="preserve">69 </w:t>
            </w:r>
            <w:proofErr w:type="gramStart"/>
            <w:r w:rsidRPr="000B5813">
              <w:rPr>
                <w:color w:val="000000"/>
                <w:sz w:val="20"/>
                <w:szCs w:val="20"/>
              </w:rPr>
              <w:t>( 0.1</w:t>
            </w:r>
            <w:proofErr w:type="gramEnd"/>
            <w:r w:rsidRPr="000B5813">
              <w:rPr>
                <w:color w:val="000000"/>
                <w:sz w:val="20"/>
                <w:szCs w:val="20"/>
              </w:rPr>
              <w:t>)</w:t>
            </w:r>
          </w:p>
        </w:tc>
        <w:tc>
          <w:tcPr>
            <w:tcW w:w="665" w:type="pct"/>
          </w:tcPr>
          <w:p w14:paraId="20DA7AAB" w14:textId="77777777" w:rsidR="00765237" w:rsidRPr="000B5813" w:rsidRDefault="00765237" w:rsidP="00765237">
            <w:pPr>
              <w:pStyle w:val="Compact"/>
              <w:jc w:val="right"/>
              <w:rPr>
                <w:color w:val="000000"/>
                <w:sz w:val="20"/>
                <w:szCs w:val="20"/>
              </w:rPr>
            </w:pPr>
            <w:r w:rsidRPr="000B5813">
              <w:rPr>
                <w:color w:val="000000"/>
                <w:sz w:val="20"/>
                <w:szCs w:val="20"/>
              </w:rPr>
              <w:t>0 (0.0)</w:t>
            </w:r>
          </w:p>
        </w:tc>
        <w:tc>
          <w:tcPr>
            <w:tcW w:w="719" w:type="pct"/>
          </w:tcPr>
          <w:p w14:paraId="78A0B661" w14:textId="77777777" w:rsidR="00765237" w:rsidRPr="000B5813" w:rsidRDefault="00765237" w:rsidP="00765237">
            <w:pPr>
              <w:pStyle w:val="Compact"/>
              <w:jc w:val="right"/>
              <w:rPr>
                <w:color w:val="000000"/>
                <w:sz w:val="20"/>
                <w:szCs w:val="20"/>
              </w:rPr>
            </w:pPr>
            <w:r w:rsidRPr="000B5813">
              <w:rPr>
                <w:color w:val="000000"/>
                <w:sz w:val="20"/>
                <w:szCs w:val="20"/>
              </w:rPr>
              <w:t>29 (0.2)</w:t>
            </w:r>
          </w:p>
        </w:tc>
      </w:tr>
    </w:tbl>
    <w:p w14:paraId="0EBD4759" w14:textId="77777777" w:rsidR="00C92BCF" w:rsidRDefault="00C92BCF" w:rsidP="00765237">
      <w:pPr>
        <w:rPr>
          <w:i/>
          <w:iCs/>
          <w:color w:val="000000"/>
        </w:rPr>
      </w:pPr>
      <w:r>
        <w:rPr>
          <w:color w:val="000000"/>
        </w:rPr>
        <w:t>* C</w:t>
      </w:r>
      <w:r w:rsidRPr="00C92BCF">
        <w:rPr>
          <w:color w:val="000000"/>
        </w:rPr>
        <w:t>ells have been intentionally left blank due to small numbers and privacy concerns for the Danish cohort</w:t>
      </w:r>
      <w:r w:rsidRPr="008C5F4C">
        <w:rPr>
          <w:i/>
          <w:iCs/>
          <w:color w:val="000000"/>
        </w:rPr>
        <w:t xml:space="preserve">. </w:t>
      </w:r>
    </w:p>
    <w:p w14:paraId="2DFC2EAA" w14:textId="2B5565EA" w:rsidR="00765237" w:rsidRPr="00C92BCF" w:rsidRDefault="00C92BCF" w:rsidP="00765237">
      <w:pPr>
        <w:rPr>
          <w:i/>
          <w:iCs/>
          <w:color w:val="000000"/>
        </w:rPr>
      </w:pPr>
      <w:r>
        <w:rPr>
          <w:color w:val="000000"/>
        </w:rPr>
        <w:t xml:space="preserve">NA, data not available; </w:t>
      </w:r>
      <w:r w:rsidR="008C5F4C" w:rsidRPr="008C5F4C">
        <w:rPr>
          <w:color w:val="000000"/>
        </w:rPr>
        <w:t>BMI</w:t>
      </w:r>
      <w:r w:rsidR="008C5F4C">
        <w:rPr>
          <w:color w:val="000000"/>
        </w:rPr>
        <w:t xml:space="preserve">, </w:t>
      </w:r>
      <w:r w:rsidR="008C5F4C" w:rsidRPr="008C5F4C">
        <w:rPr>
          <w:color w:val="000000"/>
        </w:rPr>
        <w:t>Body mass index</w:t>
      </w:r>
      <w:r w:rsidR="008C5F4C">
        <w:rPr>
          <w:color w:val="000000"/>
        </w:rPr>
        <w:t>;</w:t>
      </w:r>
      <w:r w:rsidR="008C5F4C" w:rsidRPr="008C5F4C">
        <w:rPr>
          <w:color w:val="000000"/>
        </w:rPr>
        <w:t xml:space="preserve"> ASA class</w:t>
      </w:r>
      <w:r w:rsidR="008C5F4C">
        <w:rPr>
          <w:color w:val="000000"/>
        </w:rPr>
        <w:t xml:space="preserve">, </w:t>
      </w:r>
      <w:r w:rsidR="008C5F4C" w:rsidRPr="008C5F4C">
        <w:rPr>
          <w:color w:val="000000"/>
        </w:rPr>
        <w:t xml:space="preserve">American Society for </w:t>
      </w:r>
      <w:proofErr w:type="spellStart"/>
      <w:r w:rsidR="008C5F4C" w:rsidRPr="008C5F4C">
        <w:rPr>
          <w:color w:val="000000"/>
        </w:rPr>
        <w:t>Anaesthesiologists</w:t>
      </w:r>
      <w:proofErr w:type="spellEnd"/>
      <w:r w:rsidR="008C5F4C" w:rsidRPr="008C5F4C">
        <w:rPr>
          <w:color w:val="000000"/>
        </w:rPr>
        <w:t xml:space="preserve"> </w:t>
      </w:r>
      <w:proofErr w:type="gramStart"/>
      <w:r w:rsidR="008C5F4C" w:rsidRPr="008C5F4C">
        <w:rPr>
          <w:color w:val="000000"/>
        </w:rPr>
        <w:t>classification</w:t>
      </w:r>
      <w:r w:rsidR="008C5F4C">
        <w:rPr>
          <w:color w:val="000000"/>
        </w:rPr>
        <w:t xml:space="preserve">; </w:t>
      </w:r>
      <w:r w:rsidR="008C5F4C" w:rsidRPr="008C5F4C">
        <w:rPr>
          <w:color w:val="000000"/>
        </w:rPr>
        <w:t xml:space="preserve"> CNS</w:t>
      </w:r>
      <w:proofErr w:type="gramEnd"/>
      <w:r w:rsidR="008C5F4C">
        <w:rPr>
          <w:color w:val="000000"/>
        </w:rPr>
        <w:t xml:space="preserve">, </w:t>
      </w:r>
      <w:r w:rsidR="008C5F4C" w:rsidRPr="008C5F4C">
        <w:rPr>
          <w:color w:val="000000"/>
        </w:rPr>
        <w:t>central nervous system.</w:t>
      </w:r>
      <w:commentRangeStart w:id="89"/>
      <w:commentRangeEnd w:id="89"/>
      <w:r w:rsidR="008C5F4C" w:rsidRPr="008C5F4C">
        <w:rPr>
          <w:rStyle w:val="Kommentarsreferens"/>
        </w:rPr>
        <w:commentReference w:id="89"/>
      </w:r>
    </w:p>
    <w:p w14:paraId="026C2CB4" w14:textId="77777777" w:rsidR="00765237" w:rsidRPr="000B5813" w:rsidRDefault="00765237">
      <w:pPr>
        <w:rPr>
          <w:i/>
          <w:color w:val="000000"/>
        </w:rPr>
      </w:pPr>
      <w:r w:rsidRPr="000B5813">
        <w:rPr>
          <w:color w:val="000000"/>
        </w:rPr>
        <w:br w:type="page"/>
      </w:r>
    </w:p>
    <w:p w14:paraId="3E96ECC0" w14:textId="3044C62F" w:rsidR="00765237" w:rsidRPr="00C92BCF" w:rsidRDefault="00765237" w:rsidP="00765237">
      <w:pPr>
        <w:pStyle w:val="TableCaption"/>
        <w:rPr>
          <w:i w:val="0"/>
          <w:iCs/>
          <w:color w:val="000000"/>
        </w:rPr>
      </w:pPr>
      <w:commentRangeStart w:id="90"/>
      <w:r w:rsidRPr="00C92BCF">
        <w:rPr>
          <w:i w:val="0"/>
          <w:iCs/>
          <w:color w:val="000000"/>
        </w:rPr>
        <w:lastRenderedPageBreak/>
        <w:t>Table 3</w:t>
      </w:r>
      <w:commentRangeEnd w:id="90"/>
      <w:r w:rsidR="007115D2" w:rsidRPr="00C92BCF">
        <w:rPr>
          <w:rStyle w:val="Kommentarsreferens"/>
          <w:i w:val="0"/>
          <w:iCs/>
        </w:rPr>
        <w:commentReference w:id="90"/>
      </w:r>
      <w:r w:rsidRPr="00C92BCF">
        <w:rPr>
          <w:i w:val="0"/>
          <w:iCs/>
          <w:color w:val="000000"/>
        </w:rPr>
        <w:t>: Estimated coefficients (</w:t>
      </w:r>
      <w:r w:rsidR="00C070EC" w:rsidRPr="00C92BCF">
        <w:rPr>
          <w:i w:val="0"/>
          <w:iCs/>
          <w:color w:val="000000"/>
        </w:rPr>
        <w:t>β</w:t>
      </w:r>
      <w:r w:rsidRPr="00C92BCF">
        <w:rPr>
          <w:i w:val="0"/>
          <w:iCs/>
          <w:color w:val="000000"/>
        </w:rPr>
        <w:t xml:space="preserve">) and odds ratios (OR) with 95 % confidence intervals for the reduced model. </w:t>
      </w:r>
    </w:p>
    <w:p w14:paraId="1B837F09" w14:textId="77777777" w:rsidR="00765237" w:rsidRPr="000B5813" w:rsidRDefault="00765237" w:rsidP="00765237">
      <w:pPr>
        <w:pStyle w:val="TableCaption"/>
        <w:rPr>
          <w:color w:val="000000"/>
        </w:rPr>
      </w:pPr>
    </w:p>
    <w:tbl>
      <w:tblPr>
        <w:tblStyle w:val="Rutntstabell1ljus"/>
        <w:tblW w:w="0" w:type="auto"/>
        <w:tblLook w:val="0020" w:firstRow="1" w:lastRow="0" w:firstColumn="0" w:lastColumn="0" w:noHBand="0" w:noVBand="0"/>
        <w:tblCaption w:val="Table 3: Estimated coefficients (beta) and odds ratios (OR) with 95 % confidence intervals for the reduced model. BMI = body mass index (under/normal weight as baseline). CNS = central nervous system. ASA = American Society for Anesthesiologists"/>
      </w:tblPr>
      <w:tblGrid>
        <w:gridCol w:w="2316"/>
        <w:gridCol w:w="3959"/>
        <w:gridCol w:w="633"/>
        <w:gridCol w:w="1516"/>
        <w:gridCol w:w="779"/>
      </w:tblGrid>
      <w:tr w:rsidR="00765237" w:rsidRPr="000B5813" w14:paraId="4EA74CB8" w14:textId="77777777" w:rsidTr="00765237">
        <w:trPr>
          <w:cnfStyle w:val="100000000000" w:firstRow="1" w:lastRow="0" w:firstColumn="0" w:lastColumn="0" w:oddVBand="0" w:evenVBand="0" w:oddHBand="0" w:evenHBand="0" w:firstRowFirstColumn="0" w:firstRowLastColumn="0" w:lastRowFirstColumn="0" w:lastRowLastColumn="0"/>
        </w:trPr>
        <w:tc>
          <w:tcPr>
            <w:tcW w:w="0" w:type="auto"/>
          </w:tcPr>
          <w:p w14:paraId="3F05560B" w14:textId="77777777" w:rsidR="00765237" w:rsidRPr="000B5813" w:rsidRDefault="00765237" w:rsidP="007C2015">
            <w:pPr>
              <w:pStyle w:val="Compact"/>
              <w:rPr>
                <w:color w:val="000000"/>
                <w:sz w:val="20"/>
                <w:szCs w:val="20"/>
              </w:rPr>
            </w:pPr>
            <w:r w:rsidRPr="000B5813">
              <w:rPr>
                <w:color w:val="000000"/>
                <w:sz w:val="20"/>
                <w:szCs w:val="20"/>
              </w:rPr>
              <w:t>variable</w:t>
            </w:r>
          </w:p>
        </w:tc>
        <w:tc>
          <w:tcPr>
            <w:tcW w:w="0" w:type="auto"/>
          </w:tcPr>
          <w:p w14:paraId="4AC2CB19" w14:textId="0BDC644C" w:rsidR="00765237" w:rsidRPr="000B5813" w:rsidRDefault="00C070EC" w:rsidP="007C2015">
            <w:pPr>
              <w:pStyle w:val="Compact"/>
              <w:rPr>
                <w:color w:val="000000"/>
                <w:sz w:val="20"/>
                <w:szCs w:val="20"/>
              </w:rPr>
            </w:pPr>
            <w:r w:rsidRPr="000B5813">
              <w:rPr>
                <w:color w:val="000000"/>
                <w:sz w:val="20"/>
                <w:szCs w:val="20"/>
              </w:rPr>
              <w:t>L</w:t>
            </w:r>
            <w:r w:rsidR="00765237" w:rsidRPr="000B5813">
              <w:rPr>
                <w:color w:val="000000"/>
                <w:sz w:val="20"/>
                <w:szCs w:val="20"/>
              </w:rPr>
              <w:t>evel</w:t>
            </w:r>
          </w:p>
        </w:tc>
        <w:tc>
          <w:tcPr>
            <w:tcW w:w="0" w:type="auto"/>
          </w:tcPr>
          <w:p w14:paraId="2DF65586" w14:textId="49919DC9" w:rsidR="00765237" w:rsidRPr="000B5813" w:rsidRDefault="00C070EC" w:rsidP="00C070EC">
            <w:pPr>
              <w:pStyle w:val="Compact"/>
              <w:jc w:val="right"/>
              <w:rPr>
                <w:color w:val="000000"/>
                <w:sz w:val="20"/>
                <w:szCs w:val="20"/>
              </w:rPr>
            </w:pPr>
            <w:r w:rsidRPr="000B5813">
              <w:rPr>
                <w:color w:val="000000"/>
              </w:rPr>
              <w:t>β</w:t>
            </w:r>
          </w:p>
        </w:tc>
        <w:tc>
          <w:tcPr>
            <w:tcW w:w="0" w:type="auto"/>
          </w:tcPr>
          <w:p w14:paraId="5E3BCE8B" w14:textId="101E4EE3" w:rsidR="00765237" w:rsidRPr="000B5813" w:rsidRDefault="00765237" w:rsidP="00C070EC">
            <w:pPr>
              <w:pStyle w:val="Compact"/>
              <w:jc w:val="right"/>
              <w:rPr>
                <w:color w:val="000000"/>
                <w:sz w:val="20"/>
                <w:szCs w:val="20"/>
              </w:rPr>
            </w:pPr>
            <w:r w:rsidRPr="000B5813">
              <w:rPr>
                <w:color w:val="000000"/>
                <w:sz w:val="20"/>
                <w:szCs w:val="20"/>
              </w:rPr>
              <w:t xml:space="preserve">OR 95 </w:t>
            </w:r>
            <w:r w:rsidR="00C070EC" w:rsidRPr="000B5813">
              <w:rPr>
                <w:color w:val="000000"/>
                <w:sz w:val="20"/>
                <w:szCs w:val="20"/>
              </w:rPr>
              <w:t>(</w:t>
            </w:r>
            <w:r w:rsidRPr="000B5813">
              <w:rPr>
                <w:color w:val="000000"/>
                <w:sz w:val="20"/>
                <w:szCs w:val="20"/>
              </w:rPr>
              <w:t>% CI</w:t>
            </w:r>
            <w:r w:rsidR="00C070EC" w:rsidRPr="000B5813">
              <w:rPr>
                <w:color w:val="000000"/>
                <w:sz w:val="20"/>
                <w:szCs w:val="20"/>
              </w:rPr>
              <w:t>)</w:t>
            </w:r>
          </w:p>
        </w:tc>
        <w:tc>
          <w:tcPr>
            <w:tcW w:w="0" w:type="auto"/>
          </w:tcPr>
          <w:p w14:paraId="376F94AC" w14:textId="77777777" w:rsidR="00765237" w:rsidRPr="000B5813" w:rsidRDefault="00765237" w:rsidP="00C070EC">
            <w:pPr>
              <w:pStyle w:val="Compact"/>
              <w:jc w:val="right"/>
              <w:rPr>
                <w:color w:val="000000"/>
                <w:sz w:val="20"/>
                <w:szCs w:val="20"/>
              </w:rPr>
            </w:pPr>
            <w:r w:rsidRPr="000B5813">
              <w:rPr>
                <w:color w:val="000000"/>
                <w:sz w:val="20"/>
                <w:szCs w:val="20"/>
              </w:rPr>
              <w:t>p</w:t>
            </w:r>
          </w:p>
        </w:tc>
      </w:tr>
      <w:tr w:rsidR="00765237" w:rsidRPr="000B5813" w14:paraId="6AB6D021" w14:textId="77777777" w:rsidTr="00765237">
        <w:tc>
          <w:tcPr>
            <w:tcW w:w="0" w:type="auto"/>
          </w:tcPr>
          <w:p w14:paraId="03371E91" w14:textId="77777777" w:rsidR="00765237" w:rsidRPr="000B5813" w:rsidRDefault="00765237" w:rsidP="007C2015">
            <w:pPr>
              <w:pStyle w:val="Compact"/>
              <w:rPr>
                <w:color w:val="000000"/>
                <w:sz w:val="20"/>
                <w:szCs w:val="20"/>
              </w:rPr>
            </w:pPr>
            <w:r w:rsidRPr="000B5813">
              <w:rPr>
                <w:color w:val="000000"/>
                <w:sz w:val="20"/>
                <w:szCs w:val="20"/>
              </w:rPr>
              <w:t>(Intercept)</w:t>
            </w:r>
          </w:p>
        </w:tc>
        <w:tc>
          <w:tcPr>
            <w:tcW w:w="0" w:type="auto"/>
          </w:tcPr>
          <w:p w14:paraId="749C4D7B" w14:textId="77777777" w:rsidR="00765237" w:rsidRPr="000B5813" w:rsidRDefault="00765237" w:rsidP="007C2015">
            <w:pPr>
              <w:pStyle w:val="Compact"/>
              <w:rPr>
                <w:color w:val="000000"/>
                <w:sz w:val="20"/>
                <w:szCs w:val="20"/>
              </w:rPr>
            </w:pPr>
          </w:p>
        </w:tc>
        <w:tc>
          <w:tcPr>
            <w:tcW w:w="0" w:type="auto"/>
          </w:tcPr>
          <w:p w14:paraId="2B55595B" w14:textId="77777777" w:rsidR="00765237" w:rsidRPr="000B5813" w:rsidRDefault="00765237" w:rsidP="00C070EC">
            <w:pPr>
              <w:pStyle w:val="Compact"/>
              <w:jc w:val="right"/>
              <w:rPr>
                <w:color w:val="000000"/>
                <w:sz w:val="20"/>
                <w:szCs w:val="20"/>
              </w:rPr>
            </w:pPr>
            <w:r w:rsidRPr="000B5813">
              <w:rPr>
                <w:color w:val="000000"/>
                <w:sz w:val="20"/>
                <w:szCs w:val="20"/>
              </w:rPr>
              <w:t>-6.31</w:t>
            </w:r>
          </w:p>
        </w:tc>
        <w:tc>
          <w:tcPr>
            <w:tcW w:w="0" w:type="auto"/>
          </w:tcPr>
          <w:p w14:paraId="0451B13C" w14:textId="77777777" w:rsidR="00765237" w:rsidRPr="000B5813" w:rsidRDefault="00765237" w:rsidP="00C070EC">
            <w:pPr>
              <w:pStyle w:val="Compact"/>
              <w:jc w:val="right"/>
              <w:rPr>
                <w:color w:val="000000"/>
                <w:sz w:val="20"/>
                <w:szCs w:val="20"/>
              </w:rPr>
            </w:pPr>
          </w:p>
        </w:tc>
        <w:tc>
          <w:tcPr>
            <w:tcW w:w="0" w:type="auto"/>
          </w:tcPr>
          <w:p w14:paraId="4D08EE9D" w14:textId="77777777" w:rsidR="00765237" w:rsidRPr="000B5813" w:rsidRDefault="00765237" w:rsidP="00C070EC">
            <w:pPr>
              <w:pStyle w:val="Compact"/>
              <w:jc w:val="right"/>
              <w:rPr>
                <w:color w:val="000000"/>
                <w:sz w:val="20"/>
                <w:szCs w:val="20"/>
              </w:rPr>
            </w:pPr>
          </w:p>
        </w:tc>
      </w:tr>
      <w:tr w:rsidR="00765237" w:rsidRPr="000B5813" w14:paraId="33FF9177" w14:textId="77777777" w:rsidTr="00765237">
        <w:tc>
          <w:tcPr>
            <w:tcW w:w="0" w:type="auto"/>
          </w:tcPr>
          <w:p w14:paraId="025B6CB1" w14:textId="77777777" w:rsidR="00765237" w:rsidRPr="000B5813" w:rsidRDefault="00765237" w:rsidP="007C2015">
            <w:pPr>
              <w:pStyle w:val="Compact"/>
              <w:rPr>
                <w:color w:val="000000"/>
                <w:sz w:val="20"/>
                <w:szCs w:val="20"/>
              </w:rPr>
            </w:pPr>
            <w:r w:rsidRPr="000B5813">
              <w:rPr>
                <w:color w:val="000000"/>
                <w:sz w:val="20"/>
                <w:szCs w:val="20"/>
              </w:rPr>
              <w:t>Age</w:t>
            </w:r>
          </w:p>
        </w:tc>
        <w:tc>
          <w:tcPr>
            <w:tcW w:w="0" w:type="auto"/>
          </w:tcPr>
          <w:p w14:paraId="08656898" w14:textId="77777777" w:rsidR="00765237" w:rsidRPr="000B5813" w:rsidRDefault="00765237" w:rsidP="007C2015">
            <w:pPr>
              <w:pStyle w:val="Compact"/>
              <w:rPr>
                <w:color w:val="000000"/>
                <w:sz w:val="20"/>
                <w:szCs w:val="20"/>
              </w:rPr>
            </w:pPr>
          </w:p>
        </w:tc>
        <w:tc>
          <w:tcPr>
            <w:tcW w:w="0" w:type="auto"/>
          </w:tcPr>
          <w:p w14:paraId="356A3BBB" w14:textId="77777777" w:rsidR="00765237" w:rsidRPr="000B5813" w:rsidRDefault="00765237" w:rsidP="00C070EC">
            <w:pPr>
              <w:pStyle w:val="Compact"/>
              <w:jc w:val="right"/>
              <w:rPr>
                <w:color w:val="000000"/>
                <w:sz w:val="20"/>
                <w:szCs w:val="20"/>
              </w:rPr>
            </w:pPr>
            <w:r w:rsidRPr="000B5813">
              <w:rPr>
                <w:color w:val="000000"/>
                <w:sz w:val="20"/>
                <w:szCs w:val="20"/>
              </w:rPr>
              <w:t>0.02</w:t>
            </w:r>
          </w:p>
        </w:tc>
        <w:tc>
          <w:tcPr>
            <w:tcW w:w="0" w:type="auto"/>
          </w:tcPr>
          <w:p w14:paraId="47823B5B" w14:textId="77777777" w:rsidR="00765237" w:rsidRPr="000B5813" w:rsidRDefault="00765237" w:rsidP="00C070EC">
            <w:pPr>
              <w:pStyle w:val="Compact"/>
              <w:jc w:val="right"/>
              <w:rPr>
                <w:color w:val="000000"/>
                <w:sz w:val="20"/>
                <w:szCs w:val="20"/>
              </w:rPr>
            </w:pPr>
            <w:r w:rsidRPr="000B5813">
              <w:rPr>
                <w:color w:val="000000"/>
                <w:sz w:val="20"/>
                <w:szCs w:val="20"/>
              </w:rPr>
              <w:t>1.02 (1.02-1.03)</w:t>
            </w:r>
          </w:p>
        </w:tc>
        <w:tc>
          <w:tcPr>
            <w:tcW w:w="0" w:type="auto"/>
          </w:tcPr>
          <w:p w14:paraId="6A2BF915" w14:textId="77777777" w:rsidR="00765237" w:rsidRPr="000B5813" w:rsidRDefault="00765237" w:rsidP="00C070EC">
            <w:pPr>
              <w:pStyle w:val="Compact"/>
              <w:jc w:val="right"/>
              <w:rPr>
                <w:color w:val="000000"/>
                <w:sz w:val="20"/>
                <w:szCs w:val="20"/>
              </w:rPr>
            </w:pPr>
            <w:r w:rsidRPr="000B5813">
              <w:rPr>
                <w:color w:val="000000"/>
                <w:sz w:val="20"/>
                <w:szCs w:val="20"/>
              </w:rPr>
              <w:t>&lt;0.001</w:t>
            </w:r>
          </w:p>
        </w:tc>
      </w:tr>
      <w:tr w:rsidR="00765237" w:rsidRPr="000B5813" w14:paraId="011D63D1" w14:textId="77777777" w:rsidTr="00765237">
        <w:tc>
          <w:tcPr>
            <w:tcW w:w="0" w:type="auto"/>
          </w:tcPr>
          <w:p w14:paraId="6E7C5F37" w14:textId="77777777" w:rsidR="00765237" w:rsidRPr="000B5813" w:rsidRDefault="00765237" w:rsidP="007C2015">
            <w:pPr>
              <w:pStyle w:val="Compact"/>
              <w:rPr>
                <w:color w:val="000000"/>
                <w:sz w:val="20"/>
                <w:szCs w:val="20"/>
              </w:rPr>
            </w:pPr>
            <w:r w:rsidRPr="000B5813">
              <w:rPr>
                <w:color w:val="000000"/>
                <w:sz w:val="20"/>
                <w:szCs w:val="20"/>
              </w:rPr>
              <w:t>Arrhythmia</w:t>
            </w:r>
          </w:p>
        </w:tc>
        <w:tc>
          <w:tcPr>
            <w:tcW w:w="0" w:type="auto"/>
          </w:tcPr>
          <w:p w14:paraId="345DAAC8" w14:textId="77777777" w:rsidR="00765237" w:rsidRPr="000B5813" w:rsidRDefault="00765237" w:rsidP="007C2015">
            <w:pPr>
              <w:pStyle w:val="Compact"/>
              <w:rPr>
                <w:color w:val="000000"/>
                <w:sz w:val="20"/>
                <w:szCs w:val="20"/>
              </w:rPr>
            </w:pPr>
          </w:p>
        </w:tc>
        <w:tc>
          <w:tcPr>
            <w:tcW w:w="0" w:type="auto"/>
          </w:tcPr>
          <w:p w14:paraId="086D806B" w14:textId="77777777" w:rsidR="00765237" w:rsidRPr="000B5813" w:rsidRDefault="00765237" w:rsidP="00C070EC">
            <w:pPr>
              <w:pStyle w:val="Compact"/>
              <w:jc w:val="right"/>
              <w:rPr>
                <w:color w:val="000000"/>
                <w:sz w:val="20"/>
                <w:szCs w:val="20"/>
              </w:rPr>
            </w:pPr>
            <w:r w:rsidRPr="000B5813">
              <w:rPr>
                <w:color w:val="000000"/>
                <w:sz w:val="20"/>
                <w:szCs w:val="20"/>
              </w:rPr>
              <w:t>0.27</w:t>
            </w:r>
          </w:p>
        </w:tc>
        <w:tc>
          <w:tcPr>
            <w:tcW w:w="0" w:type="auto"/>
          </w:tcPr>
          <w:p w14:paraId="6BE44077" w14:textId="77777777" w:rsidR="00765237" w:rsidRPr="000B5813" w:rsidRDefault="00765237" w:rsidP="00C070EC">
            <w:pPr>
              <w:pStyle w:val="Compact"/>
              <w:jc w:val="right"/>
              <w:rPr>
                <w:color w:val="000000"/>
                <w:sz w:val="20"/>
                <w:szCs w:val="20"/>
              </w:rPr>
            </w:pPr>
            <w:r w:rsidRPr="000B5813">
              <w:rPr>
                <w:color w:val="000000"/>
                <w:sz w:val="20"/>
                <w:szCs w:val="20"/>
              </w:rPr>
              <w:t>1.30 (1.13-1.49)</w:t>
            </w:r>
          </w:p>
        </w:tc>
        <w:tc>
          <w:tcPr>
            <w:tcW w:w="0" w:type="auto"/>
          </w:tcPr>
          <w:p w14:paraId="2E8A0CE4" w14:textId="77777777" w:rsidR="00765237" w:rsidRPr="000B5813" w:rsidRDefault="00765237" w:rsidP="00C070EC">
            <w:pPr>
              <w:pStyle w:val="Compact"/>
              <w:jc w:val="right"/>
              <w:rPr>
                <w:color w:val="000000"/>
                <w:sz w:val="20"/>
                <w:szCs w:val="20"/>
              </w:rPr>
            </w:pPr>
            <w:r w:rsidRPr="000B5813">
              <w:rPr>
                <w:color w:val="000000"/>
                <w:sz w:val="20"/>
                <w:szCs w:val="20"/>
              </w:rPr>
              <w:t>&lt;0.001</w:t>
            </w:r>
          </w:p>
        </w:tc>
      </w:tr>
      <w:tr w:rsidR="00765237" w:rsidRPr="000B5813" w14:paraId="3B5D4859" w14:textId="77777777" w:rsidTr="00765237">
        <w:tc>
          <w:tcPr>
            <w:tcW w:w="0" w:type="auto"/>
          </w:tcPr>
          <w:p w14:paraId="5F8B0C5C" w14:textId="77777777" w:rsidR="00765237" w:rsidRPr="000B5813" w:rsidRDefault="00765237" w:rsidP="007C2015">
            <w:pPr>
              <w:pStyle w:val="Compact"/>
              <w:rPr>
                <w:color w:val="000000"/>
                <w:sz w:val="20"/>
                <w:szCs w:val="20"/>
              </w:rPr>
            </w:pPr>
            <w:r w:rsidRPr="000B5813">
              <w:rPr>
                <w:color w:val="000000"/>
                <w:sz w:val="20"/>
                <w:szCs w:val="20"/>
              </w:rPr>
              <w:t>ASA class</w:t>
            </w:r>
          </w:p>
        </w:tc>
        <w:tc>
          <w:tcPr>
            <w:tcW w:w="0" w:type="auto"/>
          </w:tcPr>
          <w:p w14:paraId="7466118B" w14:textId="77777777" w:rsidR="00765237" w:rsidRPr="000B5813" w:rsidRDefault="00765237" w:rsidP="007C2015">
            <w:pPr>
              <w:pStyle w:val="Compact"/>
              <w:rPr>
                <w:color w:val="000000"/>
                <w:sz w:val="20"/>
                <w:szCs w:val="20"/>
              </w:rPr>
            </w:pPr>
            <w:r w:rsidRPr="000B5813">
              <w:rPr>
                <w:color w:val="000000"/>
                <w:sz w:val="20"/>
                <w:szCs w:val="20"/>
              </w:rPr>
              <w:t>I</w:t>
            </w:r>
          </w:p>
        </w:tc>
        <w:tc>
          <w:tcPr>
            <w:tcW w:w="0" w:type="auto"/>
          </w:tcPr>
          <w:p w14:paraId="0ABBEAEC" w14:textId="77777777" w:rsidR="00765237" w:rsidRPr="000B5813" w:rsidRDefault="00765237" w:rsidP="00C070EC">
            <w:pPr>
              <w:pStyle w:val="Compact"/>
              <w:jc w:val="right"/>
              <w:rPr>
                <w:color w:val="000000"/>
                <w:sz w:val="20"/>
                <w:szCs w:val="20"/>
              </w:rPr>
            </w:pPr>
            <w:r w:rsidRPr="000B5813">
              <w:rPr>
                <w:color w:val="000000"/>
                <w:sz w:val="20"/>
                <w:szCs w:val="20"/>
              </w:rPr>
              <w:t>0.00</w:t>
            </w:r>
          </w:p>
        </w:tc>
        <w:tc>
          <w:tcPr>
            <w:tcW w:w="0" w:type="auto"/>
          </w:tcPr>
          <w:p w14:paraId="66302916" w14:textId="77777777" w:rsidR="00765237" w:rsidRPr="000B5813" w:rsidRDefault="00765237" w:rsidP="00C070EC">
            <w:pPr>
              <w:pStyle w:val="Compact"/>
              <w:jc w:val="right"/>
              <w:rPr>
                <w:color w:val="000000"/>
                <w:sz w:val="20"/>
                <w:szCs w:val="20"/>
              </w:rPr>
            </w:pPr>
            <w:r w:rsidRPr="000B5813">
              <w:rPr>
                <w:color w:val="000000"/>
                <w:sz w:val="20"/>
                <w:szCs w:val="20"/>
              </w:rPr>
              <w:t>(ref)</w:t>
            </w:r>
          </w:p>
        </w:tc>
        <w:tc>
          <w:tcPr>
            <w:tcW w:w="0" w:type="auto"/>
          </w:tcPr>
          <w:p w14:paraId="60A52A86" w14:textId="77777777" w:rsidR="00765237" w:rsidRPr="000B5813" w:rsidRDefault="00765237" w:rsidP="00C070EC">
            <w:pPr>
              <w:pStyle w:val="Compact"/>
              <w:jc w:val="right"/>
              <w:rPr>
                <w:color w:val="000000"/>
                <w:sz w:val="20"/>
                <w:szCs w:val="20"/>
              </w:rPr>
            </w:pPr>
          </w:p>
        </w:tc>
      </w:tr>
      <w:tr w:rsidR="00765237" w:rsidRPr="000B5813" w14:paraId="4438865A" w14:textId="77777777" w:rsidTr="00765237">
        <w:tc>
          <w:tcPr>
            <w:tcW w:w="0" w:type="auto"/>
          </w:tcPr>
          <w:p w14:paraId="04AD46DE" w14:textId="77777777" w:rsidR="00765237" w:rsidRPr="000B5813" w:rsidRDefault="00765237" w:rsidP="007C2015">
            <w:pPr>
              <w:pStyle w:val="Compact"/>
              <w:rPr>
                <w:color w:val="000000"/>
                <w:sz w:val="20"/>
                <w:szCs w:val="20"/>
              </w:rPr>
            </w:pPr>
          </w:p>
        </w:tc>
        <w:tc>
          <w:tcPr>
            <w:tcW w:w="0" w:type="auto"/>
          </w:tcPr>
          <w:p w14:paraId="06845F89" w14:textId="77777777" w:rsidR="00765237" w:rsidRPr="000B5813" w:rsidRDefault="00765237" w:rsidP="007C2015">
            <w:pPr>
              <w:pStyle w:val="Compact"/>
              <w:rPr>
                <w:color w:val="000000"/>
                <w:sz w:val="20"/>
                <w:szCs w:val="20"/>
              </w:rPr>
            </w:pPr>
            <w:r w:rsidRPr="000B5813">
              <w:rPr>
                <w:color w:val="000000"/>
                <w:sz w:val="20"/>
                <w:szCs w:val="20"/>
              </w:rPr>
              <w:t>II</w:t>
            </w:r>
          </w:p>
        </w:tc>
        <w:tc>
          <w:tcPr>
            <w:tcW w:w="0" w:type="auto"/>
          </w:tcPr>
          <w:p w14:paraId="1F51B6AE" w14:textId="77777777" w:rsidR="00765237" w:rsidRPr="000B5813" w:rsidRDefault="00765237" w:rsidP="00C070EC">
            <w:pPr>
              <w:pStyle w:val="Compact"/>
              <w:jc w:val="right"/>
              <w:rPr>
                <w:color w:val="000000"/>
                <w:sz w:val="20"/>
                <w:szCs w:val="20"/>
              </w:rPr>
            </w:pPr>
            <w:r w:rsidRPr="000B5813">
              <w:rPr>
                <w:color w:val="000000"/>
                <w:sz w:val="20"/>
                <w:szCs w:val="20"/>
              </w:rPr>
              <w:t>0.18</w:t>
            </w:r>
          </w:p>
        </w:tc>
        <w:tc>
          <w:tcPr>
            <w:tcW w:w="0" w:type="auto"/>
          </w:tcPr>
          <w:p w14:paraId="1CD9F59F" w14:textId="77777777" w:rsidR="00765237" w:rsidRPr="000B5813" w:rsidRDefault="00765237" w:rsidP="00C070EC">
            <w:pPr>
              <w:pStyle w:val="Compact"/>
              <w:jc w:val="right"/>
              <w:rPr>
                <w:color w:val="000000"/>
                <w:sz w:val="20"/>
                <w:szCs w:val="20"/>
              </w:rPr>
            </w:pPr>
            <w:r w:rsidRPr="000B5813">
              <w:rPr>
                <w:color w:val="000000"/>
                <w:sz w:val="20"/>
                <w:szCs w:val="20"/>
              </w:rPr>
              <w:t>1.20 (1.05-1.37)</w:t>
            </w:r>
          </w:p>
        </w:tc>
        <w:tc>
          <w:tcPr>
            <w:tcW w:w="0" w:type="auto"/>
          </w:tcPr>
          <w:p w14:paraId="70B0A861" w14:textId="77777777" w:rsidR="00765237" w:rsidRPr="000B5813" w:rsidRDefault="00765237" w:rsidP="00C070EC">
            <w:pPr>
              <w:pStyle w:val="Compact"/>
              <w:jc w:val="right"/>
              <w:rPr>
                <w:color w:val="000000"/>
                <w:sz w:val="20"/>
                <w:szCs w:val="20"/>
              </w:rPr>
            </w:pPr>
            <w:r w:rsidRPr="000B5813">
              <w:rPr>
                <w:color w:val="000000"/>
                <w:sz w:val="20"/>
                <w:szCs w:val="20"/>
              </w:rPr>
              <w:t>0.009</w:t>
            </w:r>
          </w:p>
        </w:tc>
      </w:tr>
      <w:tr w:rsidR="00765237" w:rsidRPr="000B5813" w14:paraId="07A13855" w14:textId="77777777" w:rsidTr="00765237">
        <w:tc>
          <w:tcPr>
            <w:tcW w:w="0" w:type="auto"/>
          </w:tcPr>
          <w:p w14:paraId="478700F0" w14:textId="77777777" w:rsidR="00765237" w:rsidRPr="000B5813" w:rsidRDefault="00765237" w:rsidP="007C2015">
            <w:pPr>
              <w:pStyle w:val="Compact"/>
              <w:rPr>
                <w:color w:val="000000"/>
                <w:sz w:val="20"/>
                <w:szCs w:val="20"/>
              </w:rPr>
            </w:pPr>
          </w:p>
        </w:tc>
        <w:tc>
          <w:tcPr>
            <w:tcW w:w="0" w:type="auto"/>
          </w:tcPr>
          <w:p w14:paraId="213BD3A7" w14:textId="77777777" w:rsidR="00765237" w:rsidRPr="000B5813" w:rsidRDefault="00765237" w:rsidP="007C2015">
            <w:pPr>
              <w:pStyle w:val="Compact"/>
              <w:rPr>
                <w:color w:val="000000"/>
                <w:sz w:val="20"/>
                <w:szCs w:val="20"/>
              </w:rPr>
            </w:pPr>
            <w:r w:rsidRPr="000B5813">
              <w:rPr>
                <w:color w:val="000000"/>
                <w:sz w:val="20"/>
                <w:szCs w:val="20"/>
              </w:rPr>
              <w:t>III</w:t>
            </w:r>
          </w:p>
        </w:tc>
        <w:tc>
          <w:tcPr>
            <w:tcW w:w="0" w:type="auto"/>
          </w:tcPr>
          <w:p w14:paraId="0F3366B1" w14:textId="77777777" w:rsidR="00765237" w:rsidRPr="000B5813" w:rsidRDefault="00765237" w:rsidP="00C070EC">
            <w:pPr>
              <w:pStyle w:val="Compact"/>
              <w:jc w:val="right"/>
              <w:rPr>
                <w:color w:val="000000"/>
                <w:sz w:val="20"/>
                <w:szCs w:val="20"/>
              </w:rPr>
            </w:pPr>
            <w:r w:rsidRPr="000B5813">
              <w:rPr>
                <w:color w:val="000000"/>
                <w:sz w:val="20"/>
                <w:szCs w:val="20"/>
              </w:rPr>
              <w:t>0.44</w:t>
            </w:r>
          </w:p>
        </w:tc>
        <w:tc>
          <w:tcPr>
            <w:tcW w:w="0" w:type="auto"/>
          </w:tcPr>
          <w:p w14:paraId="41F7508B" w14:textId="77777777" w:rsidR="00765237" w:rsidRPr="000B5813" w:rsidRDefault="00765237" w:rsidP="00C070EC">
            <w:pPr>
              <w:pStyle w:val="Compact"/>
              <w:jc w:val="right"/>
              <w:rPr>
                <w:color w:val="000000"/>
                <w:sz w:val="20"/>
                <w:szCs w:val="20"/>
              </w:rPr>
            </w:pPr>
            <w:r w:rsidRPr="000B5813">
              <w:rPr>
                <w:color w:val="000000"/>
                <w:sz w:val="20"/>
                <w:szCs w:val="20"/>
              </w:rPr>
              <w:t>1.56 (1.33-1.83)</w:t>
            </w:r>
          </w:p>
        </w:tc>
        <w:tc>
          <w:tcPr>
            <w:tcW w:w="0" w:type="auto"/>
          </w:tcPr>
          <w:p w14:paraId="47D9BFD5" w14:textId="77777777" w:rsidR="00765237" w:rsidRPr="000B5813" w:rsidRDefault="00765237" w:rsidP="00C070EC">
            <w:pPr>
              <w:pStyle w:val="Compact"/>
              <w:jc w:val="right"/>
              <w:rPr>
                <w:color w:val="000000"/>
                <w:sz w:val="20"/>
                <w:szCs w:val="20"/>
              </w:rPr>
            </w:pPr>
            <w:r w:rsidRPr="000B5813">
              <w:rPr>
                <w:color w:val="000000"/>
                <w:sz w:val="20"/>
                <w:szCs w:val="20"/>
              </w:rPr>
              <w:t>&lt;0.001</w:t>
            </w:r>
          </w:p>
        </w:tc>
      </w:tr>
      <w:tr w:rsidR="00765237" w:rsidRPr="000B5813" w14:paraId="3EC896AA" w14:textId="77777777" w:rsidTr="00765237">
        <w:tc>
          <w:tcPr>
            <w:tcW w:w="0" w:type="auto"/>
          </w:tcPr>
          <w:p w14:paraId="4EFAC236" w14:textId="77777777" w:rsidR="00765237" w:rsidRPr="000B5813" w:rsidRDefault="00765237" w:rsidP="007C2015">
            <w:pPr>
              <w:pStyle w:val="Compact"/>
              <w:rPr>
                <w:color w:val="000000"/>
                <w:sz w:val="20"/>
                <w:szCs w:val="20"/>
              </w:rPr>
            </w:pPr>
            <w:r w:rsidRPr="000B5813">
              <w:rPr>
                <w:color w:val="000000"/>
                <w:sz w:val="20"/>
                <w:szCs w:val="20"/>
              </w:rPr>
              <w:t>BMI</w:t>
            </w:r>
          </w:p>
        </w:tc>
        <w:tc>
          <w:tcPr>
            <w:tcW w:w="0" w:type="auto"/>
          </w:tcPr>
          <w:p w14:paraId="04F96757" w14:textId="12E1BC3E" w:rsidR="00765237" w:rsidRPr="000B5813" w:rsidRDefault="00C070EC" w:rsidP="007C2015">
            <w:pPr>
              <w:pStyle w:val="Compact"/>
              <w:rPr>
                <w:color w:val="000000"/>
                <w:sz w:val="20"/>
                <w:szCs w:val="20"/>
              </w:rPr>
            </w:pPr>
            <w:r w:rsidRPr="000B5813">
              <w:rPr>
                <w:color w:val="000000"/>
                <w:sz w:val="20"/>
                <w:szCs w:val="20"/>
              </w:rPr>
              <w:t>U</w:t>
            </w:r>
            <w:r w:rsidR="00765237" w:rsidRPr="000B5813">
              <w:rPr>
                <w:color w:val="000000"/>
                <w:sz w:val="20"/>
                <w:szCs w:val="20"/>
              </w:rPr>
              <w:t>nder/normal weight</w:t>
            </w:r>
          </w:p>
        </w:tc>
        <w:tc>
          <w:tcPr>
            <w:tcW w:w="0" w:type="auto"/>
          </w:tcPr>
          <w:p w14:paraId="6EFE2049" w14:textId="77777777" w:rsidR="00765237" w:rsidRPr="000B5813" w:rsidRDefault="00765237" w:rsidP="00C070EC">
            <w:pPr>
              <w:pStyle w:val="Compact"/>
              <w:jc w:val="right"/>
              <w:rPr>
                <w:color w:val="000000"/>
                <w:sz w:val="20"/>
                <w:szCs w:val="20"/>
              </w:rPr>
            </w:pPr>
            <w:r w:rsidRPr="000B5813">
              <w:rPr>
                <w:color w:val="000000"/>
                <w:sz w:val="20"/>
                <w:szCs w:val="20"/>
              </w:rPr>
              <w:t>0.00</w:t>
            </w:r>
          </w:p>
        </w:tc>
        <w:tc>
          <w:tcPr>
            <w:tcW w:w="0" w:type="auto"/>
          </w:tcPr>
          <w:p w14:paraId="26298CC1" w14:textId="77777777" w:rsidR="00765237" w:rsidRPr="000B5813" w:rsidRDefault="00765237" w:rsidP="00C070EC">
            <w:pPr>
              <w:pStyle w:val="Compact"/>
              <w:jc w:val="right"/>
              <w:rPr>
                <w:color w:val="000000"/>
                <w:sz w:val="20"/>
                <w:szCs w:val="20"/>
              </w:rPr>
            </w:pPr>
            <w:r w:rsidRPr="000B5813">
              <w:rPr>
                <w:color w:val="000000"/>
                <w:sz w:val="20"/>
                <w:szCs w:val="20"/>
              </w:rPr>
              <w:t>(ref)</w:t>
            </w:r>
          </w:p>
        </w:tc>
        <w:tc>
          <w:tcPr>
            <w:tcW w:w="0" w:type="auto"/>
          </w:tcPr>
          <w:p w14:paraId="230981E3" w14:textId="77777777" w:rsidR="00765237" w:rsidRPr="000B5813" w:rsidRDefault="00765237" w:rsidP="00C070EC">
            <w:pPr>
              <w:pStyle w:val="Compact"/>
              <w:jc w:val="right"/>
              <w:rPr>
                <w:color w:val="000000"/>
                <w:sz w:val="20"/>
                <w:szCs w:val="20"/>
              </w:rPr>
            </w:pPr>
          </w:p>
        </w:tc>
      </w:tr>
      <w:tr w:rsidR="00765237" w:rsidRPr="000B5813" w14:paraId="30C6113A" w14:textId="77777777" w:rsidTr="00765237">
        <w:tc>
          <w:tcPr>
            <w:tcW w:w="0" w:type="auto"/>
          </w:tcPr>
          <w:p w14:paraId="3048D040" w14:textId="77777777" w:rsidR="00765237" w:rsidRPr="000B5813" w:rsidRDefault="00765237" w:rsidP="007C2015">
            <w:pPr>
              <w:pStyle w:val="Compact"/>
              <w:rPr>
                <w:color w:val="000000"/>
                <w:sz w:val="20"/>
                <w:szCs w:val="20"/>
              </w:rPr>
            </w:pPr>
          </w:p>
        </w:tc>
        <w:tc>
          <w:tcPr>
            <w:tcW w:w="0" w:type="auto"/>
          </w:tcPr>
          <w:p w14:paraId="7469EE94" w14:textId="78392BF7" w:rsidR="00765237" w:rsidRPr="000B5813" w:rsidRDefault="00C070EC" w:rsidP="007C2015">
            <w:pPr>
              <w:pStyle w:val="Compact"/>
              <w:rPr>
                <w:color w:val="000000"/>
                <w:sz w:val="20"/>
                <w:szCs w:val="20"/>
              </w:rPr>
            </w:pPr>
            <w:r w:rsidRPr="000B5813">
              <w:rPr>
                <w:color w:val="000000"/>
                <w:sz w:val="20"/>
                <w:szCs w:val="20"/>
              </w:rPr>
              <w:t>O</w:t>
            </w:r>
            <w:r w:rsidR="00765237" w:rsidRPr="000B5813">
              <w:rPr>
                <w:color w:val="000000"/>
                <w:sz w:val="20"/>
                <w:szCs w:val="20"/>
              </w:rPr>
              <w:t>verweight</w:t>
            </w:r>
          </w:p>
        </w:tc>
        <w:tc>
          <w:tcPr>
            <w:tcW w:w="0" w:type="auto"/>
          </w:tcPr>
          <w:p w14:paraId="1EF2A0F9" w14:textId="77777777" w:rsidR="00765237" w:rsidRPr="000B5813" w:rsidRDefault="00765237" w:rsidP="00C070EC">
            <w:pPr>
              <w:pStyle w:val="Compact"/>
              <w:jc w:val="right"/>
              <w:rPr>
                <w:color w:val="000000"/>
                <w:sz w:val="20"/>
                <w:szCs w:val="20"/>
              </w:rPr>
            </w:pPr>
            <w:r w:rsidRPr="000B5813">
              <w:rPr>
                <w:color w:val="000000"/>
                <w:sz w:val="20"/>
                <w:szCs w:val="20"/>
              </w:rPr>
              <w:t>0.39</w:t>
            </w:r>
          </w:p>
        </w:tc>
        <w:tc>
          <w:tcPr>
            <w:tcW w:w="0" w:type="auto"/>
          </w:tcPr>
          <w:p w14:paraId="5D163803" w14:textId="77777777" w:rsidR="00765237" w:rsidRPr="000B5813" w:rsidRDefault="00765237" w:rsidP="00C070EC">
            <w:pPr>
              <w:pStyle w:val="Compact"/>
              <w:jc w:val="right"/>
              <w:rPr>
                <w:color w:val="000000"/>
                <w:sz w:val="20"/>
                <w:szCs w:val="20"/>
              </w:rPr>
            </w:pPr>
            <w:r w:rsidRPr="000B5813">
              <w:rPr>
                <w:color w:val="000000"/>
                <w:sz w:val="20"/>
                <w:szCs w:val="20"/>
              </w:rPr>
              <w:t>1.47 (1.32-1.65)</w:t>
            </w:r>
          </w:p>
        </w:tc>
        <w:tc>
          <w:tcPr>
            <w:tcW w:w="0" w:type="auto"/>
          </w:tcPr>
          <w:p w14:paraId="386FB6D6" w14:textId="77777777" w:rsidR="00765237" w:rsidRPr="000B5813" w:rsidRDefault="00765237" w:rsidP="00C070EC">
            <w:pPr>
              <w:pStyle w:val="Compact"/>
              <w:jc w:val="right"/>
              <w:rPr>
                <w:color w:val="000000"/>
                <w:sz w:val="20"/>
                <w:szCs w:val="20"/>
              </w:rPr>
            </w:pPr>
            <w:r w:rsidRPr="000B5813">
              <w:rPr>
                <w:color w:val="000000"/>
                <w:sz w:val="20"/>
                <w:szCs w:val="20"/>
              </w:rPr>
              <w:t>&lt;0.001</w:t>
            </w:r>
          </w:p>
        </w:tc>
      </w:tr>
      <w:tr w:rsidR="00765237" w:rsidRPr="000B5813" w14:paraId="17A0978E" w14:textId="77777777" w:rsidTr="00765237">
        <w:tc>
          <w:tcPr>
            <w:tcW w:w="0" w:type="auto"/>
          </w:tcPr>
          <w:p w14:paraId="398F9D9C" w14:textId="77777777" w:rsidR="00765237" w:rsidRPr="000B5813" w:rsidRDefault="00765237" w:rsidP="007C2015">
            <w:pPr>
              <w:pStyle w:val="Compact"/>
              <w:rPr>
                <w:color w:val="000000"/>
                <w:sz w:val="20"/>
                <w:szCs w:val="20"/>
              </w:rPr>
            </w:pPr>
          </w:p>
        </w:tc>
        <w:tc>
          <w:tcPr>
            <w:tcW w:w="0" w:type="auto"/>
          </w:tcPr>
          <w:p w14:paraId="559E44B5" w14:textId="1780BBCC" w:rsidR="00765237" w:rsidRPr="000B5813" w:rsidRDefault="00C070EC" w:rsidP="007C2015">
            <w:pPr>
              <w:pStyle w:val="Compact"/>
              <w:rPr>
                <w:color w:val="000000"/>
                <w:sz w:val="20"/>
                <w:szCs w:val="20"/>
              </w:rPr>
            </w:pPr>
            <w:r w:rsidRPr="000B5813">
              <w:rPr>
                <w:color w:val="000000"/>
                <w:sz w:val="20"/>
                <w:szCs w:val="20"/>
              </w:rPr>
              <w:t>C</w:t>
            </w:r>
            <w:r w:rsidR="00765237" w:rsidRPr="000B5813">
              <w:rPr>
                <w:color w:val="000000"/>
                <w:sz w:val="20"/>
                <w:szCs w:val="20"/>
              </w:rPr>
              <w:t>lass I obesity</w:t>
            </w:r>
          </w:p>
        </w:tc>
        <w:tc>
          <w:tcPr>
            <w:tcW w:w="0" w:type="auto"/>
          </w:tcPr>
          <w:p w14:paraId="33BEC832" w14:textId="77777777" w:rsidR="00765237" w:rsidRPr="000B5813" w:rsidRDefault="00765237" w:rsidP="00C070EC">
            <w:pPr>
              <w:pStyle w:val="Compact"/>
              <w:jc w:val="right"/>
              <w:rPr>
                <w:color w:val="000000"/>
                <w:sz w:val="20"/>
                <w:szCs w:val="20"/>
              </w:rPr>
            </w:pPr>
            <w:r w:rsidRPr="000B5813">
              <w:rPr>
                <w:color w:val="000000"/>
                <w:sz w:val="20"/>
                <w:szCs w:val="20"/>
              </w:rPr>
              <w:t>0.81</w:t>
            </w:r>
          </w:p>
        </w:tc>
        <w:tc>
          <w:tcPr>
            <w:tcW w:w="0" w:type="auto"/>
          </w:tcPr>
          <w:p w14:paraId="3912E3FB" w14:textId="77777777" w:rsidR="00765237" w:rsidRPr="000B5813" w:rsidRDefault="00765237" w:rsidP="00C070EC">
            <w:pPr>
              <w:pStyle w:val="Compact"/>
              <w:jc w:val="right"/>
              <w:rPr>
                <w:color w:val="000000"/>
                <w:sz w:val="20"/>
                <w:szCs w:val="20"/>
              </w:rPr>
            </w:pPr>
            <w:r w:rsidRPr="000B5813">
              <w:rPr>
                <w:color w:val="000000"/>
                <w:sz w:val="20"/>
                <w:szCs w:val="20"/>
              </w:rPr>
              <w:t>2.24 (1.97-2.55)</w:t>
            </w:r>
          </w:p>
        </w:tc>
        <w:tc>
          <w:tcPr>
            <w:tcW w:w="0" w:type="auto"/>
          </w:tcPr>
          <w:p w14:paraId="24C0E868" w14:textId="77777777" w:rsidR="00765237" w:rsidRPr="000B5813" w:rsidRDefault="00765237" w:rsidP="00C070EC">
            <w:pPr>
              <w:pStyle w:val="Compact"/>
              <w:jc w:val="right"/>
              <w:rPr>
                <w:color w:val="000000"/>
                <w:sz w:val="20"/>
                <w:szCs w:val="20"/>
              </w:rPr>
            </w:pPr>
            <w:r w:rsidRPr="000B5813">
              <w:rPr>
                <w:color w:val="000000"/>
                <w:sz w:val="20"/>
                <w:szCs w:val="20"/>
              </w:rPr>
              <w:t>&lt;0.001</w:t>
            </w:r>
          </w:p>
        </w:tc>
      </w:tr>
      <w:tr w:rsidR="00765237" w:rsidRPr="000B5813" w14:paraId="629FE4AA" w14:textId="77777777" w:rsidTr="00765237">
        <w:tc>
          <w:tcPr>
            <w:tcW w:w="0" w:type="auto"/>
          </w:tcPr>
          <w:p w14:paraId="06E2D7CA" w14:textId="77777777" w:rsidR="00765237" w:rsidRPr="000B5813" w:rsidRDefault="00765237" w:rsidP="007C2015">
            <w:pPr>
              <w:pStyle w:val="Compact"/>
              <w:rPr>
                <w:color w:val="000000"/>
                <w:sz w:val="20"/>
                <w:szCs w:val="20"/>
              </w:rPr>
            </w:pPr>
          </w:p>
        </w:tc>
        <w:tc>
          <w:tcPr>
            <w:tcW w:w="0" w:type="auto"/>
          </w:tcPr>
          <w:p w14:paraId="477D1282" w14:textId="6C406D5F" w:rsidR="00765237" w:rsidRPr="000B5813" w:rsidRDefault="00C070EC" w:rsidP="007C2015">
            <w:pPr>
              <w:pStyle w:val="Compact"/>
              <w:rPr>
                <w:color w:val="000000"/>
                <w:sz w:val="20"/>
                <w:szCs w:val="20"/>
              </w:rPr>
            </w:pPr>
            <w:r w:rsidRPr="000B5813">
              <w:rPr>
                <w:color w:val="000000"/>
                <w:sz w:val="20"/>
                <w:szCs w:val="20"/>
              </w:rPr>
              <w:t>C</w:t>
            </w:r>
            <w:r w:rsidR="00765237" w:rsidRPr="000B5813">
              <w:rPr>
                <w:color w:val="000000"/>
                <w:sz w:val="20"/>
                <w:szCs w:val="20"/>
              </w:rPr>
              <w:t>lass II-III obesity</w:t>
            </w:r>
          </w:p>
        </w:tc>
        <w:tc>
          <w:tcPr>
            <w:tcW w:w="0" w:type="auto"/>
          </w:tcPr>
          <w:p w14:paraId="243BF2EC" w14:textId="77777777" w:rsidR="00765237" w:rsidRPr="000B5813" w:rsidRDefault="00765237" w:rsidP="00C070EC">
            <w:pPr>
              <w:pStyle w:val="Compact"/>
              <w:jc w:val="right"/>
              <w:rPr>
                <w:color w:val="000000"/>
                <w:sz w:val="20"/>
                <w:szCs w:val="20"/>
              </w:rPr>
            </w:pPr>
            <w:r w:rsidRPr="000B5813">
              <w:rPr>
                <w:color w:val="000000"/>
                <w:sz w:val="20"/>
                <w:szCs w:val="20"/>
              </w:rPr>
              <w:t>1.40</w:t>
            </w:r>
          </w:p>
        </w:tc>
        <w:tc>
          <w:tcPr>
            <w:tcW w:w="0" w:type="auto"/>
          </w:tcPr>
          <w:p w14:paraId="2AE31E94" w14:textId="77777777" w:rsidR="00765237" w:rsidRPr="000B5813" w:rsidRDefault="00765237" w:rsidP="00C070EC">
            <w:pPr>
              <w:pStyle w:val="Compact"/>
              <w:jc w:val="right"/>
              <w:rPr>
                <w:color w:val="000000"/>
                <w:sz w:val="20"/>
                <w:szCs w:val="20"/>
              </w:rPr>
            </w:pPr>
            <w:r w:rsidRPr="000B5813">
              <w:rPr>
                <w:color w:val="000000"/>
                <w:sz w:val="20"/>
                <w:szCs w:val="20"/>
              </w:rPr>
              <w:t>4.05 (3.46-4.75)</w:t>
            </w:r>
          </w:p>
        </w:tc>
        <w:tc>
          <w:tcPr>
            <w:tcW w:w="0" w:type="auto"/>
          </w:tcPr>
          <w:p w14:paraId="6618DB3F" w14:textId="77777777" w:rsidR="00765237" w:rsidRPr="000B5813" w:rsidRDefault="00765237" w:rsidP="00C070EC">
            <w:pPr>
              <w:pStyle w:val="Compact"/>
              <w:jc w:val="right"/>
              <w:rPr>
                <w:color w:val="000000"/>
                <w:sz w:val="20"/>
                <w:szCs w:val="20"/>
              </w:rPr>
            </w:pPr>
            <w:r w:rsidRPr="000B5813">
              <w:rPr>
                <w:color w:val="000000"/>
                <w:sz w:val="20"/>
                <w:szCs w:val="20"/>
              </w:rPr>
              <w:t>&lt;0.001</w:t>
            </w:r>
          </w:p>
        </w:tc>
      </w:tr>
      <w:tr w:rsidR="00765237" w:rsidRPr="000B5813" w14:paraId="35CE01F6" w14:textId="77777777" w:rsidTr="00765237">
        <w:tc>
          <w:tcPr>
            <w:tcW w:w="0" w:type="auto"/>
          </w:tcPr>
          <w:p w14:paraId="2B14335D" w14:textId="77777777" w:rsidR="00765237" w:rsidRPr="000B5813" w:rsidRDefault="00765237" w:rsidP="007C2015">
            <w:pPr>
              <w:pStyle w:val="Compact"/>
              <w:rPr>
                <w:color w:val="000000"/>
                <w:sz w:val="20"/>
                <w:szCs w:val="20"/>
              </w:rPr>
            </w:pPr>
            <w:r w:rsidRPr="000B5813">
              <w:rPr>
                <w:color w:val="000000"/>
                <w:sz w:val="20"/>
                <w:szCs w:val="20"/>
              </w:rPr>
              <w:t>CNS disease</w:t>
            </w:r>
          </w:p>
        </w:tc>
        <w:tc>
          <w:tcPr>
            <w:tcW w:w="0" w:type="auto"/>
          </w:tcPr>
          <w:p w14:paraId="410335F3" w14:textId="77777777" w:rsidR="00765237" w:rsidRPr="000B5813" w:rsidRDefault="00765237" w:rsidP="007C2015">
            <w:pPr>
              <w:pStyle w:val="Compact"/>
              <w:rPr>
                <w:color w:val="000000"/>
                <w:sz w:val="20"/>
                <w:szCs w:val="20"/>
              </w:rPr>
            </w:pPr>
          </w:p>
        </w:tc>
        <w:tc>
          <w:tcPr>
            <w:tcW w:w="0" w:type="auto"/>
          </w:tcPr>
          <w:p w14:paraId="333989D7" w14:textId="77777777" w:rsidR="00765237" w:rsidRPr="000B5813" w:rsidRDefault="00765237" w:rsidP="00C070EC">
            <w:pPr>
              <w:pStyle w:val="Compact"/>
              <w:jc w:val="right"/>
              <w:rPr>
                <w:color w:val="000000"/>
                <w:sz w:val="20"/>
                <w:szCs w:val="20"/>
              </w:rPr>
            </w:pPr>
            <w:r w:rsidRPr="000B5813">
              <w:rPr>
                <w:color w:val="000000"/>
                <w:sz w:val="20"/>
                <w:szCs w:val="20"/>
              </w:rPr>
              <w:t>0.69</w:t>
            </w:r>
          </w:p>
        </w:tc>
        <w:tc>
          <w:tcPr>
            <w:tcW w:w="0" w:type="auto"/>
          </w:tcPr>
          <w:p w14:paraId="4169B96C" w14:textId="77777777" w:rsidR="00765237" w:rsidRPr="000B5813" w:rsidRDefault="00765237" w:rsidP="00C070EC">
            <w:pPr>
              <w:pStyle w:val="Compact"/>
              <w:jc w:val="right"/>
              <w:rPr>
                <w:color w:val="000000"/>
                <w:sz w:val="20"/>
                <w:szCs w:val="20"/>
              </w:rPr>
            </w:pPr>
            <w:r w:rsidRPr="000B5813">
              <w:rPr>
                <w:color w:val="000000"/>
                <w:sz w:val="20"/>
                <w:szCs w:val="20"/>
              </w:rPr>
              <w:t>2.00 (1.68-2.35)</w:t>
            </w:r>
          </w:p>
        </w:tc>
        <w:tc>
          <w:tcPr>
            <w:tcW w:w="0" w:type="auto"/>
          </w:tcPr>
          <w:p w14:paraId="0FFB468B" w14:textId="77777777" w:rsidR="00765237" w:rsidRPr="000B5813" w:rsidRDefault="00765237" w:rsidP="00C070EC">
            <w:pPr>
              <w:pStyle w:val="Compact"/>
              <w:jc w:val="right"/>
              <w:rPr>
                <w:color w:val="000000"/>
                <w:sz w:val="20"/>
                <w:szCs w:val="20"/>
              </w:rPr>
            </w:pPr>
            <w:r w:rsidRPr="000B5813">
              <w:rPr>
                <w:color w:val="000000"/>
                <w:sz w:val="20"/>
                <w:szCs w:val="20"/>
              </w:rPr>
              <w:t>&lt;0.001</w:t>
            </w:r>
          </w:p>
        </w:tc>
      </w:tr>
      <w:tr w:rsidR="00765237" w:rsidRPr="000B5813" w14:paraId="681F7646" w14:textId="77777777" w:rsidTr="00765237">
        <w:tc>
          <w:tcPr>
            <w:tcW w:w="0" w:type="auto"/>
          </w:tcPr>
          <w:p w14:paraId="3B2E0E70" w14:textId="77777777" w:rsidR="00765237" w:rsidRPr="000B5813" w:rsidRDefault="00765237" w:rsidP="007C2015">
            <w:pPr>
              <w:pStyle w:val="Compact"/>
              <w:rPr>
                <w:color w:val="000000"/>
                <w:sz w:val="20"/>
                <w:szCs w:val="20"/>
              </w:rPr>
            </w:pPr>
            <w:r w:rsidRPr="000B5813">
              <w:rPr>
                <w:color w:val="000000"/>
                <w:sz w:val="20"/>
                <w:szCs w:val="20"/>
              </w:rPr>
              <w:t>Diagnosis</w:t>
            </w:r>
          </w:p>
        </w:tc>
        <w:tc>
          <w:tcPr>
            <w:tcW w:w="0" w:type="auto"/>
          </w:tcPr>
          <w:p w14:paraId="70ECB0E2" w14:textId="77777777" w:rsidR="00765237" w:rsidRPr="000B5813" w:rsidRDefault="00765237" w:rsidP="007C2015">
            <w:pPr>
              <w:pStyle w:val="Compact"/>
              <w:rPr>
                <w:color w:val="000000"/>
                <w:sz w:val="20"/>
                <w:szCs w:val="20"/>
              </w:rPr>
            </w:pPr>
            <w:r w:rsidRPr="000B5813">
              <w:rPr>
                <w:color w:val="000000"/>
                <w:sz w:val="20"/>
                <w:szCs w:val="20"/>
              </w:rPr>
              <w:t>Primary osteoarthritis</w:t>
            </w:r>
          </w:p>
        </w:tc>
        <w:tc>
          <w:tcPr>
            <w:tcW w:w="0" w:type="auto"/>
          </w:tcPr>
          <w:p w14:paraId="434AB1E8" w14:textId="77777777" w:rsidR="00765237" w:rsidRPr="000B5813" w:rsidRDefault="00765237" w:rsidP="00C070EC">
            <w:pPr>
              <w:pStyle w:val="Compact"/>
              <w:jc w:val="right"/>
              <w:rPr>
                <w:color w:val="000000"/>
                <w:sz w:val="20"/>
                <w:szCs w:val="20"/>
              </w:rPr>
            </w:pPr>
            <w:r w:rsidRPr="000B5813">
              <w:rPr>
                <w:color w:val="000000"/>
                <w:sz w:val="20"/>
                <w:szCs w:val="20"/>
              </w:rPr>
              <w:t>0.00</w:t>
            </w:r>
          </w:p>
        </w:tc>
        <w:tc>
          <w:tcPr>
            <w:tcW w:w="0" w:type="auto"/>
          </w:tcPr>
          <w:p w14:paraId="2397E906" w14:textId="77777777" w:rsidR="00765237" w:rsidRPr="000B5813" w:rsidRDefault="00765237" w:rsidP="00C070EC">
            <w:pPr>
              <w:pStyle w:val="Compact"/>
              <w:jc w:val="right"/>
              <w:rPr>
                <w:color w:val="000000"/>
                <w:sz w:val="20"/>
                <w:szCs w:val="20"/>
              </w:rPr>
            </w:pPr>
            <w:r w:rsidRPr="000B5813">
              <w:rPr>
                <w:color w:val="000000"/>
                <w:sz w:val="20"/>
                <w:szCs w:val="20"/>
              </w:rPr>
              <w:t>(ref)</w:t>
            </w:r>
          </w:p>
        </w:tc>
        <w:tc>
          <w:tcPr>
            <w:tcW w:w="0" w:type="auto"/>
          </w:tcPr>
          <w:p w14:paraId="15D3598F" w14:textId="77777777" w:rsidR="00765237" w:rsidRPr="000B5813" w:rsidRDefault="00765237" w:rsidP="00C070EC">
            <w:pPr>
              <w:pStyle w:val="Compact"/>
              <w:jc w:val="right"/>
              <w:rPr>
                <w:color w:val="000000"/>
                <w:sz w:val="20"/>
                <w:szCs w:val="20"/>
              </w:rPr>
            </w:pPr>
          </w:p>
        </w:tc>
      </w:tr>
      <w:tr w:rsidR="00765237" w:rsidRPr="000B5813" w14:paraId="30227C83" w14:textId="77777777" w:rsidTr="00765237">
        <w:tc>
          <w:tcPr>
            <w:tcW w:w="0" w:type="auto"/>
          </w:tcPr>
          <w:p w14:paraId="1A094588" w14:textId="77777777" w:rsidR="00765237" w:rsidRPr="000B5813" w:rsidRDefault="00765237" w:rsidP="007C2015">
            <w:pPr>
              <w:pStyle w:val="Compact"/>
              <w:rPr>
                <w:color w:val="000000"/>
                <w:sz w:val="20"/>
                <w:szCs w:val="20"/>
              </w:rPr>
            </w:pPr>
          </w:p>
        </w:tc>
        <w:tc>
          <w:tcPr>
            <w:tcW w:w="0" w:type="auto"/>
          </w:tcPr>
          <w:p w14:paraId="70BD2DAC" w14:textId="77777777" w:rsidR="00765237" w:rsidRPr="000B5813" w:rsidRDefault="00765237" w:rsidP="007C2015">
            <w:pPr>
              <w:pStyle w:val="Compact"/>
              <w:rPr>
                <w:color w:val="000000"/>
                <w:sz w:val="20"/>
                <w:szCs w:val="20"/>
              </w:rPr>
            </w:pPr>
            <w:r w:rsidRPr="000B5813">
              <w:rPr>
                <w:color w:val="000000"/>
                <w:sz w:val="20"/>
                <w:szCs w:val="20"/>
              </w:rPr>
              <w:t>Sequelae after childhood hip disease</w:t>
            </w:r>
          </w:p>
        </w:tc>
        <w:tc>
          <w:tcPr>
            <w:tcW w:w="0" w:type="auto"/>
          </w:tcPr>
          <w:p w14:paraId="248E1353" w14:textId="77777777" w:rsidR="00765237" w:rsidRPr="000B5813" w:rsidRDefault="00765237" w:rsidP="00C070EC">
            <w:pPr>
              <w:pStyle w:val="Compact"/>
              <w:jc w:val="right"/>
              <w:rPr>
                <w:color w:val="000000"/>
                <w:sz w:val="20"/>
                <w:szCs w:val="20"/>
              </w:rPr>
            </w:pPr>
            <w:r w:rsidRPr="000B5813">
              <w:rPr>
                <w:color w:val="000000"/>
                <w:sz w:val="20"/>
                <w:szCs w:val="20"/>
              </w:rPr>
              <w:t>0.39</w:t>
            </w:r>
          </w:p>
        </w:tc>
        <w:tc>
          <w:tcPr>
            <w:tcW w:w="0" w:type="auto"/>
          </w:tcPr>
          <w:p w14:paraId="79882A18" w14:textId="77777777" w:rsidR="00765237" w:rsidRPr="000B5813" w:rsidRDefault="00765237" w:rsidP="00C070EC">
            <w:pPr>
              <w:pStyle w:val="Compact"/>
              <w:jc w:val="right"/>
              <w:rPr>
                <w:color w:val="000000"/>
                <w:sz w:val="20"/>
                <w:szCs w:val="20"/>
              </w:rPr>
            </w:pPr>
            <w:r w:rsidRPr="000B5813">
              <w:rPr>
                <w:color w:val="000000"/>
                <w:sz w:val="20"/>
                <w:szCs w:val="20"/>
              </w:rPr>
              <w:t>1.48 (1.06-2.01)</w:t>
            </w:r>
          </w:p>
        </w:tc>
        <w:tc>
          <w:tcPr>
            <w:tcW w:w="0" w:type="auto"/>
          </w:tcPr>
          <w:p w14:paraId="77C3DDD7" w14:textId="77777777" w:rsidR="00765237" w:rsidRPr="000B5813" w:rsidRDefault="00765237" w:rsidP="00C070EC">
            <w:pPr>
              <w:pStyle w:val="Compact"/>
              <w:jc w:val="right"/>
              <w:rPr>
                <w:color w:val="000000"/>
                <w:sz w:val="20"/>
                <w:szCs w:val="20"/>
              </w:rPr>
            </w:pPr>
            <w:r w:rsidRPr="000B5813">
              <w:rPr>
                <w:color w:val="000000"/>
                <w:sz w:val="20"/>
                <w:szCs w:val="20"/>
              </w:rPr>
              <w:t>0.016</w:t>
            </w:r>
          </w:p>
        </w:tc>
      </w:tr>
      <w:tr w:rsidR="00765237" w:rsidRPr="000B5813" w14:paraId="0D8311FC" w14:textId="77777777" w:rsidTr="00765237">
        <w:tc>
          <w:tcPr>
            <w:tcW w:w="0" w:type="auto"/>
          </w:tcPr>
          <w:p w14:paraId="360F8DB9" w14:textId="77777777" w:rsidR="00765237" w:rsidRPr="000B5813" w:rsidRDefault="00765237" w:rsidP="007C2015">
            <w:pPr>
              <w:pStyle w:val="Compact"/>
              <w:rPr>
                <w:color w:val="000000"/>
                <w:sz w:val="20"/>
                <w:szCs w:val="20"/>
              </w:rPr>
            </w:pPr>
          </w:p>
        </w:tc>
        <w:tc>
          <w:tcPr>
            <w:tcW w:w="0" w:type="auto"/>
          </w:tcPr>
          <w:p w14:paraId="0DBCCDC6" w14:textId="77777777" w:rsidR="00765237" w:rsidRPr="000B5813" w:rsidRDefault="00765237" w:rsidP="007C2015">
            <w:pPr>
              <w:pStyle w:val="Compact"/>
              <w:rPr>
                <w:color w:val="000000"/>
                <w:sz w:val="20"/>
                <w:szCs w:val="20"/>
              </w:rPr>
            </w:pPr>
            <w:r w:rsidRPr="000B5813">
              <w:rPr>
                <w:color w:val="000000"/>
                <w:sz w:val="20"/>
                <w:szCs w:val="20"/>
              </w:rPr>
              <w:t>Avascular necrosis of the femoral head (AVN)</w:t>
            </w:r>
          </w:p>
        </w:tc>
        <w:tc>
          <w:tcPr>
            <w:tcW w:w="0" w:type="auto"/>
          </w:tcPr>
          <w:p w14:paraId="1F2ED70F" w14:textId="77777777" w:rsidR="00765237" w:rsidRPr="000B5813" w:rsidRDefault="00765237" w:rsidP="00C070EC">
            <w:pPr>
              <w:pStyle w:val="Compact"/>
              <w:jc w:val="right"/>
              <w:rPr>
                <w:color w:val="000000"/>
                <w:sz w:val="20"/>
                <w:szCs w:val="20"/>
              </w:rPr>
            </w:pPr>
            <w:r w:rsidRPr="000B5813">
              <w:rPr>
                <w:color w:val="000000"/>
                <w:sz w:val="20"/>
                <w:szCs w:val="20"/>
              </w:rPr>
              <w:t>0.58</w:t>
            </w:r>
          </w:p>
        </w:tc>
        <w:tc>
          <w:tcPr>
            <w:tcW w:w="0" w:type="auto"/>
          </w:tcPr>
          <w:p w14:paraId="62FD21C7" w14:textId="77777777" w:rsidR="00765237" w:rsidRPr="000B5813" w:rsidRDefault="00765237" w:rsidP="00C070EC">
            <w:pPr>
              <w:pStyle w:val="Compact"/>
              <w:jc w:val="right"/>
              <w:rPr>
                <w:color w:val="000000"/>
                <w:sz w:val="20"/>
                <w:szCs w:val="20"/>
              </w:rPr>
            </w:pPr>
            <w:r w:rsidRPr="000B5813">
              <w:rPr>
                <w:color w:val="000000"/>
                <w:sz w:val="20"/>
                <w:szCs w:val="20"/>
              </w:rPr>
              <w:t>1.79 (1.40-2.26)</w:t>
            </w:r>
          </w:p>
        </w:tc>
        <w:tc>
          <w:tcPr>
            <w:tcW w:w="0" w:type="auto"/>
          </w:tcPr>
          <w:p w14:paraId="2405CC80" w14:textId="77777777" w:rsidR="00765237" w:rsidRPr="000B5813" w:rsidRDefault="00765237" w:rsidP="00C070EC">
            <w:pPr>
              <w:pStyle w:val="Compact"/>
              <w:jc w:val="right"/>
              <w:rPr>
                <w:color w:val="000000"/>
                <w:sz w:val="20"/>
                <w:szCs w:val="20"/>
              </w:rPr>
            </w:pPr>
            <w:r w:rsidRPr="000B5813">
              <w:rPr>
                <w:color w:val="000000"/>
                <w:sz w:val="20"/>
                <w:szCs w:val="20"/>
              </w:rPr>
              <w:t>&lt;0.001</w:t>
            </w:r>
          </w:p>
        </w:tc>
      </w:tr>
      <w:tr w:rsidR="00765237" w:rsidRPr="000B5813" w14:paraId="75851EB7" w14:textId="77777777" w:rsidTr="00765237">
        <w:tc>
          <w:tcPr>
            <w:tcW w:w="0" w:type="auto"/>
          </w:tcPr>
          <w:p w14:paraId="7855AEF6" w14:textId="77777777" w:rsidR="00765237" w:rsidRPr="000B5813" w:rsidRDefault="00765237" w:rsidP="007C2015">
            <w:pPr>
              <w:pStyle w:val="Compact"/>
              <w:rPr>
                <w:color w:val="000000"/>
                <w:sz w:val="20"/>
                <w:szCs w:val="20"/>
              </w:rPr>
            </w:pPr>
          </w:p>
        </w:tc>
        <w:tc>
          <w:tcPr>
            <w:tcW w:w="0" w:type="auto"/>
          </w:tcPr>
          <w:p w14:paraId="0A25F8F9" w14:textId="77777777" w:rsidR="00765237" w:rsidRPr="000B5813" w:rsidRDefault="00765237" w:rsidP="007C2015">
            <w:pPr>
              <w:pStyle w:val="Compact"/>
              <w:rPr>
                <w:color w:val="000000"/>
                <w:sz w:val="20"/>
                <w:szCs w:val="20"/>
              </w:rPr>
            </w:pPr>
            <w:r w:rsidRPr="000B5813">
              <w:rPr>
                <w:color w:val="000000"/>
                <w:sz w:val="20"/>
                <w:szCs w:val="20"/>
              </w:rPr>
              <w:t>Secondary osteoarthritis</w:t>
            </w:r>
          </w:p>
        </w:tc>
        <w:tc>
          <w:tcPr>
            <w:tcW w:w="0" w:type="auto"/>
          </w:tcPr>
          <w:p w14:paraId="6DCD279E" w14:textId="77777777" w:rsidR="00765237" w:rsidRPr="000B5813" w:rsidRDefault="00765237" w:rsidP="00C070EC">
            <w:pPr>
              <w:pStyle w:val="Compact"/>
              <w:jc w:val="right"/>
              <w:rPr>
                <w:color w:val="000000"/>
                <w:sz w:val="20"/>
                <w:szCs w:val="20"/>
              </w:rPr>
            </w:pPr>
            <w:r w:rsidRPr="000B5813">
              <w:rPr>
                <w:color w:val="000000"/>
                <w:sz w:val="20"/>
                <w:szCs w:val="20"/>
              </w:rPr>
              <w:t>0.74</w:t>
            </w:r>
          </w:p>
        </w:tc>
        <w:tc>
          <w:tcPr>
            <w:tcW w:w="0" w:type="auto"/>
          </w:tcPr>
          <w:p w14:paraId="7275DD52" w14:textId="77777777" w:rsidR="00765237" w:rsidRPr="000B5813" w:rsidRDefault="00765237" w:rsidP="00C070EC">
            <w:pPr>
              <w:pStyle w:val="Compact"/>
              <w:jc w:val="right"/>
              <w:rPr>
                <w:color w:val="000000"/>
                <w:sz w:val="20"/>
                <w:szCs w:val="20"/>
              </w:rPr>
            </w:pPr>
            <w:r w:rsidRPr="000B5813">
              <w:rPr>
                <w:color w:val="000000"/>
                <w:sz w:val="20"/>
                <w:szCs w:val="20"/>
              </w:rPr>
              <w:t>2.09 (1.80-2.41)</w:t>
            </w:r>
          </w:p>
        </w:tc>
        <w:tc>
          <w:tcPr>
            <w:tcW w:w="0" w:type="auto"/>
          </w:tcPr>
          <w:p w14:paraId="2EB8759F" w14:textId="77777777" w:rsidR="00765237" w:rsidRPr="000B5813" w:rsidRDefault="00765237" w:rsidP="00C070EC">
            <w:pPr>
              <w:pStyle w:val="Compact"/>
              <w:jc w:val="right"/>
              <w:rPr>
                <w:color w:val="000000"/>
                <w:sz w:val="20"/>
                <w:szCs w:val="20"/>
              </w:rPr>
            </w:pPr>
            <w:r w:rsidRPr="000B5813">
              <w:rPr>
                <w:color w:val="000000"/>
                <w:sz w:val="20"/>
                <w:szCs w:val="20"/>
              </w:rPr>
              <w:t>&lt;0.001</w:t>
            </w:r>
          </w:p>
        </w:tc>
      </w:tr>
      <w:tr w:rsidR="00765237" w:rsidRPr="000B5813" w14:paraId="69C64347" w14:textId="77777777" w:rsidTr="00765237">
        <w:tc>
          <w:tcPr>
            <w:tcW w:w="0" w:type="auto"/>
          </w:tcPr>
          <w:p w14:paraId="0EF8370A" w14:textId="77777777" w:rsidR="00765237" w:rsidRPr="000B5813" w:rsidRDefault="00765237" w:rsidP="007C2015">
            <w:pPr>
              <w:pStyle w:val="Compact"/>
              <w:rPr>
                <w:color w:val="000000"/>
                <w:sz w:val="20"/>
                <w:szCs w:val="20"/>
              </w:rPr>
            </w:pPr>
          </w:p>
        </w:tc>
        <w:tc>
          <w:tcPr>
            <w:tcW w:w="0" w:type="auto"/>
          </w:tcPr>
          <w:p w14:paraId="6364251E" w14:textId="77777777" w:rsidR="00765237" w:rsidRPr="000B5813" w:rsidRDefault="00765237" w:rsidP="007C2015">
            <w:pPr>
              <w:pStyle w:val="Compact"/>
              <w:rPr>
                <w:color w:val="000000"/>
                <w:sz w:val="20"/>
                <w:szCs w:val="20"/>
              </w:rPr>
            </w:pPr>
            <w:r w:rsidRPr="000B5813">
              <w:rPr>
                <w:color w:val="000000"/>
                <w:sz w:val="20"/>
                <w:szCs w:val="20"/>
              </w:rPr>
              <w:t>Inflammatory joint disease</w:t>
            </w:r>
          </w:p>
        </w:tc>
        <w:tc>
          <w:tcPr>
            <w:tcW w:w="0" w:type="auto"/>
          </w:tcPr>
          <w:p w14:paraId="13F0C95E" w14:textId="77777777" w:rsidR="00765237" w:rsidRPr="000B5813" w:rsidRDefault="00765237" w:rsidP="00C070EC">
            <w:pPr>
              <w:pStyle w:val="Compact"/>
              <w:jc w:val="right"/>
              <w:rPr>
                <w:color w:val="000000"/>
                <w:sz w:val="20"/>
                <w:szCs w:val="20"/>
              </w:rPr>
            </w:pPr>
            <w:r w:rsidRPr="000B5813">
              <w:rPr>
                <w:color w:val="000000"/>
                <w:sz w:val="20"/>
                <w:szCs w:val="20"/>
              </w:rPr>
              <w:t>0.94</w:t>
            </w:r>
          </w:p>
        </w:tc>
        <w:tc>
          <w:tcPr>
            <w:tcW w:w="0" w:type="auto"/>
          </w:tcPr>
          <w:p w14:paraId="1769C9FB" w14:textId="77777777" w:rsidR="00765237" w:rsidRPr="000B5813" w:rsidRDefault="00765237" w:rsidP="00C070EC">
            <w:pPr>
              <w:pStyle w:val="Compact"/>
              <w:jc w:val="right"/>
              <w:rPr>
                <w:color w:val="000000"/>
                <w:sz w:val="20"/>
                <w:szCs w:val="20"/>
              </w:rPr>
            </w:pPr>
            <w:r w:rsidRPr="000B5813">
              <w:rPr>
                <w:color w:val="000000"/>
                <w:sz w:val="20"/>
                <w:szCs w:val="20"/>
              </w:rPr>
              <w:t>2.55 (1.91-3.33)</w:t>
            </w:r>
          </w:p>
        </w:tc>
        <w:tc>
          <w:tcPr>
            <w:tcW w:w="0" w:type="auto"/>
          </w:tcPr>
          <w:p w14:paraId="507669D0" w14:textId="77777777" w:rsidR="00765237" w:rsidRPr="000B5813" w:rsidRDefault="00765237" w:rsidP="00C070EC">
            <w:pPr>
              <w:pStyle w:val="Compact"/>
              <w:jc w:val="right"/>
              <w:rPr>
                <w:color w:val="000000"/>
                <w:sz w:val="20"/>
                <w:szCs w:val="20"/>
              </w:rPr>
            </w:pPr>
            <w:r w:rsidRPr="000B5813">
              <w:rPr>
                <w:color w:val="000000"/>
                <w:sz w:val="20"/>
                <w:szCs w:val="20"/>
              </w:rPr>
              <w:t>&lt;0.001</w:t>
            </w:r>
          </w:p>
        </w:tc>
      </w:tr>
      <w:tr w:rsidR="00765237" w:rsidRPr="000B5813" w14:paraId="40595FDD" w14:textId="77777777" w:rsidTr="00765237">
        <w:tc>
          <w:tcPr>
            <w:tcW w:w="0" w:type="auto"/>
          </w:tcPr>
          <w:p w14:paraId="760FD827" w14:textId="77777777" w:rsidR="00765237" w:rsidRPr="000B5813" w:rsidRDefault="00765237" w:rsidP="007C2015">
            <w:pPr>
              <w:pStyle w:val="Compact"/>
              <w:rPr>
                <w:color w:val="000000"/>
                <w:sz w:val="20"/>
                <w:szCs w:val="20"/>
              </w:rPr>
            </w:pPr>
            <w:r w:rsidRPr="000B5813">
              <w:rPr>
                <w:color w:val="000000"/>
                <w:sz w:val="20"/>
                <w:szCs w:val="20"/>
              </w:rPr>
              <w:t>Fluid electrolyte disorders</w:t>
            </w:r>
          </w:p>
        </w:tc>
        <w:tc>
          <w:tcPr>
            <w:tcW w:w="0" w:type="auto"/>
          </w:tcPr>
          <w:p w14:paraId="58E43672" w14:textId="77777777" w:rsidR="00765237" w:rsidRPr="000B5813" w:rsidRDefault="00765237" w:rsidP="007C2015">
            <w:pPr>
              <w:pStyle w:val="Compact"/>
              <w:rPr>
                <w:color w:val="000000"/>
                <w:sz w:val="20"/>
                <w:szCs w:val="20"/>
              </w:rPr>
            </w:pPr>
          </w:p>
        </w:tc>
        <w:tc>
          <w:tcPr>
            <w:tcW w:w="0" w:type="auto"/>
          </w:tcPr>
          <w:p w14:paraId="46098B01" w14:textId="77777777" w:rsidR="00765237" w:rsidRPr="000B5813" w:rsidRDefault="00765237" w:rsidP="00C070EC">
            <w:pPr>
              <w:pStyle w:val="Compact"/>
              <w:jc w:val="right"/>
              <w:rPr>
                <w:color w:val="000000"/>
                <w:sz w:val="20"/>
                <w:szCs w:val="20"/>
              </w:rPr>
            </w:pPr>
            <w:r w:rsidRPr="000B5813">
              <w:rPr>
                <w:color w:val="000000"/>
                <w:sz w:val="20"/>
                <w:szCs w:val="20"/>
              </w:rPr>
              <w:t>0.42</w:t>
            </w:r>
          </w:p>
        </w:tc>
        <w:tc>
          <w:tcPr>
            <w:tcW w:w="0" w:type="auto"/>
          </w:tcPr>
          <w:p w14:paraId="77268C29" w14:textId="77777777" w:rsidR="00765237" w:rsidRPr="000B5813" w:rsidRDefault="00765237" w:rsidP="00C070EC">
            <w:pPr>
              <w:pStyle w:val="Compact"/>
              <w:jc w:val="right"/>
              <w:rPr>
                <w:color w:val="000000"/>
                <w:sz w:val="20"/>
                <w:szCs w:val="20"/>
              </w:rPr>
            </w:pPr>
            <w:r w:rsidRPr="000B5813">
              <w:rPr>
                <w:color w:val="000000"/>
                <w:sz w:val="20"/>
                <w:szCs w:val="20"/>
              </w:rPr>
              <w:t>1.52 (1.01-2.20)</w:t>
            </w:r>
          </w:p>
        </w:tc>
        <w:tc>
          <w:tcPr>
            <w:tcW w:w="0" w:type="auto"/>
          </w:tcPr>
          <w:p w14:paraId="1CDC0931" w14:textId="77777777" w:rsidR="00765237" w:rsidRPr="000B5813" w:rsidRDefault="00765237" w:rsidP="00C070EC">
            <w:pPr>
              <w:pStyle w:val="Compact"/>
              <w:jc w:val="right"/>
              <w:rPr>
                <w:color w:val="000000"/>
                <w:sz w:val="20"/>
                <w:szCs w:val="20"/>
              </w:rPr>
            </w:pPr>
            <w:r w:rsidRPr="000B5813">
              <w:rPr>
                <w:color w:val="000000"/>
                <w:sz w:val="20"/>
                <w:szCs w:val="20"/>
              </w:rPr>
              <w:t>0.034</w:t>
            </w:r>
          </w:p>
        </w:tc>
      </w:tr>
      <w:tr w:rsidR="00765237" w:rsidRPr="000B5813" w14:paraId="4F84AF4E" w14:textId="77777777" w:rsidTr="00765237">
        <w:tc>
          <w:tcPr>
            <w:tcW w:w="0" w:type="auto"/>
          </w:tcPr>
          <w:p w14:paraId="3FBF6A91" w14:textId="77777777" w:rsidR="00765237" w:rsidRPr="000B5813" w:rsidRDefault="00765237" w:rsidP="007C2015">
            <w:pPr>
              <w:pStyle w:val="Compact"/>
              <w:rPr>
                <w:color w:val="000000"/>
                <w:sz w:val="20"/>
                <w:szCs w:val="20"/>
              </w:rPr>
            </w:pPr>
            <w:r w:rsidRPr="000B5813">
              <w:rPr>
                <w:color w:val="000000"/>
                <w:sz w:val="20"/>
                <w:szCs w:val="20"/>
              </w:rPr>
              <w:t>Liver disease</w:t>
            </w:r>
          </w:p>
        </w:tc>
        <w:tc>
          <w:tcPr>
            <w:tcW w:w="0" w:type="auto"/>
          </w:tcPr>
          <w:p w14:paraId="2D6808E1" w14:textId="77777777" w:rsidR="00765237" w:rsidRPr="000B5813" w:rsidRDefault="00765237" w:rsidP="007C2015">
            <w:pPr>
              <w:pStyle w:val="Compact"/>
              <w:rPr>
                <w:color w:val="000000"/>
                <w:sz w:val="20"/>
                <w:szCs w:val="20"/>
              </w:rPr>
            </w:pPr>
          </w:p>
        </w:tc>
        <w:tc>
          <w:tcPr>
            <w:tcW w:w="0" w:type="auto"/>
          </w:tcPr>
          <w:p w14:paraId="0B296F2A" w14:textId="77777777" w:rsidR="00765237" w:rsidRPr="000B5813" w:rsidRDefault="00765237" w:rsidP="00C070EC">
            <w:pPr>
              <w:pStyle w:val="Compact"/>
              <w:jc w:val="right"/>
              <w:rPr>
                <w:color w:val="000000"/>
                <w:sz w:val="20"/>
                <w:szCs w:val="20"/>
              </w:rPr>
            </w:pPr>
            <w:r w:rsidRPr="000B5813">
              <w:rPr>
                <w:color w:val="000000"/>
                <w:sz w:val="20"/>
                <w:szCs w:val="20"/>
              </w:rPr>
              <w:t>0.75</w:t>
            </w:r>
          </w:p>
        </w:tc>
        <w:tc>
          <w:tcPr>
            <w:tcW w:w="0" w:type="auto"/>
          </w:tcPr>
          <w:p w14:paraId="4F9A666A" w14:textId="77777777" w:rsidR="00765237" w:rsidRPr="000B5813" w:rsidRDefault="00765237" w:rsidP="00C070EC">
            <w:pPr>
              <w:pStyle w:val="Compact"/>
              <w:jc w:val="right"/>
              <w:rPr>
                <w:color w:val="000000"/>
                <w:sz w:val="20"/>
                <w:szCs w:val="20"/>
              </w:rPr>
            </w:pPr>
            <w:r w:rsidRPr="000B5813">
              <w:rPr>
                <w:color w:val="000000"/>
                <w:sz w:val="20"/>
                <w:szCs w:val="20"/>
              </w:rPr>
              <w:t>2.11 (1.44-3.00)</w:t>
            </w:r>
          </w:p>
        </w:tc>
        <w:tc>
          <w:tcPr>
            <w:tcW w:w="0" w:type="auto"/>
          </w:tcPr>
          <w:p w14:paraId="7157C746" w14:textId="77777777" w:rsidR="00765237" w:rsidRPr="000B5813" w:rsidRDefault="00765237" w:rsidP="00C070EC">
            <w:pPr>
              <w:pStyle w:val="Compact"/>
              <w:jc w:val="right"/>
              <w:rPr>
                <w:color w:val="000000"/>
                <w:sz w:val="20"/>
                <w:szCs w:val="20"/>
              </w:rPr>
            </w:pPr>
            <w:r w:rsidRPr="000B5813">
              <w:rPr>
                <w:color w:val="000000"/>
                <w:sz w:val="20"/>
                <w:szCs w:val="20"/>
              </w:rPr>
              <w:t>&lt;0.001</w:t>
            </w:r>
          </w:p>
        </w:tc>
      </w:tr>
      <w:tr w:rsidR="00765237" w:rsidRPr="000B5813" w14:paraId="6DF8CEC3" w14:textId="77777777" w:rsidTr="00765237">
        <w:tc>
          <w:tcPr>
            <w:tcW w:w="0" w:type="auto"/>
          </w:tcPr>
          <w:p w14:paraId="30462C50" w14:textId="77777777" w:rsidR="00765237" w:rsidRPr="000B5813" w:rsidRDefault="00765237" w:rsidP="007C2015">
            <w:pPr>
              <w:pStyle w:val="Compact"/>
              <w:rPr>
                <w:color w:val="000000"/>
                <w:sz w:val="20"/>
                <w:szCs w:val="20"/>
              </w:rPr>
            </w:pPr>
            <w:r w:rsidRPr="000B5813">
              <w:rPr>
                <w:color w:val="000000"/>
                <w:sz w:val="20"/>
                <w:szCs w:val="20"/>
              </w:rPr>
              <w:t>Lung airways disease</w:t>
            </w:r>
          </w:p>
        </w:tc>
        <w:tc>
          <w:tcPr>
            <w:tcW w:w="0" w:type="auto"/>
          </w:tcPr>
          <w:p w14:paraId="0F1EBEE6" w14:textId="77777777" w:rsidR="00765237" w:rsidRPr="000B5813" w:rsidRDefault="00765237" w:rsidP="007C2015">
            <w:pPr>
              <w:pStyle w:val="Compact"/>
              <w:rPr>
                <w:color w:val="000000"/>
                <w:sz w:val="20"/>
                <w:szCs w:val="20"/>
              </w:rPr>
            </w:pPr>
          </w:p>
        </w:tc>
        <w:tc>
          <w:tcPr>
            <w:tcW w:w="0" w:type="auto"/>
          </w:tcPr>
          <w:p w14:paraId="298E3C1F" w14:textId="77777777" w:rsidR="00765237" w:rsidRPr="000B5813" w:rsidRDefault="00765237" w:rsidP="00C070EC">
            <w:pPr>
              <w:pStyle w:val="Compact"/>
              <w:jc w:val="right"/>
              <w:rPr>
                <w:color w:val="000000"/>
                <w:sz w:val="20"/>
                <w:szCs w:val="20"/>
              </w:rPr>
            </w:pPr>
            <w:r w:rsidRPr="000B5813">
              <w:rPr>
                <w:color w:val="000000"/>
                <w:sz w:val="20"/>
                <w:szCs w:val="20"/>
              </w:rPr>
              <w:t>0.27</w:t>
            </w:r>
          </w:p>
        </w:tc>
        <w:tc>
          <w:tcPr>
            <w:tcW w:w="0" w:type="auto"/>
          </w:tcPr>
          <w:p w14:paraId="50A53E70" w14:textId="77777777" w:rsidR="00765237" w:rsidRPr="000B5813" w:rsidRDefault="00765237" w:rsidP="00C070EC">
            <w:pPr>
              <w:pStyle w:val="Compact"/>
              <w:jc w:val="right"/>
              <w:rPr>
                <w:color w:val="000000"/>
                <w:sz w:val="20"/>
                <w:szCs w:val="20"/>
              </w:rPr>
            </w:pPr>
            <w:r w:rsidRPr="000B5813">
              <w:rPr>
                <w:color w:val="000000"/>
                <w:sz w:val="20"/>
                <w:szCs w:val="20"/>
              </w:rPr>
              <w:t>1.31 (1.11-1.54)</w:t>
            </w:r>
          </w:p>
        </w:tc>
        <w:tc>
          <w:tcPr>
            <w:tcW w:w="0" w:type="auto"/>
          </w:tcPr>
          <w:p w14:paraId="6E592BF9" w14:textId="77777777" w:rsidR="00765237" w:rsidRPr="000B5813" w:rsidRDefault="00765237" w:rsidP="00C070EC">
            <w:pPr>
              <w:pStyle w:val="Compact"/>
              <w:jc w:val="right"/>
              <w:rPr>
                <w:color w:val="000000"/>
                <w:sz w:val="20"/>
                <w:szCs w:val="20"/>
              </w:rPr>
            </w:pPr>
            <w:r w:rsidRPr="000B5813">
              <w:rPr>
                <w:color w:val="000000"/>
                <w:sz w:val="20"/>
                <w:szCs w:val="20"/>
              </w:rPr>
              <w:t>0.001</w:t>
            </w:r>
          </w:p>
        </w:tc>
      </w:tr>
      <w:tr w:rsidR="00765237" w:rsidRPr="000B5813" w14:paraId="4246CD68" w14:textId="77777777" w:rsidTr="00765237">
        <w:tc>
          <w:tcPr>
            <w:tcW w:w="0" w:type="auto"/>
          </w:tcPr>
          <w:p w14:paraId="7D2110D6" w14:textId="77777777" w:rsidR="00765237" w:rsidRPr="000B5813" w:rsidRDefault="00765237" w:rsidP="007C2015">
            <w:pPr>
              <w:pStyle w:val="Compact"/>
              <w:rPr>
                <w:color w:val="000000"/>
                <w:sz w:val="20"/>
                <w:szCs w:val="20"/>
              </w:rPr>
            </w:pPr>
            <w:r w:rsidRPr="000B5813">
              <w:rPr>
                <w:color w:val="000000"/>
                <w:sz w:val="20"/>
                <w:szCs w:val="20"/>
              </w:rPr>
              <w:t>Sex</w:t>
            </w:r>
          </w:p>
        </w:tc>
        <w:tc>
          <w:tcPr>
            <w:tcW w:w="0" w:type="auto"/>
          </w:tcPr>
          <w:p w14:paraId="788FE7A3" w14:textId="77777777" w:rsidR="00765237" w:rsidRPr="000B5813" w:rsidRDefault="00765237" w:rsidP="007C2015">
            <w:pPr>
              <w:pStyle w:val="Compact"/>
              <w:rPr>
                <w:color w:val="000000"/>
                <w:sz w:val="20"/>
                <w:szCs w:val="20"/>
              </w:rPr>
            </w:pPr>
            <w:r w:rsidRPr="000B5813">
              <w:rPr>
                <w:color w:val="000000"/>
                <w:sz w:val="20"/>
                <w:szCs w:val="20"/>
              </w:rPr>
              <w:t>Female</w:t>
            </w:r>
          </w:p>
        </w:tc>
        <w:tc>
          <w:tcPr>
            <w:tcW w:w="0" w:type="auto"/>
          </w:tcPr>
          <w:p w14:paraId="43B648D5" w14:textId="77777777" w:rsidR="00765237" w:rsidRPr="000B5813" w:rsidRDefault="00765237" w:rsidP="00C070EC">
            <w:pPr>
              <w:pStyle w:val="Compact"/>
              <w:jc w:val="right"/>
              <w:rPr>
                <w:color w:val="000000"/>
                <w:sz w:val="20"/>
                <w:szCs w:val="20"/>
              </w:rPr>
            </w:pPr>
            <w:r w:rsidRPr="000B5813">
              <w:rPr>
                <w:color w:val="000000"/>
                <w:sz w:val="20"/>
                <w:szCs w:val="20"/>
              </w:rPr>
              <w:t>0.00</w:t>
            </w:r>
          </w:p>
        </w:tc>
        <w:tc>
          <w:tcPr>
            <w:tcW w:w="0" w:type="auto"/>
          </w:tcPr>
          <w:p w14:paraId="4314ED85" w14:textId="77777777" w:rsidR="00765237" w:rsidRPr="000B5813" w:rsidRDefault="00765237" w:rsidP="00C070EC">
            <w:pPr>
              <w:pStyle w:val="Compact"/>
              <w:jc w:val="right"/>
              <w:rPr>
                <w:color w:val="000000"/>
                <w:sz w:val="20"/>
                <w:szCs w:val="20"/>
              </w:rPr>
            </w:pPr>
            <w:r w:rsidRPr="000B5813">
              <w:rPr>
                <w:color w:val="000000"/>
                <w:sz w:val="20"/>
                <w:szCs w:val="20"/>
              </w:rPr>
              <w:t>(ref)</w:t>
            </w:r>
          </w:p>
        </w:tc>
        <w:tc>
          <w:tcPr>
            <w:tcW w:w="0" w:type="auto"/>
          </w:tcPr>
          <w:p w14:paraId="14E8CE80" w14:textId="77777777" w:rsidR="00765237" w:rsidRPr="000B5813" w:rsidRDefault="00765237" w:rsidP="00C070EC">
            <w:pPr>
              <w:pStyle w:val="Compact"/>
              <w:jc w:val="right"/>
              <w:rPr>
                <w:color w:val="000000"/>
                <w:sz w:val="20"/>
                <w:szCs w:val="20"/>
              </w:rPr>
            </w:pPr>
          </w:p>
        </w:tc>
      </w:tr>
      <w:tr w:rsidR="00765237" w:rsidRPr="000B5813" w14:paraId="44D67F7D" w14:textId="77777777" w:rsidTr="00765237">
        <w:tc>
          <w:tcPr>
            <w:tcW w:w="0" w:type="auto"/>
          </w:tcPr>
          <w:p w14:paraId="3142DE82" w14:textId="77777777" w:rsidR="00765237" w:rsidRPr="000B5813" w:rsidRDefault="00765237" w:rsidP="007C2015">
            <w:pPr>
              <w:pStyle w:val="Compact"/>
              <w:rPr>
                <w:color w:val="000000"/>
                <w:sz w:val="20"/>
                <w:szCs w:val="20"/>
              </w:rPr>
            </w:pPr>
          </w:p>
        </w:tc>
        <w:tc>
          <w:tcPr>
            <w:tcW w:w="0" w:type="auto"/>
          </w:tcPr>
          <w:p w14:paraId="6D5EDEE4" w14:textId="77777777" w:rsidR="00765237" w:rsidRPr="000B5813" w:rsidRDefault="00765237" w:rsidP="007C2015">
            <w:pPr>
              <w:pStyle w:val="Compact"/>
              <w:rPr>
                <w:color w:val="000000"/>
                <w:sz w:val="20"/>
                <w:szCs w:val="20"/>
              </w:rPr>
            </w:pPr>
            <w:r w:rsidRPr="000B5813">
              <w:rPr>
                <w:color w:val="000000"/>
                <w:sz w:val="20"/>
                <w:szCs w:val="20"/>
              </w:rPr>
              <w:t>Male</w:t>
            </w:r>
          </w:p>
        </w:tc>
        <w:tc>
          <w:tcPr>
            <w:tcW w:w="0" w:type="auto"/>
          </w:tcPr>
          <w:p w14:paraId="6B99BD79" w14:textId="77777777" w:rsidR="00765237" w:rsidRPr="000B5813" w:rsidRDefault="00765237" w:rsidP="00C070EC">
            <w:pPr>
              <w:pStyle w:val="Compact"/>
              <w:jc w:val="right"/>
              <w:rPr>
                <w:color w:val="000000"/>
                <w:sz w:val="20"/>
                <w:szCs w:val="20"/>
              </w:rPr>
            </w:pPr>
            <w:r w:rsidRPr="000B5813">
              <w:rPr>
                <w:color w:val="000000"/>
                <w:sz w:val="20"/>
                <w:szCs w:val="20"/>
              </w:rPr>
              <w:t>0.37</w:t>
            </w:r>
          </w:p>
        </w:tc>
        <w:tc>
          <w:tcPr>
            <w:tcW w:w="0" w:type="auto"/>
          </w:tcPr>
          <w:p w14:paraId="0406B37C" w14:textId="77777777" w:rsidR="00765237" w:rsidRPr="000B5813" w:rsidRDefault="00765237" w:rsidP="00C070EC">
            <w:pPr>
              <w:pStyle w:val="Compact"/>
              <w:jc w:val="right"/>
              <w:rPr>
                <w:color w:val="000000"/>
                <w:sz w:val="20"/>
                <w:szCs w:val="20"/>
              </w:rPr>
            </w:pPr>
            <w:r w:rsidRPr="000B5813">
              <w:rPr>
                <w:color w:val="000000"/>
                <w:sz w:val="20"/>
                <w:szCs w:val="20"/>
              </w:rPr>
              <w:t>1.45 (1.33-1.59)</w:t>
            </w:r>
          </w:p>
        </w:tc>
        <w:tc>
          <w:tcPr>
            <w:tcW w:w="0" w:type="auto"/>
          </w:tcPr>
          <w:p w14:paraId="10205E83" w14:textId="77777777" w:rsidR="00765237" w:rsidRPr="000B5813" w:rsidRDefault="00765237" w:rsidP="00C070EC">
            <w:pPr>
              <w:pStyle w:val="Compact"/>
              <w:jc w:val="right"/>
              <w:rPr>
                <w:color w:val="000000"/>
                <w:sz w:val="20"/>
                <w:szCs w:val="20"/>
              </w:rPr>
            </w:pPr>
            <w:r w:rsidRPr="000B5813">
              <w:rPr>
                <w:color w:val="000000"/>
                <w:sz w:val="20"/>
                <w:szCs w:val="20"/>
              </w:rPr>
              <w:t>&lt;0.001</w:t>
            </w:r>
          </w:p>
        </w:tc>
      </w:tr>
    </w:tbl>
    <w:p w14:paraId="73E5A537" w14:textId="305B9A16" w:rsidR="00765237" w:rsidRPr="00DE515D" w:rsidRDefault="00C92BCF" w:rsidP="00765237">
      <w:pPr>
        <w:rPr>
          <w:color w:val="000000"/>
        </w:rPr>
      </w:pPr>
      <w:r w:rsidRPr="00DE515D">
        <w:rPr>
          <w:color w:val="000000"/>
        </w:rPr>
        <w:t>BMI</w:t>
      </w:r>
      <w:r w:rsidRPr="00DE515D">
        <w:rPr>
          <w:color w:val="000000"/>
        </w:rPr>
        <w:t>,</w:t>
      </w:r>
      <w:r w:rsidRPr="00DE515D">
        <w:rPr>
          <w:color w:val="000000"/>
        </w:rPr>
        <w:t xml:space="preserve"> body mass index</w:t>
      </w:r>
      <w:r w:rsidRPr="00DE515D">
        <w:rPr>
          <w:color w:val="000000"/>
        </w:rPr>
        <w:t>;</w:t>
      </w:r>
      <w:r w:rsidRPr="00DE515D">
        <w:rPr>
          <w:color w:val="000000"/>
        </w:rPr>
        <w:t xml:space="preserve"> CNS</w:t>
      </w:r>
      <w:r w:rsidRPr="00DE515D">
        <w:rPr>
          <w:color w:val="000000"/>
        </w:rPr>
        <w:t>,</w:t>
      </w:r>
      <w:r w:rsidRPr="00DE515D">
        <w:rPr>
          <w:color w:val="000000"/>
        </w:rPr>
        <w:t xml:space="preserve"> central nervous system</w:t>
      </w:r>
      <w:r w:rsidRPr="00DE515D">
        <w:rPr>
          <w:color w:val="000000"/>
        </w:rPr>
        <w:t>;</w:t>
      </w:r>
      <w:r w:rsidRPr="00DE515D">
        <w:rPr>
          <w:color w:val="000000"/>
        </w:rPr>
        <w:t xml:space="preserve"> ASA</w:t>
      </w:r>
      <w:r w:rsidRPr="00DE515D">
        <w:rPr>
          <w:color w:val="000000"/>
        </w:rPr>
        <w:t xml:space="preserve">, </w:t>
      </w:r>
      <w:r w:rsidRPr="00DE515D">
        <w:rPr>
          <w:color w:val="000000"/>
        </w:rPr>
        <w:t>American Society for Anesthesiologists.</w:t>
      </w:r>
    </w:p>
    <w:p w14:paraId="707F8099" w14:textId="77777777" w:rsidR="00765237" w:rsidRPr="000B5813" w:rsidRDefault="00765237">
      <w:pPr>
        <w:rPr>
          <w:i/>
          <w:color w:val="000000"/>
        </w:rPr>
      </w:pPr>
      <w:r w:rsidRPr="000B5813">
        <w:rPr>
          <w:color w:val="000000"/>
        </w:rPr>
        <w:br w:type="page"/>
      </w:r>
    </w:p>
    <w:p w14:paraId="4C0021C5" w14:textId="63C7FE4A" w:rsidR="00765237" w:rsidRPr="00C92BCF" w:rsidRDefault="00765237" w:rsidP="00765237">
      <w:pPr>
        <w:pStyle w:val="TableCaption"/>
        <w:rPr>
          <w:i w:val="0"/>
          <w:iCs/>
          <w:color w:val="000000"/>
        </w:rPr>
      </w:pPr>
      <w:commentRangeStart w:id="91"/>
      <w:commentRangeStart w:id="92"/>
      <w:r w:rsidRPr="00C92BCF">
        <w:rPr>
          <w:i w:val="0"/>
          <w:iCs/>
          <w:color w:val="000000"/>
        </w:rPr>
        <w:lastRenderedPageBreak/>
        <w:t xml:space="preserve">Table 4: </w:t>
      </w:r>
      <w:commentRangeEnd w:id="91"/>
      <w:r w:rsidR="007115D2" w:rsidRPr="00C92BCF">
        <w:rPr>
          <w:rStyle w:val="Kommentarsreferens"/>
          <w:i w:val="0"/>
          <w:iCs/>
        </w:rPr>
        <w:commentReference w:id="91"/>
      </w:r>
      <w:r w:rsidRPr="00C92BCF">
        <w:rPr>
          <w:i w:val="0"/>
          <w:iCs/>
          <w:color w:val="000000"/>
        </w:rPr>
        <w:t xml:space="preserve">Model performance based on the Swedish derivation cohort. The area under the receiver operating characteristics curve (AUC) is a measure of discriminatory ability. </w:t>
      </w:r>
      <w:proofErr w:type="spellStart"/>
      <w:r w:rsidRPr="00C92BCF">
        <w:rPr>
          <w:i w:val="0"/>
          <w:iCs/>
          <w:color w:val="000000"/>
        </w:rPr>
        <w:t>Nagelkerke’s</w:t>
      </w:r>
      <w:proofErr w:type="spellEnd"/>
      <w:r w:rsidRPr="00C92BCF">
        <w:rPr>
          <w:i w:val="0"/>
          <w:iCs/>
          <w:color w:val="000000"/>
        </w:rPr>
        <w:t xml:space="preserve"> pseudo-coefficient of determination (R</w:t>
      </w:r>
      <w:r w:rsidRPr="00C92BCF">
        <w:rPr>
          <w:i w:val="0"/>
          <w:iCs/>
          <w:color w:val="000000"/>
          <w:vertAlign w:val="superscript"/>
        </w:rPr>
        <w:t>2</w:t>
      </w:r>
      <w:r w:rsidRPr="00C92BCF">
        <w:rPr>
          <w:i w:val="0"/>
          <w:iCs/>
          <w:color w:val="000000"/>
        </w:rPr>
        <w:t>) is an estimate of the proportion of explained variance for each model (the correlation between observed and predicted values). The univariable Charlson model had the lowest R</w:t>
      </w:r>
      <w:r w:rsidR="00C92BCF" w:rsidRPr="00C92BCF">
        <w:rPr>
          <w:i w:val="0"/>
          <w:iCs/>
          <w:color w:val="000000"/>
          <w:vertAlign w:val="superscript"/>
        </w:rPr>
        <w:t>2</w:t>
      </w:r>
      <w:r w:rsidRPr="00C92BCF">
        <w:rPr>
          <w:i w:val="0"/>
          <w:iCs/>
          <w:color w:val="000000"/>
        </w:rPr>
        <w:t xml:space="preserve"> and was therefore used as baseline for the fraction of new information (FNI) added by the other models.</w:t>
      </w:r>
      <w:commentRangeEnd w:id="92"/>
      <w:r w:rsidR="007115D2" w:rsidRPr="00C92BCF">
        <w:rPr>
          <w:rStyle w:val="Kommentarsreferens"/>
          <w:i w:val="0"/>
          <w:iCs/>
        </w:rPr>
        <w:commentReference w:id="92"/>
      </w:r>
    </w:p>
    <w:p w14:paraId="6E96AC65" w14:textId="0310546C" w:rsidR="00765237" w:rsidRPr="000B5813" w:rsidRDefault="00765237" w:rsidP="00765237">
      <w:pPr>
        <w:pStyle w:val="TableCaption"/>
        <w:rPr>
          <w:color w:val="000000"/>
        </w:rPr>
      </w:pPr>
    </w:p>
    <w:tbl>
      <w:tblPr>
        <w:tblStyle w:val="Rutntstabell1ljus"/>
        <w:tblW w:w="0" w:type="auto"/>
        <w:tblLook w:val="0020" w:firstRow="1" w:lastRow="0" w:firstColumn="0" w:lastColumn="0" w:noHBand="0" w:noVBand="0"/>
        <w:tblCaption w:val="Table 4: Model performance based on the Swedish derivation cohort. The area under the receiver operating characteristics curve (AUC) is a measure of discriminatory ability. Nagelkerke’s pseudo-coefficient of determination (R2) is an estimate of the proportion of explained variance for each model (the correlation between observed and predicted values). The univariable Charlson model had the lowest R2 and was therefore used as baseline for the fraction of new information (FNI) added by the other models."/>
      </w:tblPr>
      <w:tblGrid>
        <w:gridCol w:w="2266"/>
        <w:gridCol w:w="1555"/>
        <w:gridCol w:w="809"/>
        <w:gridCol w:w="944"/>
      </w:tblGrid>
      <w:tr w:rsidR="00765237" w:rsidRPr="000B5813" w14:paraId="3D9F5F44" w14:textId="77777777" w:rsidTr="00765237">
        <w:trPr>
          <w:cnfStyle w:val="100000000000" w:firstRow="1" w:lastRow="0" w:firstColumn="0" w:lastColumn="0" w:oddVBand="0" w:evenVBand="0" w:oddHBand="0" w:evenHBand="0" w:firstRowFirstColumn="0" w:firstRowLastColumn="0" w:lastRowFirstColumn="0" w:lastRowLastColumn="0"/>
        </w:trPr>
        <w:tc>
          <w:tcPr>
            <w:tcW w:w="0" w:type="auto"/>
          </w:tcPr>
          <w:p w14:paraId="3C1C66E5" w14:textId="77777777" w:rsidR="00765237" w:rsidRPr="000B5813" w:rsidRDefault="00765237" w:rsidP="007C2015">
            <w:pPr>
              <w:pStyle w:val="Compact"/>
              <w:rPr>
                <w:color w:val="000000"/>
                <w:sz w:val="20"/>
                <w:szCs w:val="20"/>
              </w:rPr>
            </w:pPr>
            <w:r w:rsidRPr="000B5813">
              <w:rPr>
                <w:color w:val="000000"/>
                <w:sz w:val="20"/>
                <w:szCs w:val="20"/>
              </w:rPr>
              <w:t>Model</w:t>
            </w:r>
          </w:p>
        </w:tc>
        <w:tc>
          <w:tcPr>
            <w:tcW w:w="0" w:type="auto"/>
          </w:tcPr>
          <w:p w14:paraId="28A44159" w14:textId="77777777" w:rsidR="00765237" w:rsidRPr="000B5813" w:rsidRDefault="00765237" w:rsidP="00C070EC">
            <w:pPr>
              <w:pStyle w:val="Compact"/>
              <w:jc w:val="right"/>
              <w:rPr>
                <w:color w:val="000000"/>
                <w:sz w:val="20"/>
                <w:szCs w:val="20"/>
              </w:rPr>
            </w:pPr>
            <w:r w:rsidRPr="000B5813">
              <w:rPr>
                <w:color w:val="000000"/>
                <w:sz w:val="20"/>
                <w:szCs w:val="20"/>
              </w:rPr>
              <w:t>AUC (95 % CI)</w:t>
            </w:r>
          </w:p>
        </w:tc>
        <w:tc>
          <w:tcPr>
            <w:tcW w:w="0" w:type="auto"/>
          </w:tcPr>
          <w:p w14:paraId="406BCB39" w14:textId="77777777" w:rsidR="00765237" w:rsidRPr="000B5813" w:rsidRDefault="00765237" w:rsidP="00C070EC">
            <w:pPr>
              <w:pStyle w:val="Compact"/>
              <w:jc w:val="right"/>
              <w:rPr>
                <w:color w:val="000000"/>
                <w:sz w:val="20"/>
                <w:szCs w:val="20"/>
              </w:rPr>
            </w:pPr>
            <w:r w:rsidRPr="000B5813">
              <w:rPr>
                <w:color w:val="000000"/>
                <w:sz w:val="20"/>
                <w:szCs w:val="20"/>
              </w:rPr>
              <w:t>R</w:t>
            </w:r>
            <w:r w:rsidRPr="000B5813">
              <w:rPr>
                <w:color w:val="000000"/>
                <w:sz w:val="20"/>
                <w:szCs w:val="20"/>
                <w:vertAlign w:val="superscript"/>
              </w:rPr>
              <w:t>2</w:t>
            </w:r>
            <w:r w:rsidRPr="000B5813">
              <w:rPr>
                <w:color w:val="000000"/>
                <w:sz w:val="20"/>
                <w:szCs w:val="20"/>
              </w:rPr>
              <w:t xml:space="preserve"> (%)</w:t>
            </w:r>
          </w:p>
        </w:tc>
        <w:tc>
          <w:tcPr>
            <w:tcW w:w="0" w:type="auto"/>
          </w:tcPr>
          <w:p w14:paraId="02602606" w14:textId="77777777" w:rsidR="00765237" w:rsidRPr="000B5813" w:rsidRDefault="00765237" w:rsidP="00C070EC">
            <w:pPr>
              <w:pStyle w:val="Compact"/>
              <w:jc w:val="right"/>
              <w:rPr>
                <w:color w:val="000000"/>
                <w:sz w:val="20"/>
                <w:szCs w:val="20"/>
              </w:rPr>
            </w:pPr>
            <w:r w:rsidRPr="000B5813">
              <w:rPr>
                <w:color w:val="000000"/>
                <w:sz w:val="20"/>
                <w:szCs w:val="20"/>
              </w:rPr>
              <w:t>FNI (%)</w:t>
            </w:r>
          </w:p>
        </w:tc>
      </w:tr>
      <w:tr w:rsidR="00765237" w:rsidRPr="000B5813" w14:paraId="5E05346A" w14:textId="77777777" w:rsidTr="00765237">
        <w:tc>
          <w:tcPr>
            <w:tcW w:w="0" w:type="auto"/>
          </w:tcPr>
          <w:p w14:paraId="26167831" w14:textId="77777777" w:rsidR="00765237" w:rsidRPr="000B5813" w:rsidRDefault="00765237" w:rsidP="007C2015">
            <w:pPr>
              <w:pStyle w:val="Compact"/>
              <w:rPr>
                <w:color w:val="000000"/>
                <w:sz w:val="20"/>
                <w:szCs w:val="20"/>
              </w:rPr>
            </w:pPr>
            <w:r w:rsidRPr="000B5813">
              <w:rPr>
                <w:color w:val="000000"/>
                <w:sz w:val="20"/>
                <w:szCs w:val="20"/>
              </w:rPr>
              <w:t>Main model</w:t>
            </w:r>
          </w:p>
        </w:tc>
        <w:tc>
          <w:tcPr>
            <w:tcW w:w="0" w:type="auto"/>
          </w:tcPr>
          <w:p w14:paraId="470DBB07" w14:textId="77777777" w:rsidR="00765237" w:rsidRPr="000B5813" w:rsidRDefault="00765237" w:rsidP="00C070EC">
            <w:pPr>
              <w:pStyle w:val="Compact"/>
              <w:jc w:val="right"/>
              <w:rPr>
                <w:color w:val="000000"/>
                <w:sz w:val="20"/>
                <w:szCs w:val="20"/>
              </w:rPr>
            </w:pPr>
            <w:r w:rsidRPr="000B5813">
              <w:rPr>
                <w:color w:val="000000"/>
                <w:sz w:val="20"/>
                <w:szCs w:val="20"/>
              </w:rPr>
              <w:t>0.68 (0.67; 0.69)</w:t>
            </w:r>
          </w:p>
        </w:tc>
        <w:tc>
          <w:tcPr>
            <w:tcW w:w="0" w:type="auto"/>
          </w:tcPr>
          <w:p w14:paraId="74CCE377" w14:textId="77777777" w:rsidR="00765237" w:rsidRPr="000B5813" w:rsidRDefault="00765237" w:rsidP="00C070EC">
            <w:pPr>
              <w:pStyle w:val="Compact"/>
              <w:jc w:val="right"/>
              <w:rPr>
                <w:color w:val="000000"/>
                <w:sz w:val="20"/>
                <w:szCs w:val="20"/>
              </w:rPr>
            </w:pPr>
            <w:r w:rsidRPr="000B5813">
              <w:rPr>
                <w:color w:val="000000"/>
                <w:sz w:val="20"/>
                <w:szCs w:val="20"/>
              </w:rPr>
              <w:t>4.86</w:t>
            </w:r>
          </w:p>
        </w:tc>
        <w:tc>
          <w:tcPr>
            <w:tcW w:w="0" w:type="auto"/>
          </w:tcPr>
          <w:p w14:paraId="733F49F5" w14:textId="77777777" w:rsidR="00765237" w:rsidRPr="000B5813" w:rsidRDefault="00765237" w:rsidP="00C070EC">
            <w:pPr>
              <w:pStyle w:val="Compact"/>
              <w:jc w:val="right"/>
              <w:rPr>
                <w:color w:val="000000"/>
                <w:sz w:val="20"/>
                <w:szCs w:val="20"/>
              </w:rPr>
            </w:pPr>
            <w:r w:rsidRPr="000B5813">
              <w:rPr>
                <w:color w:val="000000"/>
                <w:sz w:val="20"/>
                <w:szCs w:val="20"/>
              </w:rPr>
              <w:t>85</w:t>
            </w:r>
          </w:p>
        </w:tc>
      </w:tr>
      <w:tr w:rsidR="00765237" w:rsidRPr="000B5813" w14:paraId="3E87472C" w14:textId="77777777" w:rsidTr="00765237">
        <w:tc>
          <w:tcPr>
            <w:tcW w:w="0" w:type="auto"/>
          </w:tcPr>
          <w:p w14:paraId="08B89C74" w14:textId="77777777" w:rsidR="00765237" w:rsidRPr="000B5813" w:rsidRDefault="00765237" w:rsidP="007C2015">
            <w:pPr>
              <w:pStyle w:val="Compact"/>
              <w:rPr>
                <w:color w:val="000000"/>
                <w:sz w:val="20"/>
                <w:szCs w:val="20"/>
              </w:rPr>
            </w:pPr>
            <w:r w:rsidRPr="000B5813">
              <w:rPr>
                <w:color w:val="000000"/>
                <w:sz w:val="20"/>
                <w:szCs w:val="20"/>
              </w:rPr>
              <w:t>Reduced model</w:t>
            </w:r>
          </w:p>
        </w:tc>
        <w:tc>
          <w:tcPr>
            <w:tcW w:w="0" w:type="auto"/>
          </w:tcPr>
          <w:p w14:paraId="2D56CEBB" w14:textId="77777777" w:rsidR="00765237" w:rsidRPr="000B5813" w:rsidRDefault="00765237" w:rsidP="00C070EC">
            <w:pPr>
              <w:pStyle w:val="Compact"/>
              <w:jc w:val="right"/>
              <w:rPr>
                <w:color w:val="000000"/>
                <w:sz w:val="20"/>
                <w:szCs w:val="20"/>
              </w:rPr>
            </w:pPr>
            <w:r w:rsidRPr="000B5813">
              <w:rPr>
                <w:color w:val="000000"/>
                <w:sz w:val="20"/>
                <w:szCs w:val="20"/>
              </w:rPr>
              <w:t>0.68 (0.66; 0.69)</w:t>
            </w:r>
          </w:p>
        </w:tc>
        <w:tc>
          <w:tcPr>
            <w:tcW w:w="0" w:type="auto"/>
          </w:tcPr>
          <w:p w14:paraId="7645A56F" w14:textId="77777777" w:rsidR="00765237" w:rsidRPr="000B5813" w:rsidRDefault="00765237" w:rsidP="00C070EC">
            <w:pPr>
              <w:pStyle w:val="Compact"/>
              <w:jc w:val="right"/>
              <w:rPr>
                <w:color w:val="000000"/>
                <w:sz w:val="20"/>
                <w:szCs w:val="20"/>
              </w:rPr>
            </w:pPr>
            <w:r w:rsidRPr="000B5813">
              <w:rPr>
                <w:color w:val="000000"/>
                <w:sz w:val="20"/>
                <w:szCs w:val="20"/>
              </w:rPr>
              <w:t>4.72</w:t>
            </w:r>
          </w:p>
        </w:tc>
        <w:tc>
          <w:tcPr>
            <w:tcW w:w="0" w:type="auto"/>
          </w:tcPr>
          <w:p w14:paraId="68E89ACB" w14:textId="77777777" w:rsidR="00765237" w:rsidRPr="000B5813" w:rsidRDefault="00765237" w:rsidP="00C070EC">
            <w:pPr>
              <w:pStyle w:val="Compact"/>
              <w:jc w:val="right"/>
              <w:rPr>
                <w:color w:val="000000"/>
                <w:sz w:val="20"/>
                <w:szCs w:val="20"/>
              </w:rPr>
            </w:pPr>
            <w:r w:rsidRPr="000B5813">
              <w:rPr>
                <w:color w:val="000000"/>
                <w:sz w:val="20"/>
                <w:szCs w:val="20"/>
              </w:rPr>
              <w:t>84</w:t>
            </w:r>
          </w:p>
        </w:tc>
      </w:tr>
      <w:tr w:rsidR="00765237" w:rsidRPr="000B5813" w14:paraId="3E66EF69" w14:textId="77777777" w:rsidTr="00765237">
        <w:tc>
          <w:tcPr>
            <w:tcW w:w="0" w:type="auto"/>
          </w:tcPr>
          <w:p w14:paraId="66C22C43" w14:textId="77777777" w:rsidR="00765237" w:rsidRPr="000B5813" w:rsidRDefault="00765237" w:rsidP="007C2015">
            <w:pPr>
              <w:pStyle w:val="Compact"/>
              <w:rPr>
                <w:color w:val="000000"/>
                <w:sz w:val="20"/>
                <w:szCs w:val="20"/>
              </w:rPr>
            </w:pPr>
            <w:r w:rsidRPr="000B5813">
              <w:rPr>
                <w:color w:val="000000"/>
                <w:sz w:val="20"/>
                <w:szCs w:val="20"/>
              </w:rPr>
              <w:t>ASA + BMI + Age + Sex</w:t>
            </w:r>
          </w:p>
        </w:tc>
        <w:tc>
          <w:tcPr>
            <w:tcW w:w="0" w:type="auto"/>
          </w:tcPr>
          <w:p w14:paraId="4228F8E8" w14:textId="77777777" w:rsidR="00765237" w:rsidRPr="000B5813" w:rsidRDefault="00765237" w:rsidP="00C070EC">
            <w:pPr>
              <w:pStyle w:val="Compact"/>
              <w:jc w:val="right"/>
              <w:rPr>
                <w:color w:val="000000"/>
                <w:sz w:val="20"/>
                <w:szCs w:val="20"/>
              </w:rPr>
            </w:pPr>
            <w:r w:rsidRPr="000B5813">
              <w:rPr>
                <w:color w:val="000000"/>
                <w:sz w:val="20"/>
                <w:szCs w:val="20"/>
              </w:rPr>
              <w:t>0.65 (0.64; 0.66)</w:t>
            </w:r>
          </w:p>
        </w:tc>
        <w:tc>
          <w:tcPr>
            <w:tcW w:w="0" w:type="auto"/>
          </w:tcPr>
          <w:p w14:paraId="38E1ABB5" w14:textId="77777777" w:rsidR="00765237" w:rsidRPr="000B5813" w:rsidRDefault="00765237" w:rsidP="00C070EC">
            <w:pPr>
              <w:pStyle w:val="Compact"/>
              <w:jc w:val="right"/>
              <w:rPr>
                <w:color w:val="000000"/>
                <w:sz w:val="20"/>
                <w:szCs w:val="20"/>
              </w:rPr>
            </w:pPr>
            <w:r w:rsidRPr="000B5813">
              <w:rPr>
                <w:color w:val="000000"/>
                <w:sz w:val="20"/>
                <w:szCs w:val="20"/>
              </w:rPr>
              <w:t>3.32</w:t>
            </w:r>
          </w:p>
        </w:tc>
        <w:tc>
          <w:tcPr>
            <w:tcW w:w="0" w:type="auto"/>
          </w:tcPr>
          <w:p w14:paraId="448506E9" w14:textId="77777777" w:rsidR="00765237" w:rsidRPr="000B5813" w:rsidRDefault="00765237" w:rsidP="00C070EC">
            <w:pPr>
              <w:pStyle w:val="Compact"/>
              <w:jc w:val="right"/>
              <w:rPr>
                <w:color w:val="000000"/>
                <w:sz w:val="20"/>
                <w:szCs w:val="20"/>
              </w:rPr>
            </w:pPr>
            <w:r w:rsidRPr="000B5813">
              <w:rPr>
                <w:color w:val="000000"/>
                <w:sz w:val="20"/>
                <w:szCs w:val="20"/>
              </w:rPr>
              <w:t>78</w:t>
            </w:r>
          </w:p>
        </w:tc>
      </w:tr>
      <w:tr w:rsidR="00765237" w:rsidRPr="000B5813" w14:paraId="70A4E1A3" w14:textId="77777777" w:rsidTr="00765237">
        <w:tc>
          <w:tcPr>
            <w:tcW w:w="0" w:type="auto"/>
          </w:tcPr>
          <w:p w14:paraId="0DFB7606" w14:textId="77777777" w:rsidR="00765237" w:rsidRPr="000B5813" w:rsidRDefault="00765237" w:rsidP="007C2015">
            <w:pPr>
              <w:pStyle w:val="Compact"/>
              <w:rPr>
                <w:color w:val="000000"/>
                <w:sz w:val="20"/>
                <w:szCs w:val="20"/>
              </w:rPr>
            </w:pPr>
            <w:r w:rsidRPr="000B5813">
              <w:rPr>
                <w:color w:val="000000"/>
                <w:sz w:val="20"/>
                <w:szCs w:val="20"/>
              </w:rPr>
              <w:t>BMI + Age + Sex</w:t>
            </w:r>
          </w:p>
        </w:tc>
        <w:tc>
          <w:tcPr>
            <w:tcW w:w="0" w:type="auto"/>
          </w:tcPr>
          <w:p w14:paraId="02EB86B8" w14:textId="77777777" w:rsidR="00765237" w:rsidRPr="000B5813" w:rsidRDefault="00765237" w:rsidP="00C070EC">
            <w:pPr>
              <w:pStyle w:val="Compact"/>
              <w:jc w:val="right"/>
              <w:rPr>
                <w:color w:val="000000"/>
                <w:sz w:val="20"/>
                <w:szCs w:val="20"/>
              </w:rPr>
            </w:pPr>
            <w:r w:rsidRPr="000B5813">
              <w:rPr>
                <w:color w:val="000000"/>
                <w:sz w:val="20"/>
                <w:szCs w:val="20"/>
              </w:rPr>
              <w:t>0.64 (0.62; 0.65)</w:t>
            </w:r>
          </w:p>
        </w:tc>
        <w:tc>
          <w:tcPr>
            <w:tcW w:w="0" w:type="auto"/>
          </w:tcPr>
          <w:p w14:paraId="209BFFB6" w14:textId="77777777" w:rsidR="00765237" w:rsidRPr="000B5813" w:rsidRDefault="00765237" w:rsidP="00C070EC">
            <w:pPr>
              <w:pStyle w:val="Compact"/>
              <w:jc w:val="right"/>
              <w:rPr>
                <w:color w:val="000000"/>
                <w:sz w:val="20"/>
                <w:szCs w:val="20"/>
              </w:rPr>
            </w:pPr>
            <w:r w:rsidRPr="000B5813">
              <w:rPr>
                <w:color w:val="000000"/>
                <w:sz w:val="20"/>
                <w:szCs w:val="20"/>
              </w:rPr>
              <w:t>2.75</w:t>
            </w:r>
          </w:p>
        </w:tc>
        <w:tc>
          <w:tcPr>
            <w:tcW w:w="0" w:type="auto"/>
          </w:tcPr>
          <w:p w14:paraId="1BADABCF" w14:textId="77777777" w:rsidR="00765237" w:rsidRPr="000B5813" w:rsidRDefault="00765237" w:rsidP="00C070EC">
            <w:pPr>
              <w:pStyle w:val="Compact"/>
              <w:jc w:val="right"/>
              <w:rPr>
                <w:color w:val="000000"/>
                <w:sz w:val="20"/>
                <w:szCs w:val="20"/>
              </w:rPr>
            </w:pPr>
            <w:r w:rsidRPr="000B5813">
              <w:rPr>
                <w:color w:val="000000"/>
                <w:sz w:val="20"/>
                <w:szCs w:val="20"/>
              </w:rPr>
              <w:t>73</w:t>
            </w:r>
          </w:p>
        </w:tc>
      </w:tr>
      <w:tr w:rsidR="00765237" w:rsidRPr="000B5813" w14:paraId="5B16FB1C" w14:textId="77777777" w:rsidTr="00765237">
        <w:tc>
          <w:tcPr>
            <w:tcW w:w="0" w:type="auto"/>
          </w:tcPr>
          <w:p w14:paraId="00712853" w14:textId="77777777" w:rsidR="00765237" w:rsidRPr="000B5813" w:rsidRDefault="00765237" w:rsidP="007C2015">
            <w:pPr>
              <w:pStyle w:val="Compact"/>
              <w:rPr>
                <w:color w:val="000000"/>
                <w:sz w:val="20"/>
                <w:szCs w:val="20"/>
              </w:rPr>
            </w:pPr>
            <w:r w:rsidRPr="000B5813">
              <w:rPr>
                <w:color w:val="000000"/>
                <w:sz w:val="20"/>
                <w:szCs w:val="20"/>
              </w:rPr>
              <w:t>ASA + Age + Sex</w:t>
            </w:r>
          </w:p>
        </w:tc>
        <w:tc>
          <w:tcPr>
            <w:tcW w:w="0" w:type="auto"/>
          </w:tcPr>
          <w:p w14:paraId="1024A03E" w14:textId="77777777" w:rsidR="00765237" w:rsidRPr="000B5813" w:rsidRDefault="00765237" w:rsidP="00C070EC">
            <w:pPr>
              <w:pStyle w:val="Compact"/>
              <w:jc w:val="right"/>
              <w:rPr>
                <w:color w:val="000000"/>
                <w:sz w:val="20"/>
                <w:szCs w:val="20"/>
              </w:rPr>
            </w:pPr>
            <w:r w:rsidRPr="000B5813">
              <w:rPr>
                <w:color w:val="000000"/>
                <w:sz w:val="20"/>
                <w:szCs w:val="20"/>
              </w:rPr>
              <w:t>0.62 (0.60; 0.63)</w:t>
            </w:r>
          </w:p>
        </w:tc>
        <w:tc>
          <w:tcPr>
            <w:tcW w:w="0" w:type="auto"/>
          </w:tcPr>
          <w:p w14:paraId="682424D1" w14:textId="77777777" w:rsidR="00765237" w:rsidRPr="000B5813" w:rsidRDefault="00765237" w:rsidP="00C070EC">
            <w:pPr>
              <w:pStyle w:val="Compact"/>
              <w:jc w:val="right"/>
              <w:rPr>
                <w:color w:val="000000"/>
                <w:sz w:val="20"/>
                <w:szCs w:val="20"/>
              </w:rPr>
            </w:pPr>
            <w:r w:rsidRPr="000B5813">
              <w:rPr>
                <w:color w:val="000000"/>
                <w:sz w:val="20"/>
                <w:szCs w:val="20"/>
              </w:rPr>
              <w:t>1.94</w:t>
            </w:r>
          </w:p>
        </w:tc>
        <w:tc>
          <w:tcPr>
            <w:tcW w:w="0" w:type="auto"/>
          </w:tcPr>
          <w:p w14:paraId="4DA55767" w14:textId="77777777" w:rsidR="00765237" w:rsidRPr="000B5813" w:rsidRDefault="00765237" w:rsidP="00C070EC">
            <w:pPr>
              <w:pStyle w:val="Compact"/>
              <w:jc w:val="right"/>
              <w:rPr>
                <w:color w:val="000000"/>
                <w:sz w:val="20"/>
                <w:szCs w:val="20"/>
              </w:rPr>
            </w:pPr>
            <w:r w:rsidRPr="000B5813">
              <w:rPr>
                <w:color w:val="000000"/>
                <w:sz w:val="20"/>
                <w:szCs w:val="20"/>
              </w:rPr>
              <w:t>62</w:t>
            </w:r>
          </w:p>
        </w:tc>
      </w:tr>
      <w:tr w:rsidR="00765237" w:rsidRPr="000B5813" w14:paraId="29DF7493" w14:textId="77777777" w:rsidTr="00765237">
        <w:tc>
          <w:tcPr>
            <w:tcW w:w="0" w:type="auto"/>
          </w:tcPr>
          <w:p w14:paraId="1BAC4235" w14:textId="77777777" w:rsidR="00765237" w:rsidRPr="000B5813" w:rsidRDefault="00765237" w:rsidP="007C2015">
            <w:pPr>
              <w:pStyle w:val="Compact"/>
              <w:rPr>
                <w:color w:val="000000"/>
                <w:sz w:val="20"/>
                <w:szCs w:val="20"/>
              </w:rPr>
            </w:pPr>
            <w:r w:rsidRPr="000B5813">
              <w:rPr>
                <w:color w:val="000000"/>
                <w:sz w:val="20"/>
                <w:szCs w:val="20"/>
              </w:rPr>
              <w:t>Elixhauser + Age + Sex</w:t>
            </w:r>
          </w:p>
        </w:tc>
        <w:tc>
          <w:tcPr>
            <w:tcW w:w="0" w:type="auto"/>
          </w:tcPr>
          <w:p w14:paraId="3A74A759" w14:textId="77777777" w:rsidR="00765237" w:rsidRPr="000B5813" w:rsidRDefault="00765237" w:rsidP="00C070EC">
            <w:pPr>
              <w:pStyle w:val="Compact"/>
              <w:jc w:val="right"/>
              <w:rPr>
                <w:color w:val="000000"/>
                <w:sz w:val="20"/>
                <w:szCs w:val="20"/>
              </w:rPr>
            </w:pPr>
            <w:r w:rsidRPr="000B5813">
              <w:rPr>
                <w:color w:val="000000"/>
                <w:sz w:val="20"/>
                <w:szCs w:val="20"/>
              </w:rPr>
              <w:t>0.61 (0.60; 0.62)</w:t>
            </w:r>
          </w:p>
        </w:tc>
        <w:tc>
          <w:tcPr>
            <w:tcW w:w="0" w:type="auto"/>
          </w:tcPr>
          <w:p w14:paraId="2844CEBC" w14:textId="77777777" w:rsidR="00765237" w:rsidRPr="000B5813" w:rsidRDefault="00765237" w:rsidP="00C070EC">
            <w:pPr>
              <w:pStyle w:val="Compact"/>
              <w:jc w:val="right"/>
              <w:rPr>
                <w:color w:val="000000"/>
                <w:sz w:val="20"/>
                <w:szCs w:val="20"/>
              </w:rPr>
            </w:pPr>
            <w:r w:rsidRPr="000B5813">
              <w:rPr>
                <w:color w:val="000000"/>
                <w:sz w:val="20"/>
                <w:szCs w:val="20"/>
              </w:rPr>
              <w:t>1.75</w:t>
            </w:r>
          </w:p>
        </w:tc>
        <w:tc>
          <w:tcPr>
            <w:tcW w:w="0" w:type="auto"/>
          </w:tcPr>
          <w:p w14:paraId="72BBCE1F" w14:textId="77777777" w:rsidR="00765237" w:rsidRPr="000B5813" w:rsidRDefault="00765237" w:rsidP="00C070EC">
            <w:pPr>
              <w:pStyle w:val="Compact"/>
              <w:jc w:val="right"/>
              <w:rPr>
                <w:color w:val="000000"/>
                <w:sz w:val="20"/>
                <w:szCs w:val="20"/>
              </w:rPr>
            </w:pPr>
            <w:r w:rsidRPr="000B5813">
              <w:rPr>
                <w:color w:val="000000"/>
                <w:sz w:val="20"/>
                <w:szCs w:val="20"/>
              </w:rPr>
              <w:t>58</w:t>
            </w:r>
          </w:p>
        </w:tc>
      </w:tr>
      <w:tr w:rsidR="00765237" w:rsidRPr="000B5813" w14:paraId="403C45EE" w14:textId="77777777" w:rsidTr="00765237">
        <w:tc>
          <w:tcPr>
            <w:tcW w:w="0" w:type="auto"/>
          </w:tcPr>
          <w:p w14:paraId="7C87E1DF" w14:textId="77777777" w:rsidR="00765237" w:rsidRPr="000B5813" w:rsidRDefault="00765237" w:rsidP="007C2015">
            <w:pPr>
              <w:pStyle w:val="Compact"/>
              <w:rPr>
                <w:color w:val="000000"/>
                <w:sz w:val="20"/>
                <w:szCs w:val="20"/>
              </w:rPr>
            </w:pPr>
            <w:r w:rsidRPr="000B5813">
              <w:rPr>
                <w:color w:val="000000"/>
                <w:sz w:val="20"/>
                <w:szCs w:val="20"/>
              </w:rPr>
              <w:t>ASA</w:t>
            </w:r>
          </w:p>
        </w:tc>
        <w:tc>
          <w:tcPr>
            <w:tcW w:w="0" w:type="auto"/>
          </w:tcPr>
          <w:p w14:paraId="03F12A3E" w14:textId="77777777" w:rsidR="00765237" w:rsidRPr="000B5813" w:rsidRDefault="00765237" w:rsidP="00C070EC">
            <w:pPr>
              <w:pStyle w:val="Compact"/>
              <w:jc w:val="right"/>
              <w:rPr>
                <w:color w:val="000000"/>
                <w:sz w:val="20"/>
                <w:szCs w:val="20"/>
              </w:rPr>
            </w:pPr>
            <w:r w:rsidRPr="000B5813">
              <w:rPr>
                <w:color w:val="000000"/>
                <w:sz w:val="20"/>
                <w:szCs w:val="20"/>
              </w:rPr>
              <w:t>0.59 (0.58; 0.60)</w:t>
            </w:r>
          </w:p>
        </w:tc>
        <w:tc>
          <w:tcPr>
            <w:tcW w:w="0" w:type="auto"/>
          </w:tcPr>
          <w:p w14:paraId="55EE344F" w14:textId="77777777" w:rsidR="00765237" w:rsidRPr="000B5813" w:rsidRDefault="00765237" w:rsidP="00C070EC">
            <w:pPr>
              <w:pStyle w:val="Compact"/>
              <w:jc w:val="right"/>
              <w:rPr>
                <w:color w:val="000000"/>
                <w:sz w:val="20"/>
                <w:szCs w:val="20"/>
              </w:rPr>
            </w:pPr>
            <w:r w:rsidRPr="000B5813">
              <w:rPr>
                <w:color w:val="000000"/>
                <w:sz w:val="20"/>
                <w:szCs w:val="20"/>
              </w:rPr>
              <w:t>1.57</w:t>
            </w:r>
          </w:p>
        </w:tc>
        <w:tc>
          <w:tcPr>
            <w:tcW w:w="0" w:type="auto"/>
          </w:tcPr>
          <w:p w14:paraId="2E59A5D9" w14:textId="77777777" w:rsidR="00765237" w:rsidRPr="000B5813" w:rsidRDefault="00765237" w:rsidP="00C070EC">
            <w:pPr>
              <w:pStyle w:val="Compact"/>
              <w:jc w:val="right"/>
              <w:rPr>
                <w:color w:val="000000"/>
                <w:sz w:val="20"/>
                <w:szCs w:val="20"/>
              </w:rPr>
            </w:pPr>
            <w:r w:rsidRPr="000B5813">
              <w:rPr>
                <w:color w:val="000000"/>
                <w:sz w:val="20"/>
                <w:szCs w:val="20"/>
              </w:rPr>
              <w:t>53</w:t>
            </w:r>
          </w:p>
        </w:tc>
      </w:tr>
      <w:tr w:rsidR="00765237" w:rsidRPr="000B5813" w14:paraId="2EAE0D67" w14:textId="77777777" w:rsidTr="00765237">
        <w:tc>
          <w:tcPr>
            <w:tcW w:w="0" w:type="auto"/>
          </w:tcPr>
          <w:p w14:paraId="63539BF7" w14:textId="77777777" w:rsidR="00765237" w:rsidRPr="000B5813" w:rsidRDefault="00765237" w:rsidP="007C2015">
            <w:pPr>
              <w:pStyle w:val="Compact"/>
              <w:rPr>
                <w:color w:val="000000"/>
                <w:sz w:val="20"/>
                <w:szCs w:val="20"/>
              </w:rPr>
            </w:pPr>
            <w:r w:rsidRPr="000B5813">
              <w:rPr>
                <w:color w:val="000000"/>
                <w:sz w:val="20"/>
                <w:szCs w:val="20"/>
              </w:rPr>
              <w:t>Elixhauser</w:t>
            </w:r>
          </w:p>
        </w:tc>
        <w:tc>
          <w:tcPr>
            <w:tcW w:w="0" w:type="auto"/>
          </w:tcPr>
          <w:p w14:paraId="19935123" w14:textId="77777777" w:rsidR="00765237" w:rsidRPr="000B5813" w:rsidRDefault="00765237" w:rsidP="00C070EC">
            <w:pPr>
              <w:pStyle w:val="Compact"/>
              <w:jc w:val="right"/>
              <w:rPr>
                <w:color w:val="000000"/>
                <w:sz w:val="20"/>
                <w:szCs w:val="20"/>
              </w:rPr>
            </w:pPr>
            <w:r w:rsidRPr="000B5813">
              <w:rPr>
                <w:color w:val="000000"/>
                <w:sz w:val="20"/>
                <w:szCs w:val="20"/>
              </w:rPr>
              <w:t>0.58 (0.57; 0.60)</w:t>
            </w:r>
          </w:p>
        </w:tc>
        <w:tc>
          <w:tcPr>
            <w:tcW w:w="0" w:type="auto"/>
          </w:tcPr>
          <w:p w14:paraId="439C6F9A" w14:textId="77777777" w:rsidR="00765237" w:rsidRPr="000B5813" w:rsidRDefault="00765237" w:rsidP="00C070EC">
            <w:pPr>
              <w:pStyle w:val="Compact"/>
              <w:jc w:val="right"/>
              <w:rPr>
                <w:color w:val="000000"/>
                <w:sz w:val="20"/>
                <w:szCs w:val="20"/>
              </w:rPr>
            </w:pPr>
            <w:r w:rsidRPr="000B5813">
              <w:rPr>
                <w:color w:val="000000"/>
                <w:sz w:val="20"/>
                <w:szCs w:val="20"/>
              </w:rPr>
              <w:t>1.29</w:t>
            </w:r>
          </w:p>
        </w:tc>
        <w:tc>
          <w:tcPr>
            <w:tcW w:w="0" w:type="auto"/>
          </w:tcPr>
          <w:p w14:paraId="63723026" w14:textId="77777777" w:rsidR="00765237" w:rsidRPr="000B5813" w:rsidRDefault="00765237" w:rsidP="00C070EC">
            <w:pPr>
              <w:pStyle w:val="Compact"/>
              <w:jc w:val="right"/>
              <w:rPr>
                <w:color w:val="000000"/>
                <w:sz w:val="20"/>
                <w:szCs w:val="20"/>
              </w:rPr>
            </w:pPr>
            <w:r w:rsidRPr="000B5813">
              <w:rPr>
                <w:color w:val="000000"/>
                <w:sz w:val="20"/>
                <w:szCs w:val="20"/>
              </w:rPr>
              <w:t>43</w:t>
            </w:r>
          </w:p>
        </w:tc>
      </w:tr>
      <w:tr w:rsidR="00765237" w:rsidRPr="000B5813" w14:paraId="4F0FE974" w14:textId="77777777" w:rsidTr="00765237">
        <w:tc>
          <w:tcPr>
            <w:tcW w:w="0" w:type="auto"/>
          </w:tcPr>
          <w:p w14:paraId="6644FBF6" w14:textId="77777777" w:rsidR="00765237" w:rsidRPr="000B5813" w:rsidRDefault="00765237" w:rsidP="007C2015">
            <w:pPr>
              <w:pStyle w:val="Compact"/>
              <w:rPr>
                <w:color w:val="000000"/>
                <w:sz w:val="20"/>
                <w:szCs w:val="20"/>
              </w:rPr>
            </w:pPr>
            <w:r w:rsidRPr="000B5813">
              <w:rPr>
                <w:color w:val="000000"/>
                <w:sz w:val="20"/>
                <w:szCs w:val="20"/>
              </w:rPr>
              <w:t>Charlson + Age + Sex</w:t>
            </w:r>
          </w:p>
        </w:tc>
        <w:tc>
          <w:tcPr>
            <w:tcW w:w="0" w:type="auto"/>
          </w:tcPr>
          <w:p w14:paraId="7F82FA82" w14:textId="77777777" w:rsidR="00765237" w:rsidRPr="000B5813" w:rsidRDefault="00765237" w:rsidP="00C070EC">
            <w:pPr>
              <w:pStyle w:val="Compact"/>
              <w:jc w:val="right"/>
              <w:rPr>
                <w:color w:val="000000"/>
                <w:sz w:val="20"/>
                <w:szCs w:val="20"/>
              </w:rPr>
            </w:pPr>
            <w:r w:rsidRPr="000B5813">
              <w:rPr>
                <w:color w:val="000000"/>
                <w:sz w:val="20"/>
                <w:szCs w:val="20"/>
              </w:rPr>
              <w:t>0.60 (0.58; 0.61)</w:t>
            </w:r>
          </w:p>
        </w:tc>
        <w:tc>
          <w:tcPr>
            <w:tcW w:w="0" w:type="auto"/>
          </w:tcPr>
          <w:p w14:paraId="5ED14DE0" w14:textId="77777777" w:rsidR="00765237" w:rsidRPr="000B5813" w:rsidRDefault="00765237" w:rsidP="00C070EC">
            <w:pPr>
              <w:pStyle w:val="Compact"/>
              <w:jc w:val="right"/>
              <w:rPr>
                <w:color w:val="000000"/>
                <w:sz w:val="20"/>
                <w:szCs w:val="20"/>
              </w:rPr>
            </w:pPr>
            <w:r w:rsidRPr="000B5813">
              <w:rPr>
                <w:color w:val="000000"/>
                <w:sz w:val="20"/>
                <w:szCs w:val="20"/>
              </w:rPr>
              <w:t>1.26</w:t>
            </w:r>
          </w:p>
        </w:tc>
        <w:tc>
          <w:tcPr>
            <w:tcW w:w="0" w:type="auto"/>
          </w:tcPr>
          <w:p w14:paraId="1EA585EF" w14:textId="77777777" w:rsidR="00765237" w:rsidRPr="000B5813" w:rsidRDefault="00765237" w:rsidP="00C070EC">
            <w:pPr>
              <w:pStyle w:val="Compact"/>
              <w:jc w:val="right"/>
              <w:rPr>
                <w:color w:val="000000"/>
                <w:sz w:val="20"/>
                <w:szCs w:val="20"/>
              </w:rPr>
            </w:pPr>
            <w:r w:rsidRPr="000B5813">
              <w:rPr>
                <w:color w:val="000000"/>
                <w:sz w:val="20"/>
                <w:szCs w:val="20"/>
              </w:rPr>
              <w:t>42</w:t>
            </w:r>
          </w:p>
        </w:tc>
      </w:tr>
      <w:tr w:rsidR="00765237" w:rsidRPr="000B5813" w14:paraId="4A73471F" w14:textId="77777777" w:rsidTr="00765237">
        <w:tc>
          <w:tcPr>
            <w:tcW w:w="0" w:type="auto"/>
          </w:tcPr>
          <w:p w14:paraId="307BF9DB" w14:textId="77777777" w:rsidR="00765237" w:rsidRPr="000B5813" w:rsidRDefault="00765237" w:rsidP="007C2015">
            <w:pPr>
              <w:pStyle w:val="Compact"/>
              <w:rPr>
                <w:color w:val="000000"/>
                <w:sz w:val="20"/>
                <w:szCs w:val="20"/>
              </w:rPr>
            </w:pPr>
            <w:r w:rsidRPr="000B5813">
              <w:rPr>
                <w:color w:val="000000"/>
                <w:sz w:val="20"/>
                <w:szCs w:val="20"/>
              </w:rPr>
              <w:t>Rx Risk</w:t>
            </w:r>
          </w:p>
        </w:tc>
        <w:tc>
          <w:tcPr>
            <w:tcW w:w="0" w:type="auto"/>
          </w:tcPr>
          <w:p w14:paraId="1F2D23EC" w14:textId="77777777" w:rsidR="00765237" w:rsidRPr="000B5813" w:rsidRDefault="00765237" w:rsidP="00C070EC">
            <w:pPr>
              <w:pStyle w:val="Compact"/>
              <w:jc w:val="right"/>
              <w:rPr>
                <w:color w:val="000000"/>
                <w:sz w:val="20"/>
                <w:szCs w:val="20"/>
              </w:rPr>
            </w:pPr>
            <w:r w:rsidRPr="000B5813">
              <w:rPr>
                <w:color w:val="000000"/>
                <w:sz w:val="20"/>
                <w:szCs w:val="20"/>
              </w:rPr>
              <w:t>0.58 (0.57; 0.59)</w:t>
            </w:r>
          </w:p>
        </w:tc>
        <w:tc>
          <w:tcPr>
            <w:tcW w:w="0" w:type="auto"/>
          </w:tcPr>
          <w:p w14:paraId="21C7D4A6" w14:textId="77777777" w:rsidR="00765237" w:rsidRPr="000B5813" w:rsidRDefault="00765237" w:rsidP="00C070EC">
            <w:pPr>
              <w:pStyle w:val="Compact"/>
              <w:jc w:val="right"/>
              <w:rPr>
                <w:color w:val="000000"/>
                <w:sz w:val="20"/>
                <w:szCs w:val="20"/>
              </w:rPr>
            </w:pPr>
            <w:r w:rsidRPr="000B5813">
              <w:rPr>
                <w:color w:val="000000"/>
                <w:sz w:val="20"/>
                <w:szCs w:val="20"/>
              </w:rPr>
              <w:t>1.03</w:t>
            </w:r>
          </w:p>
        </w:tc>
        <w:tc>
          <w:tcPr>
            <w:tcW w:w="0" w:type="auto"/>
          </w:tcPr>
          <w:p w14:paraId="0A35BBD3" w14:textId="77777777" w:rsidR="00765237" w:rsidRPr="000B5813" w:rsidRDefault="00765237" w:rsidP="00C070EC">
            <w:pPr>
              <w:pStyle w:val="Compact"/>
              <w:jc w:val="right"/>
              <w:rPr>
                <w:color w:val="000000"/>
                <w:sz w:val="20"/>
                <w:szCs w:val="20"/>
              </w:rPr>
            </w:pPr>
            <w:r w:rsidRPr="000B5813">
              <w:rPr>
                <w:color w:val="000000"/>
                <w:sz w:val="20"/>
                <w:szCs w:val="20"/>
              </w:rPr>
              <w:t>29</w:t>
            </w:r>
          </w:p>
        </w:tc>
      </w:tr>
      <w:tr w:rsidR="00765237" w:rsidRPr="000B5813" w14:paraId="33466512" w14:textId="77777777" w:rsidTr="00765237">
        <w:tc>
          <w:tcPr>
            <w:tcW w:w="0" w:type="auto"/>
          </w:tcPr>
          <w:p w14:paraId="437C5650" w14:textId="77777777" w:rsidR="00765237" w:rsidRPr="000B5813" w:rsidRDefault="00765237" w:rsidP="007C2015">
            <w:pPr>
              <w:pStyle w:val="Compact"/>
              <w:rPr>
                <w:color w:val="000000"/>
                <w:sz w:val="20"/>
                <w:szCs w:val="20"/>
              </w:rPr>
            </w:pPr>
            <w:r w:rsidRPr="000B5813">
              <w:rPr>
                <w:color w:val="000000"/>
                <w:sz w:val="20"/>
                <w:szCs w:val="20"/>
              </w:rPr>
              <w:t>Rx Risk + Age + Sex</w:t>
            </w:r>
          </w:p>
        </w:tc>
        <w:tc>
          <w:tcPr>
            <w:tcW w:w="0" w:type="auto"/>
          </w:tcPr>
          <w:p w14:paraId="1408240A" w14:textId="77777777" w:rsidR="00765237" w:rsidRPr="000B5813" w:rsidRDefault="00765237" w:rsidP="00C070EC">
            <w:pPr>
              <w:pStyle w:val="Compact"/>
              <w:jc w:val="right"/>
              <w:rPr>
                <w:color w:val="000000"/>
                <w:sz w:val="20"/>
                <w:szCs w:val="20"/>
              </w:rPr>
            </w:pPr>
            <w:r w:rsidRPr="000B5813">
              <w:rPr>
                <w:color w:val="000000"/>
                <w:sz w:val="20"/>
                <w:szCs w:val="20"/>
              </w:rPr>
              <w:t>0.58 (0.57; 0.59)</w:t>
            </w:r>
          </w:p>
        </w:tc>
        <w:tc>
          <w:tcPr>
            <w:tcW w:w="0" w:type="auto"/>
          </w:tcPr>
          <w:p w14:paraId="175B5978" w14:textId="77777777" w:rsidR="00765237" w:rsidRPr="000B5813" w:rsidRDefault="00765237" w:rsidP="00C070EC">
            <w:pPr>
              <w:pStyle w:val="Compact"/>
              <w:jc w:val="right"/>
              <w:rPr>
                <w:color w:val="000000"/>
                <w:sz w:val="20"/>
                <w:szCs w:val="20"/>
              </w:rPr>
            </w:pPr>
            <w:r w:rsidRPr="000B5813">
              <w:rPr>
                <w:color w:val="000000"/>
                <w:sz w:val="20"/>
                <w:szCs w:val="20"/>
              </w:rPr>
              <w:t>1.03</w:t>
            </w:r>
          </w:p>
        </w:tc>
        <w:tc>
          <w:tcPr>
            <w:tcW w:w="0" w:type="auto"/>
          </w:tcPr>
          <w:p w14:paraId="26840F29" w14:textId="77777777" w:rsidR="00765237" w:rsidRPr="000B5813" w:rsidRDefault="00765237" w:rsidP="00C070EC">
            <w:pPr>
              <w:pStyle w:val="Compact"/>
              <w:jc w:val="right"/>
              <w:rPr>
                <w:color w:val="000000"/>
                <w:sz w:val="20"/>
                <w:szCs w:val="20"/>
              </w:rPr>
            </w:pPr>
            <w:r w:rsidRPr="000B5813">
              <w:rPr>
                <w:color w:val="000000"/>
                <w:sz w:val="20"/>
                <w:szCs w:val="20"/>
              </w:rPr>
              <w:t>29</w:t>
            </w:r>
          </w:p>
        </w:tc>
      </w:tr>
      <w:tr w:rsidR="00765237" w:rsidRPr="000B5813" w14:paraId="4F5F24DD" w14:textId="77777777" w:rsidTr="00765237">
        <w:tc>
          <w:tcPr>
            <w:tcW w:w="0" w:type="auto"/>
          </w:tcPr>
          <w:p w14:paraId="2EA040D3" w14:textId="77777777" w:rsidR="00765237" w:rsidRPr="000B5813" w:rsidRDefault="00765237" w:rsidP="007C2015">
            <w:pPr>
              <w:pStyle w:val="Compact"/>
              <w:rPr>
                <w:color w:val="000000"/>
                <w:sz w:val="20"/>
                <w:szCs w:val="20"/>
              </w:rPr>
            </w:pPr>
            <w:r w:rsidRPr="000B5813">
              <w:rPr>
                <w:color w:val="000000"/>
                <w:sz w:val="20"/>
                <w:szCs w:val="20"/>
              </w:rPr>
              <w:t>Charlson</w:t>
            </w:r>
          </w:p>
        </w:tc>
        <w:tc>
          <w:tcPr>
            <w:tcW w:w="0" w:type="auto"/>
          </w:tcPr>
          <w:p w14:paraId="54E3BDF6" w14:textId="77777777" w:rsidR="00765237" w:rsidRPr="000B5813" w:rsidRDefault="00765237" w:rsidP="00C070EC">
            <w:pPr>
              <w:pStyle w:val="Compact"/>
              <w:jc w:val="right"/>
              <w:rPr>
                <w:color w:val="000000"/>
                <w:sz w:val="20"/>
                <w:szCs w:val="20"/>
              </w:rPr>
            </w:pPr>
            <w:r w:rsidRPr="000B5813">
              <w:rPr>
                <w:color w:val="000000"/>
                <w:sz w:val="20"/>
                <w:szCs w:val="20"/>
              </w:rPr>
              <w:t>0.56 (0.55; 0.57)</w:t>
            </w:r>
          </w:p>
        </w:tc>
        <w:tc>
          <w:tcPr>
            <w:tcW w:w="0" w:type="auto"/>
          </w:tcPr>
          <w:p w14:paraId="3FFB6201" w14:textId="77777777" w:rsidR="00765237" w:rsidRPr="000B5813" w:rsidRDefault="00765237" w:rsidP="00C070EC">
            <w:pPr>
              <w:pStyle w:val="Compact"/>
              <w:jc w:val="right"/>
              <w:rPr>
                <w:color w:val="000000"/>
                <w:sz w:val="20"/>
                <w:szCs w:val="20"/>
              </w:rPr>
            </w:pPr>
            <w:r w:rsidRPr="000B5813">
              <w:rPr>
                <w:color w:val="000000"/>
                <w:sz w:val="20"/>
                <w:szCs w:val="20"/>
              </w:rPr>
              <w:t>0.73</w:t>
            </w:r>
          </w:p>
        </w:tc>
        <w:tc>
          <w:tcPr>
            <w:tcW w:w="0" w:type="auto"/>
          </w:tcPr>
          <w:p w14:paraId="29EB9FD3" w14:textId="77777777" w:rsidR="00765237" w:rsidRPr="000B5813" w:rsidRDefault="00765237" w:rsidP="00C070EC">
            <w:pPr>
              <w:pStyle w:val="Compact"/>
              <w:jc w:val="right"/>
              <w:rPr>
                <w:color w:val="000000"/>
                <w:sz w:val="20"/>
                <w:szCs w:val="20"/>
              </w:rPr>
            </w:pPr>
            <w:r w:rsidRPr="000B5813">
              <w:rPr>
                <w:color w:val="000000"/>
                <w:sz w:val="20"/>
                <w:szCs w:val="20"/>
              </w:rPr>
              <w:t>0</w:t>
            </w:r>
          </w:p>
        </w:tc>
      </w:tr>
      <w:bookmarkEnd w:id="24"/>
      <w:bookmarkEnd w:id="26"/>
      <w:bookmarkEnd w:id="77"/>
    </w:tbl>
    <w:p w14:paraId="611B554D" w14:textId="77777777" w:rsidR="00DE515D" w:rsidRDefault="00DE515D">
      <w:pPr>
        <w:pStyle w:val="Litteraturfrteckning"/>
        <w:rPr>
          <w:color w:val="000000"/>
        </w:rPr>
      </w:pPr>
    </w:p>
    <w:p w14:paraId="2A1B2F22" w14:textId="37A8C85C" w:rsidR="00C92BCF" w:rsidRPr="000B5813" w:rsidRDefault="00C92BCF">
      <w:pPr>
        <w:pStyle w:val="Litteraturfrteckning"/>
        <w:rPr>
          <w:color w:val="000000"/>
        </w:rPr>
      </w:pPr>
      <w:r>
        <w:rPr>
          <w:color w:val="000000"/>
        </w:rPr>
        <w:t xml:space="preserve">ASA, </w:t>
      </w:r>
      <w:r w:rsidR="00DE515D" w:rsidRPr="00DE515D">
        <w:rPr>
          <w:color w:val="000000"/>
        </w:rPr>
        <w:t>American Society for Anesthesiologists</w:t>
      </w:r>
      <w:r w:rsidR="00DE515D">
        <w:rPr>
          <w:color w:val="000000"/>
        </w:rPr>
        <w:t xml:space="preserve"> classification</w:t>
      </w:r>
      <w:r>
        <w:rPr>
          <w:color w:val="000000"/>
        </w:rPr>
        <w:t>; BMI</w:t>
      </w:r>
      <w:r w:rsidR="00DE515D">
        <w:rPr>
          <w:color w:val="000000"/>
        </w:rPr>
        <w:t>, body mass index</w:t>
      </w:r>
      <w:r>
        <w:rPr>
          <w:color w:val="000000"/>
        </w:rPr>
        <w:t>; Charlson</w:t>
      </w:r>
      <w:r w:rsidR="00DE515D">
        <w:rPr>
          <w:color w:val="000000"/>
        </w:rPr>
        <w:t>, Charlson comorbidity index</w:t>
      </w:r>
      <w:r>
        <w:rPr>
          <w:color w:val="000000"/>
        </w:rPr>
        <w:t>; Elixhauser</w:t>
      </w:r>
      <w:r w:rsidR="00DE515D">
        <w:rPr>
          <w:color w:val="000000"/>
        </w:rPr>
        <w:t>, Elixhauser comorbidity index</w:t>
      </w:r>
    </w:p>
    <w:sectPr w:rsidR="00C92BCF" w:rsidRPr="000B5813" w:rsidSect="00167439">
      <w:headerReference w:type="default" r:id="rId69"/>
      <w:pgSz w:w="12240" w:h="15840"/>
      <w:pgMar w:top="1417" w:right="1417" w:bottom="1417" w:left="1417"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8" w:author="Khanapur, Soumya" w:date="2022-02-10T14:53:00Z" w:initials="KS">
    <w:p w14:paraId="7DCBD7E2" w14:textId="30174768" w:rsidR="00C47E74" w:rsidRDefault="00C47E74">
      <w:pPr>
        <w:pStyle w:val="Kommentarer"/>
      </w:pPr>
      <w:r>
        <w:rPr>
          <w:rStyle w:val="Kommentarsreferens"/>
        </w:rPr>
        <w:annotationRef/>
      </w:r>
      <w:r w:rsidRPr="00125348">
        <w:rPr>
          <w:rFonts w:cstheme="minorHAnsi"/>
        </w:rPr>
        <w:t>• Figure</w:t>
      </w:r>
      <w:r>
        <w:rPr>
          <w:rFonts w:cstheme="minorHAnsi"/>
        </w:rPr>
        <w:t xml:space="preserve"> 1- 6 </w:t>
      </w:r>
      <w:r w:rsidRPr="00125348">
        <w:rPr>
          <w:rFonts w:cstheme="minorHAnsi"/>
        </w:rPr>
        <w:t>Legends: Please ensure all abbreviations used in your figures are clarified within the relevant figure legends before resubmitting.</w:t>
      </w:r>
    </w:p>
  </w:comment>
  <w:comment w:id="83" w:author="Khanapur, Soumya" w:date="2022-02-10T14:59:00Z" w:initials="KS">
    <w:p w14:paraId="50A81A98" w14:textId="4DFEE5AC" w:rsidR="007115D2" w:rsidRDefault="007115D2">
      <w:pPr>
        <w:pStyle w:val="Kommentarer"/>
      </w:pPr>
      <w:r>
        <w:rPr>
          <w:rStyle w:val="Kommentarsreferens"/>
        </w:rPr>
        <w:annotationRef/>
      </w:r>
      <w:bookmarkStart w:id="85" w:name="_Hlk95397640"/>
      <w:r>
        <w:t>Table 1: Please reformat the text in standard</w:t>
      </w:r>
      <w:bookmarkEnd w:id="85"/>
      <w:r>
        <w:t xml:space="preserve"> text. </w:t>
      </w:r>
    </w:p>
  </w:comment>
  <w:comment w:id="84" w:author="Erik Bulow" w:date="2022-02-15T19:39:00Z" w:initials="EB">
    <w:p w14:paraId="498117A7" w14:textId="2DC7AA86" w:rsidR="008C5F4C" w:rsidRDefault="008C5F4C">
      <w:pPr>
        <w:pStyle w:val="Kommentarer"/>
      </w:pPr>
      <w:r>
        <w:rPr>
          <w:rStyle w:val="Kommentarsreferens"/>
        </w:rPr>
        <w:annotationRef/>
      </w:r>
      <w:r>
        <w:t>I interpret this as “non-italic”?</w:t>
      </w:r>
    </w:p>
  </w:comment>
  <w:comment w:id="86" w:author="Khanapur, Soumya" w:date="2022-02-10T14:58:00Z" w:initials="KS">
    <w:p w14:paraId="5F00751E" w14:textId="163118DE" w:rsidR="007115D2" w:rsidRPr="008054AD" w:rsidRDefault="007115D2" w:rsidP="007115D2">
      <w:pPr>
        <w:pStyle w:val="Punktlista"/>
      </w:pPr>
      <w:r>
        <w:rPr>
          <w:rStyle w:val="Kommentarsreferens"/>
        </w:rPr>
        <w:annotationRef/>
      </w:r>
      <w:r>
        <w:t xml:space="preserve">Table files:  </w:t>
      </w:r>
      <w:bookmarkStart w:id="87" w:name="_Hlk92973203"/>
      <w:bookmarkStart w:id="88" w:name="_Hlk92973061"/>
      <w:r>
        <w:t>Please p</w:t>
      </w:r>
      <w:r w:rsidRPr="008054AD">
        <w:t>resent table legends above each tabl</w:t>
      </w:r>
      <w:r>
        <w:t>e</w:t>
      </w:r>
      <w:r w:rsidRPr="008054AD">
        <w:t xml:space="preserve">. Table footnotes should be separate from the </w:t>
      </w:r>
      <w:proofErr w:type="gramStart"/>
      <w:r w:rsidRPr="008054AD">
        <w:t>titles, and</w:t>
      </w:r>
      <w:proofErr w:type="gramEnd"/>
      <w:r w:rsidRPr="008054AD">
        <w:t xml:space="preserve"> included beneath the table to which they apply.</w:t>
      </w:r>
      <w:bookmarkEnd w:id="87"/>
    </w:p>
    <w:bookmarkEnd w:id="88"/>
    <w:p w14:paraId="4846E7FA" w14:textId="2F99F3E4" w:rsidR="007115D2" w:rsidRDefault="007115D2">
      <w:pPr>
        <w:pStyle w:val="Kommentarer"/>
      </w:pPr>
    </w:p>
  </w:comment>
  <w:comment w:id="89" w:author="Khanapur, Soumya" w:date="2022-02-10T15:02:00Z" w:initials="KS">
    <w:p w14:paraId="45A95E71" w14:textId="77777777" w:rsidR="008C5F4C" w:rsidRDefault="008C5F4C" w:rsidP="008C5F4C">
      <w:pPr>
        <w:pStyle w:val="Kommentarer"/>
      </w:pPr>
      <w:r>
        <w:rPr>
          <w:rStyle w:val="Kommentarsreferens"/>
        </w:rPr>
        <w:annotationRef/>
      </w:r>
      <w:r>
        <w:t>Table 2: Please reformat the text in standard text.</w:t>
      </w:r>
    </w:p>
  </w:comment>
  <w:comment w:id="90" w:author="Khanapur, Soumya" w:date="2022-02-10T14:59:00Z" w:initials="KS">
    <w:p w14:paraId="27C8E7CB" w14:textId="77777777" w:rsidR="007115D2" w:rsidRPr="008054AD" w:rsidRDefault="007115D2" w:rsidP="007115D2">
      <w:pPr>
        <w:pStyle w:val="Punktlista"/>
      </w:pPr>
      <w:r>
        <w:rPr>
          <w:rStyle w:val="Kommentarsreferens"/>
        </w:rPr>
        <w:annotationRef/>
      </w:r>
      <w:r>
        <w:t>Table files:  Please p</w:t>
      </w:r>
      <w:r w:rsidRPr="008054AD">
        <w:t>resent table legends above each tabl</w:t>
      </w:r>
      <w:r>
        <w:t>e</w:t>
      </w:r>
      <w:r w:rsidRPr="008054AD">
        <w:t xml:space="preserve">. Table footnotes should be separate from the </w:t>
      </w:r>
      <w:proofErr w:type="gramStart"/>
      <w:r w:rsidRPr="008054AD">
        <w:t>titles, and</w:t>
      </w:r>
      <w:proofErr w:type="gramEnd"/>
      <w:r w:rsidRPr="008054AD">
        <w:t xml:space="preserve"> included beneath the table to which they apply.</w:t>
      </w:r>
    </w:p>
    <w:p w14:paraId="73E22764" w14:textId="617116F5" w:rsidR="007115D2" w:rsidRDefault="007115D2">
      <w:pPr>
        <w:pStyle w:val="Kommentarer"/>
      </w:pPr>
    </w:p>
  </w:comment>
  <w:comment w:id="91" w:author="Khanapur, Soumya" w:date="2022-02-10T15:02:00Z" w:initials="KS">
    <w:p w14:paraId="44D78067" w14:textId="2CD0E4BD" w:rsidR="007115D2" w:rsidRDefault="007115D2">
      <w:pPr>
        <w:pStyle w:val="Kommentarer"/>
      </w:pPr>
      <w:r>
        <w:rPr>
          <w:rStyle w:val="Kommentarsreferens"/>
        </w:rPr>
        <w:annotationRef/>
      </w:r>
      <w:r>
        <w:t>Table files:  Please p</w:t>
      </w:r>
      <w:r w:rsidRPr="008054AD">
        <w:t>resent table legends above each tabl</w:t>
      </w:r>
      <w:r>
        <w:t>e</w:t>
      </w:r>
      <w:r w:rsidRPr="008054AD">
        <w:t xml:space="preserve">. Table footnotes should be separate from the </w:t>
      </w:r>
      <w:proofErr w:type="gramStart"/>
      <w:r w:rsidRPr="008054AD">
        <w:t>titles, and</w:t>
      </w:r>
      <w:proofErr w:type="gramEnd"/>
      <w:r w:rsidRPr="008054AD">
        <w:t xml:space="preserve"> included beneath the table to which they apply.</w:t>
      </w:r>
    </w:p>
  </w:comment>
  <w:comment w:id="92" w:author="Khanapur, Soumya" w:date="2022-02-10T15:02:00Z" w:initials="KS">
    <w:p w14:paraId="6111242E" w14:textId="74E7FD3B" w:rsidR="007115D2" w:rsidRDefault="007115D2" w:rsidP="007115D2">
      <w:pPr>
        <w:pStyle w:val="Kommentarer"/>
      </w:pPr>
      <w:r>
        <w:rPr>
          <w:rStyle w:val="Kommentarsreferens"/>
        </w:rPr>
        <w:annotationRef/>
      </w:r>
      <w:r>
        <w:rPr>
          <w:rStyle w:val="Kommentarsreferens"/>
        </w:rPr>
        <w:annotationRef/>
      </w:r>
      <w:r>
        <w:t>Table 4: Please reformat the text in standard text.</w:t>
      </w:r>
    </w:p>
    <w:p w14:paraId="2C91F550" w14:textId="69A5F05F" w:rsidR="007115D2" w:rsidRDefault="007115D2">
      <w:pPr>
        <w:pStyle w:val="Kommentare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CBD7E2" w15:done="1"/>
  <w15:commentEx w15:paraId="50A81A98" w15:done="1"/>
  <w15:commentEx w15:paraId="498117A7" w15:paraIdParent="50A81A98" w15:done="1"/>
  <w15:commentEx w15:paraId="4846E7FA" w15:done="1"/>
  <w15:commentEx w15:paraId="45A95E71" w15:done="1"/>
  <w15:commentEx w15:paraId="73E22764" w15:done="1"/>
  <w15:commentEx w15:paraId="44D78067" w15:done="1"/>
  <w15:commentEx w15:paraId="2C91F55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A580" w16cex:dateUtc="2022-02-10T01:53:00Z"/>
  <w16cex:commentExtensible w16cex:durableId="25AFA6EB" w16cex:dateUtc="2022-02-10T01:59:00Z"/>
  <w16cex:commentExtensible w16cex:durableId="25B67FE2" w16cex:dateUtc="2022-02-15T18:39:00Z"/>
  <w16cex:commentExtensible w16cex:durableId="25AFA69D" w16cex:dateUtc="2022-02-10T01:58:00Z"/>
  <w16cex:commentExtensible w16cex:durableId="25AFA77D" w16cex:dateUtc="2022-02-10T02:02:00Z"/>
  <w16cex:commentExtensible w16cex:durableId="25AFA6D3" w16cex:dateUtc="2022-02-10T01:59:00Z"/>
  <w16cex:commentExtensible w16cex:durableId="25AFA792" w16cex:dateUtc="2022-02-10T02:02:00Z"/>
  <w16cex:commentExtensible w16cex:durableId="25AFA7A3" w16cex:dateUtc="2022-02-1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CBD7E2" w16cid:durableId="25AFA580"/>
  <w16cid:commentId w16cid:paraId="50A81A98" w16cid:durableId="25AFA6EB"/>
  <w16cid:commentId w16cid:paraId="498117A7" w16cid:durableId="25B67FE2"/>
  <w16cid:commentId w16cid:paraId="4846E7FA" w16cid:durableId="25AFA69D"/>
  <w16cid:commentId w16cid:paraId="45A95E71" w16cid:durableId="25AFA77D"/>
  <w16cid:commentId w16cid:paraId="73E22764" w16cid:durableId="25AFA6D3"/>
  <w16cid:commentId w16cid:paraId="44D78067" w16cid:durableId="25AFA792"/>
  <w16cid:commentId w16cid:paraId="2C91F550" w16cid:durableId="25AFA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FB70A" w14:textId="77777777" w:rsidR="00ED7654" w:rsidRDefault="00ED7654">
      <w:pPr>
        <w:spacing w:after="0"/>
      </w:pPr>
      <w:r>
        <w:separator/>
      </w:r>
    </w:p>
  </w:endnote>
  <w:endnote w:type="continuationSeparator" w:id="0">
    <w:p w14:paraId="0E3E15C0" w14:textId="77777777" w:rsidR="00ED7654" w:rsidRDefault="00ED76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2CA1D" w14:textId="77777777" w:rsidR="00ED7654" w:rsidRDefault="00ED7654">
      <w:r>
        <w:separator/>
      </w:r>
    </w:p>
  </w:footnote>
  <w:footnote w:type="continuationSeparator" w:id="0">
    <w:p w14:paraId="63931372" w14:textId="77777777" w:rsidR="00ED7654" w:rsidRDefault="00ED7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5B1040CE" w14:textId="77777777" w:rsidR="00A5728A" w:rsidRDefault="00FD60FF">
        <w:pPr>
          <w:pStyle w:val="Sidhuvud"/>
          <w:jc w:val="right"/>
        </w:pPr>
        <w:r>
          <w:rPr>
            <w:lang w:val="sv-SE"/>
          </w:rPr>
          <w:t xml:space="preserve">Sida </w:t>
        </w:r>
        <w:r>
          <w:rPr>
            <w:b/>
            <w:bCs/>
          </w:rPr>
          <w:fldChar w:fldCharType="begin"/>
        </w:r>
        <w:r>
          <w:rPr>
            <w:b/>
            <w:bCs/>
          </w:rPr>
          <w:instrText>PAGE</w:instrText>
        </w:r>
        <w:r>
          <w:rPr>
            <w:b/>
            <w:bCs/>
          </w:rPr>
          <w:fldChar w:fldCharType="separate"/>
        </w:r>
        <w:r>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Pr>
            <w:b/>
            <w:bCs/>
            <w:noProof/>
          </w:rPr>
          <w:t>26</w:t>
        </w:r>
        <w:r>
          <w:rPr>
            <w:b/>
            <w:bCs/>
          </w:rPr>
          <w:fldChar w:fldCharType="end"/>
        </w:r>
      </w:p>
    </w:sdtContent>
  </w:sdt>
  <w:p w14:paraId="199302DE" w14:textId="77777777" w:rsidR="00A5728A" w:rsidRDefault="00ED7654">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89"/>
    <w:multiLevelType w:val="singleLevel"/>
    <w:tmpl w:val="673CF3BA"/>
    <w:lvl w:ilvl="0">
      <w:start w:val="1"/>
      <w:numFmt w:val="bullet"/>
      <w:pStyle w:val="Punktlista"/>
      <w:lvlText w:val=""/>
      <w:lvlJc w:val="left"/>
      <w:pPr>
        <w:tabs>
          <w:tab w:val="num" w:pos="360"/>
        </w:tabs>
        <w:ind w:left="360" w:hanging="360"/>
      </w:pPr>
      <w:rPr>
        <w:rFonts w:ascii="Symbol" w:hAnsi="Symbol" w:hint="default"/>
      </w:rPr>
    </w:lvl>
  </w:abstractNum>
  <w:abstractNum w:abstractNumId="2" w15:restartNumberingAfterBreak="0">
    <w:nsid w:val="0000A990"/>
    <w:multiLevelType w:val="multilevel"/>
    <w:tmpl w:val="ECF64E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000A991"/>
    <w:multiLevelType w:val="multilevel"/>
    <w:tmpl w:val="6BD433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00A99411"/>
    <w:multiLevelType w:val="multilevel"/>
    <w:tmpl w:val="1338D2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71315DCA"/>
    <w:multiLevelType w:val="multilevel"/>
    <w:tmpl w:val="A89AA3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5"/>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7"/>
  </w:num>
  <w:num w:numId="10">
    <w:abstractNumId w:val="7"/>
  </w:num>
  <w:num w:numId="11">
    <w:abstractNumId w:val="6"/>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7"/>
  </w:num>
  <w:num w:numId="15">
    <w:abstractNumId w:val="7"/>
  </w:num>
  <w:num w:numId="16">
    <w:abstractNumId w:val="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napur, Soumya">
    <w15:presenceInfo w15:providerId="None" w15:userId="Khanapur, Soumya"/>
  </w15:person>
  <w15:person w15:author="Erik Bulow">
    <w15:presenceInfo w15:providerId="None" w15:userId="Erik Bul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NotTrackFormatting/>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0NrAwtjQ0NzE3NjRS0lEKTi0uzszPAykwrAUAE27M7SwAAAA="/>
  </w:docVars>
  <w:rsids>
    <w:rsidRoot w:val="00363BBD"/>
    <w:rsid w:val="000B5813"/>
    <w:rsid w:val="00131BE4"/>
    <w:rsid w:val="00346C73"/>
    <w:rsid w:val="00363BBD"/>
    <w:rsid w:val="007115D2"/>
    <w:rsid w:val="00765237"/>
    <w:rsid w:val="008C5F4C"/>
    <w:rsid w:val="0093426D"/>
    <w:rsid w:val="00AD6C79"/>
    <w:rsid w:val="00C070EC"/>
    <w:rsid w:val="00C47E74"/>
    <w:rsid w:val="00C92BCF"/>
    <w:rsid w:val="00D023B0"/>
    <w:rsid w:val="00DE515D"/>
    <w:rsid w:val="00ED7654"/>
    <w:rsid w:val="00FA154B"/>
    <w:rsid w:val="00FD60FF"/>
    <w:rsid w:val="00FE79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591E"/>
  <w15:docId w15:val="{FBB29388-FA8E-4F60-A69D-54A4342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link w:val="Rubrik1Char"/>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 w:type="table" w:styleId="Tabellrutnt">
    <w:name w:val="Table Grid"/>
    <w:basedOn w:val="Normaltabell"/>
    <w:rsid w:val="000E58E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rsid w:val="0076523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ubrik1Char">
    <w:name w:val="Rubrik 1 Char"/>
    <w:basedOn w:val="Standardstycketeckensnitt"/>
    <w:link w:val="Rubrik1"/>
    <w:uiPriority w:val="9"/>
    <w:rsid w:val="00C070EC"/>
    <w:rPr>
      <w:rFonts w:asciiTheme="majorHAnsi" w:eastAsiaTheme="majorEastAsia" w:hAnsiTheme="majorHAnsi" w:cstheme="majorBidi"/>
      <w:b/>
      <w:bCs/>
      <w:sz w:val="32"/>
      <w:szCs w:val="32"/>
    </w:rPr>
  </w:style>
  <w:style w:type="paragraph" w:styleId="Kommentarer">
    <w:name w:val="annotation text"/>
    <w:basedOn w:val="Normal"/>
    <w:link w:val="KommentarerChar"/>
    <w:semiHidden/>
    <w:unhideWhenUsed/>
    <w:rsid w:val="000B5813"/>
    <w:rPr>
      <w:sz w:val="20"/>
      <w:szCs w:val="20"/>
    </w:rPr>
  </w:style>
  <w:style w:type="character" w:customStyle="1" w:styleId="KommentarerChar">
    <w:name w:val="Kommentarer Char"/>
    <w:basedOn w:val="Standardstycketeckensnitt"/>
    <w:link w:val="Kommentarer"/>
    <w:semiHidden/>
    <w:rsid w:val="000B5813"/>
    <w:rPr>
      <w:sz w:val="20"/>
      <w:szCs w:val="20"/>
    </w:rPr>
  </w:style>
  <w:style w:type="character" w:styleId="Kommentarsreferens">
    <w:name w:val="annotation reference"/>
    <w:basedOn w:val="Standardstycketeckensnitt"/>
    <w:semiHidden/>
    <w:unhideWhenUsed/>
    <w:rsid w:val="00AD6C79"/>
    <w:rPr>
      <w:sz w:val="16"/>
      <w:szCs w:val="16"/>
    </w:rPr>
  </w:style>
  <w:style w:type="paragraph" w:styleId="Kommentarsmne">
    <w:name w:val="annotation subject"/>
    <w:basedOn w:val="Kommentarer"/>
    <w:next w:val="Kommentarer"/>
    <w:link w:val="KommentarsmneChar"/>
    <w:semiHidden/>
    <w:unhideWhenUsed/>
    <w:rsid w:val="00AD6C79"/>
    <w:rPr>
      <w:b/>
      <w:bCs/>
    </w:rPr>
  </w:style>
  <w:style w:type="character" w:customStyle="1" w:styleId="KommentarsmneChar">
    <w:name w:val="Kommentarsämne Char"/>
    <w:basedOn w:val="KommentarerChar"/>
    <w:link w:val="Kommentarsmne"/>
    <w:semiHidden/>
    <w:rsid w:val="00AD6C79"/>
    <w:rPr>
      <w:b/>
      <w:bCs/>
      <w:sz w:val="20"/>
      <w:szCs w:val="20"/>
    </w:rPr>
  </w:style>
  <w:style w:type="paragraph" w:styleId="Punktlista">
    <w:name w:val="List Bullet"/>
    <w:basedOn w:val="Normal"/>
    <w:uiPriority w:val="99"/>
    <w:unhideWhenUsed/>
    <w:rsid w:val="007115D2"/>
    <w:pPr>
      <w:numPr>
        <w:numId w:val="19"/>
      </w:numPr>
      <w:spacing w:after="160" w:line="259" w:lineRule="auto"/>
      <w:contextualSpacing/>
    </w:pPr>
    <w:rPr>
      <w:sz w:val="22"/>
      <w:szCs w:val="22"/>
      <w:lang w:val="en-NZ"/>
    </w:rPr>
  </w:style>
  <w:style w:type="paragraph" w:styleId="Liststycke">
    <w:name w:val="List Paragraph"/>
    <w:basedOn w:val="Normal"/>
    <w:rsid w:val="00C92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7812/TPP/20.013" TargetMode="External"/><Relationship Id="rId21" Type="http://schemas.openxmlformats.org/officeDocument/2006/relationships/hyperlink" Target="https://doi.org/10.1302/0301-620X.92B7.24461" TargetMode="External"/><Relationship Id="rId42" Type="http://schemas.openxmlformats.org/officeDocument/2006/relationships/hyperlink" Target="https://doi.org/10.1136/bmjopen-2017-021122" TargetMode="External"/><Relationship Id="rId47" Type="http://schemas.openxmlformats.org/officeDocument/2006/relationships/hyperlink" Target="https://doi.org/10.1007/s11999-013-2923-9" TargetMode="External"/><Relationship Id="rId63" Type="http://schemas.openxmlformats.org/officeDocument/2006/relationships/hyperlink" Target="https://doi.org/10.1007/s11999-008-0209-4" TargetMode="External"/><Relationship Id="rId68" Type="http://schemas.microsoft.com/office/2018/08/relationships/commentsExtensible" Target="commentsExtensible.xml"/><Relationship Id="rId7" Type="http://schemas.openxmlformats.org/officeDocument/2006/relationships/hyperlink" Target="mailto:erik.bulow@gu.se" TargetMode="External"/><Relationship Id="rId71"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07/978-3-319-30091-7_1" TargetMode="External"/><Relationship Id="rId29" Type="http://schemas.openxmlformats.org/officeDocument/2006/relationships/hyperlink" Target="https://doi.org/10.1097/CORR.0000000000001389" TargetMode="External"/><Relationship Id="rId11" Type="http://schemas.openxmlformats.org/officeDocument/2006/relationships/hyperlink" Target="https://registercentrum.se/vara-tjaenster/datauttag/p/B1eeV66QE" TargetMode="External"/><Relationship Id="rId24" Type="http://schemas.openxmlformats.org/officeDocument/2006/relationships/hyperlink" Target="https://doi.org/10.2106/JBJS.M.01363" TargetMode="External"/><Relationship Id="rId32" Type="http://schemas.openxmlformats.org/officeDocument/2006/relationships/hyperlink" Target="https://doi.org/10.1007/s11999-012-2605-z" TargetMode="External"/><Relationship Id="rId37" Type="http://schemas.openxmlformats.org/officeDocument/2006/relationships/hyperlink" Target="https://doi.org/10.2147/CLEP.S99498" TargetMode="External"/><Relationship Id="rId40" Type="http://schemas.openxmlformats.org/officeDocument/2006/relationships/hyperlink" Target="https://doi.org/10.1302/0301-620X.103B3.BJJ-2020-1249.R1" TargetMode="External"/><Relationship Id="rId45" Type="http://schemas.openxmlformats.org/officeDocument/2006/relationships/hyperlink" Target="https://doi.org/10.21105/joss.02916" TargetMode="External"/><Relationship Id="rId53" Type="http://schemas.openxmlformats.org/officeDocument/2006/relationships/hyperlink" Target="https://doi.org/10.1016/j.arth.2011.09.013" TargetMode="External"/><Relationship Id="rId58" Type="http://schemas.openxmlformats.org/officeDocument/2006/relationships/hyperlink" Target="https://doi.org/10.1086/666641" TargetMode="External"/><Relationship Id="rId66" Type="http://schemas.microsoft.com/office/2011/relationships/commentsExtended" Target="commentsExtended.xml"/><Relationship Id="rId5" Type="http://schemas.openxmlformats.org/officeDocument/2006/relationships/footnotes" Target="footnotes.xml"/><Relationship Id="rId61" Type="http://schemas.openxmlformats.org/officeDocument/2006/relationships/hyperlink" Target="https://doi.org/10.1080/17453674.2019.1594015" TargetMode="External"/><Relationship Id="rId19" Type="http://schemas.openxmlformats.org/officeDocument/2006/relationships/hyperlink" Target="https://doi.org/10.1016/j.arth.2009.05.016" TargetMode="External"/><Relationship Id="rId14" Type="http://schemas.openxmlformats.org/officeDocument/2006/relationships/hyperlink" Target="https://doi.org/10.1016/S0140-6736(14)61798-0" TargetMode="External"/><Relationship Id="rId22" Type="http://schemas.openxmlformats.org/officeDocument/2006/relationships/hyperlink" Target="https://doi.org/10.2106/JBJS.K.00072" TargetMode="External"/><Relationship Id="rId27" Type="http://schemas.openxmlformats.org/officeDocument/2006/relationships/hyperlink" Target="https://doi.org/10.1186/s12891-021-04647-1" TargetMode="External"/><Relationship Id="rId30" Type="http://schemas.openxmlformats.org/officeDocument/2006/relationships/hyperlink" Target="https://doi.org/10.1016/j.arth.2015.01.057" TargetMode="External"/><Relationship Id="rId35" Type="http://schemas.openxmlformats.org/officeDocument/2006/relationships/hyperlink" Target="https://doi.org/10.1097/CORR.0000000000001210" TargetMode="External"/><Relationship Id="rId43" Type="http://schemas.openxmlformats.org/officeDocument/2006/relationships/hyperlink" Target="https://doi.org/10.1002/sim.6744" TargetMode="External"/><Relationship Id="rId48" Type="http://schemas.openxmlformats.org/officeDocument/2006/relationships/hyperlink" Target="https://doi.org/10.1016/j.arth.2012.06.027" TargetMode="External"/><Relationship Id="rId56" Type="http://schemas.openxmlformats.org/officeDocument/2006/relationships/hyperlink" Target="https://doi.org/10.1016/j.arth.2015.05.027" TargetMode="External"/><Relationship Id="rId64" Type="http://schemas.openxmlformats.org/officeDocument/2006/relationships/hyperlink" Target="https://doi.org/10.1080/00031305.2021.2023633" TargetMode="External"/><Relationship Id="rId69" Type="http://schemas.openxmlformats.org/officeDocument/2006/relationships/header" Target="header1.xml"/><Relationship Id="rId8" Type="http://schemas.openxmlformats.org/officeDocument/2006/relationships/hyperlink" Target="https://erikbulow.shinyapps.io/thamortpred/" TargetMode="External"/><Relationship Id="rId51" Type="http://schemas.openxmlformats.org/officeDocument/2006/relationships/hyperlink" Target="https://doi.org/10.1302/0301-620X.94B10.29184"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icmje.org/downloads/coi_disclosure.docx" TargetMode="External"/><Relationship Id="rId17" Type="http://schemas.openxmlformats.org/officeDocument/2006/relationships/hyperlink" Target="https://doi.org/10.1302/0301-620X.87B6.15121" TargetMode="External"/><Relationship Id="rId25" Type="http://schemas.openxmlformats.org/officeDocument/2006/relationships/hyperlink" Target="https://doi.org/10.1007/s11999-014-3780-x" TargetMode="External"/><Relationship Id="rId33" Type="http://schemas.openxmlformats.org/officeDocument/2006/relationships/hyperlink" Target="https://doi.org/10.1016/j.arth.2015.05.004" TargetMode="External"/><Relationship Id="rId38" Type="http://schemas.openxmlformats.org/officeDocument/2006/relationships/hyperlink" Target="https://doi.org/10.2147/CLEP.S91125" TargetMode="External"/><Relationship Id="rId46" Type="http://schemas.openxmlformats.org/officeDocument/2006/relationships/hyperlink" Target="https://doi.org/10.1097/CORR.0000000000001117" TargetMode="External"/><Relationship Id="rId59" Type="http://schemas.openxmlformats.org/officeDocument/2006/relationships/hyperlink" Target="https://doi.org/10.3109/17453674.2010.519908" TargetMode="External"/><Relationship Id="rId67" Type="http://schemas.microsoft.com/office/2016/09/relationships/commentsIds" Target="commentsIds.xml"/><Relationship Id="rId20" Type="http://schemas.openxmlformats.org/officeDocument/2006/relationships/hyperlink" Target="https://doi.org/10.1016/j.arth.2009.04.027" TargetMode="External"/><Relationship Id="rId41" Type="http://schemas.openxmlformats.org/officeDocument/2006/relationships/hyperlink" Target="https://doi.org/10.1177/1403494810394717" TargetMode="External"/><Relationship Id="rId54" Type="http://schemas.openxmlformats.org/officeDocument/2006/relationships/hyperlink" Target="https://doi.org/10.1186/ar3087" TargetMode="External"/><Relationship Id="rId62" Type="http://schemas.openxmlformats.org/officeDocument/2006/relationships/hyperlink" Target="https://doi.org/10.3109/17453674.2014.961397"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arth.2018.09.045" TargetMode="External"/><Relationship Id="rId23" Type="http://schemas.openxmlformats.org/officeDocument/2006/relationships/hyperlink" Target="https://doi.org/10.2106/JBJS.J.01935" TargetMode="External"/><Relationship Id="rId28" Type="http://schemas.openxmlformats.org/officeDocument/2006/relationships/hyperlink" Target="https://doi.org/10.1007/s00167-018-5231-9" TargetMode="External"/><Relationship Id="rId36" Type="http://schemas.openxmlformats.org/officeDocument/2006/relationships/hyperlink" Target="https://doi.org/10.1007/s10654-014-9930-3" TargetMode="External"/><Relationship Id="rId49" Type="http://schemas.openxmlformats.org/officeDocument/2006/relationships/hyperlink" Target="https://doi.org/10.2106/JBJS.16.01435" TargetMode="External"/><Relationship Id="rId57" Type="http://schemas.openxmlformats.org/officeDocument/2006/relationships/hyperlink" Target="https://doi.org/10.1302/0301-620X.92B8.24333" TargetMode="External"/><Relationship Id="rId10" Type="http://schemas.openxmlformats.org/officeDocument/2006/relationships/hyperlink" Target="https://doi.org/10.5281/zenodo.5914599" TargetMode="External"/><Relationship Id="rId31" Type="http://schemas.openxmlformats.org/officeDocument/2006/relationships/hyperlink" Target="https://doi.org/10.1007/s11999-016-4717-3" TargetMode="External"/><Relationship Id="rId44" Type="http://schemas.openxmlformats.org/officeDocument/2006/relationships/hyperlink" Target="https://www.fharrell.com/post/addvalue/" TargetMode="External"/><Relationship Id="rId52" Type="http://schemas.openxmlformats.org/officeDocument/2006/relationships/hyperlink" Target="https://doi.org/10.1177/193229681100500231" TargetMode="External"/><Relationship Id="rId60" Type="http://schemas.openxmlformats.org/officeDocument/2006/relationships/hyperlink" Target="https://doi.org/10.3109/17453674.2012.733918" TargetMode="External"/><Relationship Id="rId6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erikbulow.shinyapps.io/thamortpred/" TargetMode="External"/><Relationship Id="rId13" Type="http://schemas.openxmlformats.org/officeDocument/2006/relationships/hyperlink" Target="https://doi.org/10.1016/j.berh.2006.08.003" TargetMode="External"/><Relationship Id="rId18" Type="http://schemas.openxmlformats.org/officeDocument/2006/relationships/hyperlink" Target="https://doi.org/10.1016/j.arth.2006.09.002" TargetMode="External"/><Relationship Id="rId39" Type="http://schemas.openxmlformats.org/officeDocument/2006/relationships/hyperlink" Target="https://www.dst.dk/en/TilSalg/Forskningsservice" TargetMode="External"/><Relationship Id="rId34" Type="http://schemas.openxmlformats.org/officeDocument/2006/relationships/hyperlink" Target="https://doi.org/10.1186/s12891-016-1262-x" TargetMode="External"/><Relationship Id="rId50" Type="http://schemas.openxmlformats.org/officeDocument/2006/relationships/hyperlink" Target="https://doi.org/10.1186/s12891-015-0835-4" TargetMode="External"/><Relationship Id="rId55" Type="http://schemas.openxmlformats.org/officeDocument/2006/relationships/hyperlink" Target="https://doi.org/10.3109/s10165-011-042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7202</Words>
  <Characters>38171</Characters>
  <Application>Microsoft Office Word</Application>
  <DocSecurity>0</DocSecurity>
  <Lines>318</Lines>
  <Paragraphs>90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Prediction of Early Periprosthetic Joint Infection after Total Hip Arthroplasty</vt:lpstr>
      <vt:lpstr>Prediction of Early Periprosthetic Joint Infection after Total Hip Arthroplasty</vt:lpstr>
    </vt:vector>
  </TitlesOfParts>
  <Company>Registercentrum</Company>
  <LinksUpToDate>false</LinksUpToDate>
  <CharactersWithSpaces>45283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Early Periprosthetic Joint Infection after Total Hip Arthroplasty</dc:title>
  <dc:creator>Erik Bülow,1,2 Ute Hahn,3,4 Ina Trolle Andersen,3 Ola Rolfson,1,2 Alma B. Pedersen,3,5 Nils P. Hailer6</dc:creator>
  <cp:keywords/>
  <cp:lastModifiedBy>Erik Bulow</cp:lastModifiedBy>
  <cp:revision>2</cp:revision>
  <dcterms:created xsi:type="dcterms:W3CDTF">2022-02-15T19:40:00Z</dcterms:created>
  <dcterms:modified xsi:type="dcterms:W3CDTF">2022-02-15T19:40:00Z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clinep.csl</vt:lpwstr>
  </property>
  <property fmtid="{D5CDD505-2E9C-101B-9397-08002B2CF9AE}" pid="4" name="date">
    <vt:lpwstr>2022-01-28</vt:lpwstr>
  </property>
  <property fmtid="{D5CDD505-2E9C-101B-9397-08002B2CF9AE}" pid="5" name="output">
    <vt:lpwstr/>
  </property>
</Properties>
</file>