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57.png" ContentType="image/png"/>
  <Override PartName="/word/media/rId61.png" ContentType="image/png"/>
  <Override PartName="/word/media/rId53.png" ContentType="image/png"/>
  <Override PartName="/word/media/rId55.png" ContentType="image/png"/>
  <Override PartName="/word/media/rId59.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Bülow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5,6</w:t>
      </w:r>
      <w:r>
        <w:t xml:space="preserve">,</w:t>
      </w:r>
      <w:r>
        <w:t xml:space="preserve"> </w:t>
      </w:r>
      <w:r>
        <w:t xml:space="preserve">J.</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2020-05-23</w:t>
      </w:r>
    </w:p>
    <w:p>
      <w:pPr>
        <w:pStyle w:val="Heading1"/>
      </w:pPr>
      <w:bookmarkStart w:id="20" w:name="affiliation-and-contact"/>
      <w:r>
        <w:t xml:space="preserve">Affiliation and contact</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FirstParagraph"/>
      </w:pPr>
      <w:r>
        <w:rPr>
          <w:rStyle w:val="VerbatimChar"/>
        </w:rPr>
        <w:t xml:space="preserve">*</w:t>
      </w:r>
      <w:r>
        <w:t xml:space="preserve"> </w:t>
      </w:r>
      <w:r>
        <w:t xml:space="preserve">Authors contributed equally.</w:t>
      </w:r>
    </w:p>
    <w:p>
      <w:pPr>
        <w:pStyle w:val="BodyText"/>
      </w:pPr>
      <w:r>
        <w:rPr>
          <w:b/>
        </w:rPr>
        <w:t xml:space="preserve">Correspondence:</w:t>
      </w:r>
      <w:r>
        <w:t xml:space="preserve"> </w:t>
      </w:r>
      <w:hyperlink r:id="rId21">
        <w:r>
          <w:rPr>
            <w:rStyle w:val="Hyperlink"/>
          </w:rPr>
          <w:t xml:space="preserve">erik.bulow@gu.se</w:t>
        </w:r>
      </w:hyperlink>
      <w:r>
        <w:t xml:space="preserve">.</w:t>
      </w:r>
      <w:r>
        <w:t xml:space="preserve"> </w:t>
      </w:r>
      <w:r>
        <w:t xml:space="preserve">Postal: Svenska Höftprotesregistret, Registercentrum Västra Götaland, SE-413 45, Sweden</w:t>
      </w:r>
    </w:p>
    <w:p>
      <w:pPr>
        <w:pStyle w:val="Heading1"/>
      </w:pPr>
      <w:bookmarkStart w:id="22" w:name="abstract"/>
      <w:r>
        <w:t xml:space="preserve">Abstract</w:t>
      </w:r>
      <w:bookmarkEnd w:id="22"/>
    </w:p>
    <w:p>
      <w:pPr>
        <w:pStyle w:val="Heading1"/>
      </w:pPr>
      <w:bookmarkStart w:id="23" w:name="abstract-1"/>
      <w:r>
        <w:t xml:space="preserve">Abstract</w:t>
      </w:r>
      <w:bookmarkEnd w:id="23"/>
    </w:p>
    <w:p>
      <w:pPr>
        <w:pStyle w:val="FirstParagraph"/>
      </w:pPr>
      <w:r>
        <w:rPr>
          <w:b/>
        </w:rPr>
        <w:t xml:space="preserve">Background:</w:t>
      </w:r>
      <w:r>
        <w:t xml:space="preserve"> </w:t>
      </w:r>
      <w:r>
        <w:t xml:space="preserve">Shared individualized decision making prior to total hip arthroplasty (THA) includes discussions of the risk of mortality. However, diagnosis code-based instruments such as the Charlson co-morbidity index are impossible to use in clinical practice, and the American Society for Anesthesiologists (ASA) class is imprecise. We thus developed a simple model to predict 90-day mortality after elective THA.</w:t>
      </w:r>
    </w:p>
    <w:p>
      <w:pPr>
        <w:pStyle w:val="BodyText"/>
      </w:pPr>
      <w:r>
        <w:rPr>
          <w:b/>
        </w:rPr>
        <w:t xml:space="preserve">Methods:</w:t>
      </w:r>
      <w:r>
        <w:t xml:space="preserve"> </w:t>
      </w:r>
      <w:r>
        <w:t xml:space="preserve">We performed a prospective multi-national population-based registry study. 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Results:</w:t>
      </w:r>
      <w:r>
        <w:t xml:space="preserve"> </w:t>
      </w:r>
      <w:r>
        <w:t xml:space="preserve">We propose a parsimonious main effects model combining age, sex, American Society for Anesthesiologists (ASA) class, the presence of cancer, diseases of the central nervous system, kidney disease, and obesity. The model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Conclusions:</w:t>
      </w:r>
      <w:r>
        <w:t xml:space="preserve"> </w:t>
      </w:r>
      <w:r>
        <w:t xml:space="preserve">We developed a parsimonious model to predict 90-day mortality after elective cemented THA based on easily available demographic data and the presence of four defined co-morbidities. This may facilitate individualized risk assessment prior to one of the most common surgical interventions. We published a web-calculator to aid clinical decision-making (</w:t>
      </w:r>
      <w:hyperlink r:id="rId24">
        <w:r>
          <w:rPr>
            <w:rStyle w:val="Hyperlink"/>
          </w:rPr>
          <w:t xml:space="preserve">https://shpr.registercentrum.se/om-registret-1/forskning/prediktion-av-90-dagarsmortalitet/p/SkyeTsTFB</w:t>
        </w:r>
      </w:hyperlink>
      <w:r>
        <w:t xml:space="preserve">).</w:t>
      </w:r>
    </w:p>
    <w:p>
      <w:pPr>
        <w:pStyle w:val="BodyText"/>
      </w:pPr>
      <w:r>
        <w:rPr>
          <w:b/>
        </w:rPr>
        <w:t xml:space="preserve">Keywords:</w:t>
      </w:r>
      <w:r>
        <w:t xml:space="preserve"> </w:t>
      </w:r>
      <w:r>
        <w:t xml:space="preserve">total hip arthroplasty, prediction model, orthopaedics, epidemiology, web calculator, validation.</w:t>
      </w:r>
    </w:p>
    <w:p>
      <w:pPr>
        <w:pStyle w:val="Heading1"/>
      </w:pPr>
      <w:bookmarkStart w:id="25" w:name="introduction"/>
      <w:r>
        <w:t xml:space="preserve">Introduction</w:t>
      </w:r>
      <w:bookmarkEnd w:id="25"/>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t xml:space="preserve"> </w:t>
      </w:r>
      <w:r>
        <w:t xml:space="preserve">[1, 2]</w:t>
      </w:r>
      <w:r>
        <w:t xml:space="preserve">. 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t xml:space="preserve"> </w:t>
      </w:r>
      <w:r>
        <w:t xml:space="preserve">[2–6]</w:t>
      </w:r>
      <w:r>
        <w:t xml:space="preserve">. 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t xml:space="preserve"> </w:t>
      </w:r>
      <w:r>
        <w:t xml:space="preserve">[7, 8]</w:t>
      </w:r>
      <w:r>
        <w:t xml:space="preserve">. 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t xml:space="preserve"> </w:t>
      </w:r>
      <w:r>
        <w:t xml:space="preserve">[9–15]</w:t>
      </w:r>
      <w:r>
        <w:t xml:space="preserve">. The first prediction model based on a European cohort was the patient decision support tool for joint remplacement in the UK (</w:t>
      </w:r>
      <w:hyperlink r:id="rId26">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Here we aimed to develop a parsimonious prediction model of 90-day postoperative mortality after THA with internal and external validation of discrimination and calibration, and to compare this to the accuracy of prediction models based on existing co-morbidity measures</w:t>
      </w:r>
      <w:r>
        <w:t xml:space="preserve"> </w:t>
      </w:r>
      <w:r>
        <w:t xml:space="preserve">[16]</w:t>
      </w:r>
      <w:r>
        <w:t xml:space="preserve">.</w:t>
      </w:r>
    </w:p>
    <w:p>
      <w:pPr>
        <w:pStyle w:val="Heading1"/>
      </w:pPr>
      <w:bookmarkStart w:id="27" w:name="participants-and-methods"/>
      <w:r>
        <w:t xml:space="preserve">Participants and Methods</w:t>
      </w:r>
      <w:bookmarkEnd w:id="27"/>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t xml:space="preserve"> </w:t>
      </w:r>
      <w:r>
        <w:t xml:space="preserve">[17]</w:t>
      </w:r>
      <w:r>
        <w:t xml:space="preserve">.</w:t>
      </w:r>
    </w:p>
    <w:p>
      <w:pPr>
        <w:pStyle w:val="Heading2"/>
      </w:pPr>
      <w:bookmarkStart w:id="28" w:name="derivation-cohort-sweden"/>
      <w:r>
        <w:t xml:space="preserve">Derivation cohort (Sweden)</w:t>
      </w:r>
      <w:bookmarkEnd w:id="28"/>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w:t>
      </w:r>
      <w:r>
        <w:t xml:space="preserve"> </w:t>
      </w:r>
      <w:r>
        <w:t xml:space="preserve">[18]</w:t>
      </w:r>
      <w:r>
        <w:t xml:space="preserve">. We used data from a variety of sources, as previously described</w:t>
      </w:r>
      <w:r>
        <w:t xml:space="preserve"> </w:t>
      </w:r>
      <w:r>
        <w:t xml:space="preserve">[19]</w:t>
      </w:r>
      <w:r>
        <w:t xml:space="preserve">. Age, sex, BMI, ASA class, type of hospital (university/county/rural/private) and year of surgery were collected from the SHAR, with a completeness of 96-98 %</w:t>
      </w:r>
      <w:r>
        <w:t xml:space="preserve"> </w:t>
      </w:r>
      <w:r>
        <w:t xml:space="preserve">[20]</w:t>
      </w:r>
      <w:r>
        <w:t xml:space="preserve">. Data on educational level (low = up to 9 years/middle = 10-12 years/high = at least 12 years) was recorded for more than 98 % of the population with 85 % accuracy in the longitudinal integration database for health insurance and labor market studies (LISA) from Statistics Sweden</w:t>
      </w:r>
      <w:r>
        <w:t xml:space="preserve"> </w:t>
      </w:r>
      <w:r>
        <w:t xml:space="preserve">[21]</w:t>
      </w:r>
      <w:r>
        <w:t xml:space="preserve">. 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t xml:space="preserve"> </w:t>
      </w:r>
      <w:r>
        <w:t xml:space="preserve">[22]</w:t>
      </w:r>
      <w:r>
        <w:t xml:space="preserve">. 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w:t>
      </w:r>
    </w:p>
    <w:p>
      <w:pPr>
        <w:pStyle w:val="Heading2"/>
      </w:pPr>
      <w:bookmarkStart w:id="29" w:name="X607666395c53d4d7bffb9fa48f5a07f249542af"/>
      <w:r>
        <w:t xml:space="preserve">External validation cohort (England and Wales)</w:t>
      </w:r>
      <w:bookmarkEnd w:id="29"/>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 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t xml:space="preserve"> </w:t>
      </w:r>
      <w:r>
        <w:t xml:space="preserve">[23–27]</w:t>
      </w:r>
      <w:r>
        <w:t xml:space="preserve">. Out-patient deaths were linked from the office of national statistics. Data linkage used NHS-numbers, as well as patient name, age, sex and address</w:t>
      </w:r>
      <w:r>
        <w:t xml:space="preserve"> </w:t>
      </w:r>
      <w:r>
        <w:t xml:space="preserve">[28]</w:t>
      </w:r>
      <w:r>
        <w:t xml:space="preserve">.</w:t>
      </w:r>
    </w:p>
    <w:p>
      <w:pPr>
        <w:pStyle w:val="Heading2"/>
      </w:pPr>
      <w:bookmarkStart w:id="30" w:name="defining-co-morbidity"/>
      <w:r>
        <w:t xml:space="preserve">Defining co-morbidity</w:t>
      </w:r>
      <w:bookmarkEnd w:id="30"/>
    </w:p>
    <w:p>
      <w:pPr>
        <w:pStyle w:val="FirstParagraph"/>
      </w:pPr>
      <w:r>
        <w:t xml:space="preserve">Co-morbidity was defined by individual ICD-10 codes grouped into 17 categories according to Charlson</w:t>
      </w:r>
      <w:r>
        <w:t xml:space="preserve"> </w:t>
      </w:r>
      <w:r>
        <w:t xml:space="preserve">[29–31]</w:t>
      </w:r>
      <w:r>
        <w:t xml:space="preserve"> </w:t>
      </w:r>
      <w:r>
        <w:t xml:space="preserve">and 31 categories according to Elixhauser</w:t>
      </w:r>
      <w:r>
        <w:t xml:space="preserve"> </w:t>
      </w:r>
      <w:r>
        <w:t xml:space="preserve">[31, 32]</w:t>
      </w:r>
      <w:r>
        <w:t xml:space="preserve">. 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31" w:name="X3dfb8ce663a1fc2d82d471b5d62397660058101"/>
      <w:r>
        <w:t xml:space="preserve">Statistical analysis for model development</w:t>
      </w:r>
      <w:bookmarkEnd w:id="31"/>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t xml:space="preserve"> </w:t>
      </w:r>
      <w:r>
        <w:t xml:space="preserve">[33, 34]</w:t>
      </w:r>
      <w:r>
        <w:t xml:space="preserve">. 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w:t>
      </w:r>
      <w:r>
        <w:t xml:space="preserve"> </w:t>
      </w:r>
      <w:r>
        <w:t xml:space="preserve">[35]</w:t>
      </w:r>
      <w:r>
        <w:t xml:space="preserve">. 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r>
        <w:t xml:space="preserve"> </w:t>
      </w:r>
      <w:r>
        <w:t xml:space="preserve">[36]</w:t>
      </w:r>
      <w:r>
        <w:t xml:space="preserve">.</w:t>
      </w:r>
    </w:p>
    <w:p>
      <w:pPr>
        <w:pStyle w:val="Heading2"/>
      </w:pPr>
      <w:bookmarkStart w:id="32" w:name="Xff1047e633f212e7c4888ec1ef4e1c3504bdbf7"/>
      <w:r>
        <w:t xml:space="preserve">Statistical analysis for model validation</w:t>
      </w:r>
      <w:bookmarkEnd w:id="32"/>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w:t>
      </w:r>
      <w:r>
        <w:t xml:space="preserve"> </w:t>
      </w:r>
      <w:r>
        <w:t xml:space="preserve">[37]</w:t>
      </w:r>
      <w:r>
        <w:t xml:space="preserve">. 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t xml:space="preserve"> </w:t>
      </w:r>
      <w:r>
        <w:t xml:space="preserve">[38]</w:t>
      </w:r>
      <w:r>
        <w:t xml:space="preserve">. Calibration bands were made to graphically assess model calibration, comparing predicted probabilities and observed proportions</w:t>
      </w:r>
      <w:r>
        <w:t xml:space="preserve"> </w:t>
      </w:r>
      <w:r>
        <w:t xml:space="preserve">[39]</w:t>
      </w:r>
      <w:r>
        <w:t xml:space="preserve">. 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t xml:space="preserve"> </w:t>
      </w:r>
      <w:r>
        <w:t xml:space="preserve">[40]</w:t>
      </w:r>
      <w:r>
        <w:t xml:space="preserve">. Calibration for this re-calibrated model was illustrated in the same calibration belt plot as for the internal calibration.</w:t>
      </w:r>
    </w:p>
    <w:p>
      <w:pPr>
        <w:pStyle w:val="Heading2"/>
      </w:pPr>
      <w:bookmarkStart w:id="33" w:name="statistical-tools"/>
      <w:r>
        <w:t xml:space="preserve">Statistical tools</w:t>
      </w:r>
      <w:bookmarkEnd w:id="33"/>
    </w:p>
    <w:p>
      <w:pPr>
        <w:pStyle w:val="FirstParagraph"/>
      </w:pPr>
      <w:r>
        <w:t xml:space="preserve">We built an online web calculator available at</w:t>
      </w:r>
      <w:r>
        <w:t xml:space="preserve"> </w:t>
      </w:r>
      <w:hyperlink r:id="rId24">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4">
        <w:r>
          <w:rPr>
            <w:rStyle w:val="Hyperlink"/>
          </w:rPr>
          <w:t xml:space="preserve">http://doi.org/10.5281/zenodo.3732852</w:t>
        </w:r>
      </w:hyperlink>
      <w:r>
        <w:t xml:space="preserve">. A linked Binder environment is also available for interactive usage.</w:t>
      </w:r>
      <w:r>
        <w:t xml:space="preserve"> </w:t>
      </w:r>
      <w:r>
        <w:t xml:space="preserve">ta law from 2009, and the UK law for pseudonymised data.</w:t>
      </w:r>
    </w:p>
    <w:p>
      <w:pPr>
        <w:pStyle w:val="Heading1"/>
      </w:pPr>
      <w:bookmarkStart w:id="35" w:name="indirect-patient-and-public-involvement"/>
      <w:r>
        <w:t xml:space="preserve">Indirect Patient and Public Involvement</w:t>
      </w:r>
      <w:bookmarkEnd w:id="35"/>
    </w:p>
    <w:p>
      <w:pPr>
        <w:pStyle w:val="FirstParagraph"/>
      </w:pPr>
      <w:r>
        <w:t xml:space="preserve">There is a patient representative at SHAR to ensure that the patients’ interests are respected in planned research.</w:t>
      </w:r>
    </w:p>
    <w:p>
      <w:pPr>
        <w:pStyle w:val="Heading1"/>
      </w:pPr>
      <w:bookmarkStart w:id="36" w:name="results"/>
      <w:r>
        <w:t xml:space="preserve">Results</w:t>
      </w:r>
      <w:bookmarkEnd w:id="36"/>
    </w:p>
    <w:p>
      <w:pPr>
        <w:pStyle w:val="Heading2"/>
      </w:pPr>
      <w:bookmarkStart w:id="37" w:name="study-participants"/>
      <w:r>
        <w:t xml:space="preserve">Study participants</w:t>
      </w:r>
      <w:bookmarkEnd w:id="37"/>
    </w:p>
    <w:p>
      <w:pPr>
        <w:pStyle w:val="FirstParagraph"/>
      </w:pPr>
      <w:r>
        <w:t xml:space="preserve">53,099 patients (age 35 - 99, 61 % females) were included in the derivation cohort from SHAR (Figure</w:t>
      </w:r>
      <w:r>
        <w:t xml:space="preserve"> </w:t>
      </w:r>
      <w:r>
        <w:t xml:space="preserve">1</w:t>
      </w:r>
      <w:r>
        <w:t xml:space="preserve"> </w:t>
      </w:r>
      <w:r>
        <w:t xml:space="preserve">left panel). 175 (0.33 %) of those patients died within 90 days and no one was censored before that. The unadjusted risk of 90-day mortality was therefore 0.33 % (95 % CI 0.28 - 0.38). Further characteristics of the study population are presented in Table</w:t>
      </w:r>
      <w:r>
        <w:t xml:space="preserve"> </w:t>
      </w:r>
      <w:r>
        <w:t xml:space="preserve">2</w:t>
      </w:r>
      <w:r>
        <w:t xml:space="preserve">. 26 % and 48 % of the Swedish patients had at least one pre-surgery co-morbidity according to Charlson and Elixhauser. The proportion of patients with ASA class III was 18 %.</w:t>
      </w:r>
    </w:p>
    <w:p>
      <w:pPr>
        <w:pStyle w:val="BodyText"/>
      </w:pPr>
      <w:r>
        <w:t xml:space="preserve">In addition, 125,428 patients were included for the external validation cohort from England and Wales (Figure</w:t>
      </w:r>
      <w:r>
        <w:t xml:space="preserve"> </w:t>
      </w:r>
      <w:r>
        <w:t xml:space="preserve">1</w:t>
      </w:r>
      <w:r>
        <w:t xml:space="preserve"> </w:t>
      </w:r>
      <w:r>
        <w:t xml:space="preserve">right panel). Their unadjusted risk of 90 day mortality was 0.52 % (95 % CI 0.49 - 0.56), which was higher compared to the derivation cohort from Sweden.</w:t>
      </w:r>
    </w:p>
    <w:p>
      <w:pPr>
        <w:pStyle w:val="Heading2"/>
      </w:pPr>
      <w:bookmarkStart w:id="38" w:name="X97f55da61655794c4500bb5dee5b0e7e0a00da4"/>
      <w:r>
        <w:t xml:space="preserve">Model development and internal validation</w:t>
      </w:r>
      <w:bookmarkEnd w:id="38"/>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2</w:t>
      </w:r>
      <w:r>
        <w:t xml:space="preserve"> </w:t>
      </w:r>
      <w:r>
        <w:t xml:space="preserve">left panel and Figure</w:t>
      </w:r>
      <w:r>
        <w:t xml:space="preserve"> </w:t>
      </w:r>
      <w:r>
        <w:t xml:space="preserve">3</w:t>
      </w:r>
      <w:r>
        <w:t xml:space="preserve">).</w:t>
      </w:r>
    </w:p>
    <w:p>
      <w:pPr>
        <w:pStyle w:val="BodyText"/>
      </w:pPr>
      <w:r>
        <w:t xml:space="preserve">The ability of the reduced model to estimate probabilities of death within 90 days is further illustrated in Figure</w:t>
      </w:r>
      <w:r>
        <w:t xml:space="preserve"> </w:t>
      </w:r>
      <w:r>
        <w:t xml:space="preserve">4</w:t>
      </w:r>
      <w:r>
        <w:t xml:space="preserve">. Model calibration was good for estimated probabilities up to 3 % and acceptable up to 5 %, although with predicted probabilities usually higher than observed proportions (Figure</w:t>
      </w:r>
      <w:r>
        <w:t xml:space="preserve"> </w:t>
      </w:r>
      <w:r>
        <w:t xml:space="preserve">5</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39" w:name="external-validation"/>
      <w:r>
        <w:t xml:space="preserve">External validation</w:t>
      </w:r>
      <w:bookmarkEnd w:id="39"/>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still good however for predicted probabilities below 3 % and acceptable below 5 % (Figure</w:t>
      </w:r>
      <w:r>
        <w:t xml:space="preserve"> </w:t>
      </w:r>
      <w:r>
        <w:t xml:space="preserve">5</w:t>
      </w:r>
      <w:r>
        <w:t xml:space="preserve">).</w:t>
      </w:r>
    </w:p>
    <w:p>
      <w:pPr>
        <w:pStyle w:val="Heading1"/>
      </w:pPr>
      <w:bookmarkStart w:id="40" w:name="discussion"/>
      <w:r>
        <w:t xml:space="preserve">Discussion</w:t>
      </w:r>
      <w:bookmarkEnd w:id="40"/>
    </w:p>
    <w:p>
      <w:pPr>
        <w:pStyle w:val="Heading2"/>
      </w:pPr>
      <w:bookmarkStart w:id="41" w:name="principal-findings"/>
      <w:r>
        <w:t xml:space="preserve">Principal findings</w:t>
      </w:r>
      <w:bookmarkEnd w:id="41"/>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when compared to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42" w:name="clinical-usage"/>
      <w:r>
        <w:t xml:space="preserve">Clinical usage</w:t>
      </w:r>
      <w:bookmarkEnd w:id="42"/>
    </w:p>
    <w:p>
      <w:pPr>
        <w:pStyle w:val="FirstParagraph"/>
      </w:pPr>
      <w:r>
        <w:t xml:space="preserve">Our model could be used in clinical practice, either by the formula above, or by accessing a simple web calculator online (</w:t>
      </w:r>
      <w:hyperlink r:id="rId24">
        <w:r>
          <w:rPr>
            <w:rStyle w:val="Hyperlink"/>
          </w:rPr>
          <w:t xml:space="preserve">https://shpr.registercentrum.se/om-registret-1/forskning/prediktion-av-90-dagarsmortalitet/p/SkyeTsTFB</w:t>
        </w:r>
      </w:hyperlink>
      <w:r>
        <w:t xml:space="preserve">). For example, a 35 year old woman with ASA class I and none of the important co-morbidities would have a 0.028 ‰ risk to die within 90 days of surgery. A woman, 67 years old, i.e. the first age quantile, would have an elevated risk of 0.37 ‰. A 99 year 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t xml:space="preserve"> </w:t>
      </w:r>
      <w:r>
        <w:t xml:space="preserve">[9, 15]</w:t>
      </w:r>
      <w:r>
        <w:t xml:space="preserve">, 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r>
        <w:t xml:space="preserve"> </w:t>
      </w:r>
      <w:r>
        <w:t xml:space="preserve">[41]</w:t>
      </w:r>
      <w:r>
        <w:t xml:space="preserve">.</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high degree of internal variability</w:t>
      </w:r>
      <w:r>
        <w:t xml:space="preserve"> </w:t>
      </w:r>
      <w:r>
        <w:t xml:space="preserve">[42]</w:t>
      </w:r>
      <w:r>
        <w:t xml:space="preserve">. It has previously been compared to the Charlson co-morbidity index, but not with respect to mortality after THA</w:t>
      </w:r>
      <w:r>
        <w:t xml:space="preserve"> </w:t>
      </w:r>
      <w:r>
        <w:t xml:space="preserve">[43, 44]</w:t>
      </w:r>
      <w:r>
        <w:t xml:space="preserve">. 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w:t>
      </w:r>
      <w:r>
        <w:t xml:space="preserve"> </w:t>
      </w:r>
      <w:r>
        <w:t xml:space="preserve">[45]</w:t>
      </w:r>
      <w:r>
        <w:t xml:space="preserve">. We noted that the proportion of patients with BMI above 30, the WHO definition of obesity was much higher (23 %) in the Swedish cohort than the proportion of patients with a diagnosis code for obesity (ICD-10 = E66) recorded in the national patient register (1.9 %). We believe this might be due to the fact that BMI is systematically recorded in the SHAR, but the diagnosis of obesity might not have been made during previous contacts with the healthcare system.</w:t>
      </w:r>
    </w:p>
    <w:p>
      <w:pPr>
        <w:pStyle w:val="Heading2"/>
      </w:pPr>
      <w:bookmarkStart w:id="43" w:name="strengths-and-limitations"/>
      <w:r>
        <w:t xml:space="preserve">Strengths and limitations</w:t>
      </w:r>
      <w:bookmarkEnd w:id="43"/>
    </w:p>
    <w:p>
      <w:pPr>
        <w:pStyle w:val="FirstParagraph"/>
      </w:pPr>
      <w:r>
        <w:t xml:space="preserve">A strength of this study is its nationwide design with data from both Sweden, England and Wales. The Swedish registers are valid with low proportions of missing data</w:t>
      </w:r>
      <w:r>
        <w:t xml:space="preserve"> </w:t>
      </w:r>
      <w:r>
        <w:t xml:space="preserve">[20, 22, 46, 47]</w:t>
      </w:r>
      <w:r>
        <w:t xml:space="preserve">. Some concerns have been raised regarding validity of the hospital episodes statistics (HES) database from England and Wales however</w:t>
      </w:r>
      <w:r>
        <w:t xml:space="preserve"> </w:t>
      </w:r>
      <w:r>
        <w:t xml:space="preserve">[48–50]</w:t>
      </w:r>
      <w:r>
        <w:t xml:space="preserve">. A systematic review found that the overall median diagnostic accuracy (comparing ICD-codes from HES to individual case notes) was 80 %</w:t>
      </w:r>
      <w:r>
        <w:t xml:space="preserve"> </w:t>
      </w:r>
      <w:r>
        <w:t xml:space="preserve">[24]</w:t>
      </w:r>
      <w:r>
        <w:t xml:space="preserve">. 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t xml:space="preserve"> </w:t>
      </w:r>
      <w:r>
        <w:t xml:space="preserve">[51]</w:t>
      </w:r>
      <w:r>
        <w:t xml:space="preserve">, 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t xml:space="preserve"> </w:t>
      </w:r>
      <w:r>
        <w:t xml:space="preserve">[52]</w:t>
      </w:r>
      <w:r>
        <w:t xml:space="preserve">. Our recordings of BMI might be imprecise however</w:t>
      </w:r>
      <w:r>
        <w:t xml:space="preserve"> </w:t>
      </w:r>
      <w:r>
        <w:t xml:space="preserve">[53]</w:t>
      </w:r>
      <w:r>
        <w:t xml:space="preserve">. Some hospitals might report actual measurements but it is unknown to what extent those data are self-estimated by the patients or estimated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4" w:name="conclusion"/>
      <w:r>
        <w:t xml:space="preserve">Conclusion</w:t>
      </w:r>
      <w:bookmarkEnd w:id="44"/>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1"/>
      </w:pPr>
      <w:bookmarkStart w:id="45" w:name="declarations"/>
      <w:r>
        <w:t xml:space="preserve">Declarations</w:t>
      </w:r>
      <w:bookmarkEnd w:id="45"/>
    </w:p>
    <w:p>
      <w:pPr>
        <w:pStyle w:val="Heading2"/>
      </w:pPr>
      <w:bookmarkStart w:id="46" w:name="Xd182db0490b2de20bd2b4e4cc8698599182035f"/>
      <w:r>
        <w:t xml:space="preserve">Ethics approval and consent to participate</w:t>
      </w:r>
      <w:bookmarkEnd w:id="46"/>
    </w:p>
    <w:p>
      <w:pPr>
        <w:pStyle w:val="FirstParagraph"/>
      </w:pPr>
      <w:r>
        <w:t xml:space="preserve">Ethical approval for this study was obtained from the Regional Ethical Review Board in Gothenburg (360-13) and by the NJR in the UK (RSC2017/21). Informed consent was not mandatory according to the Swedish patient da</w:t>
      </w:r>
    </w:p>
    <w:p>
      <w:pPr>
        <w:pStyle w:val="Heading2"/>
      </w:pPr>
      <w:bookmarkStart w:id="47" w:name="consent-for-publication"/>
      <w:r>
        <w:t xml:space="preserve">Consent for publication</w:t>
      </w:r>
      <w:bookmarkEnd w:id="47"/>
    </w:p>
    <w:p>
      <w:pPr>
        <w:pStyle w:val="FirstParagraph"/>
      </w:pPr>
      <w:r>
        <w:t xml:space="preserve">All athours give consent to publish the article.</w:t>
      </w:r>
    </w:p>
    <w:p>
      <w:pPr>
        <w:pStyle w:val="Heading2"/>
      </w:pPr>
      <w:bookmarkStart w:id="48" w:name="availability-of-data-and-materials"/>
      <w:r>
        <w:t xml:space="preserve">Availability of data and materials</w:t>
      </w:r>
      <w:bookmarkEnd w:id="48"/>
    </w:p>
    <w:p>
      <w:pPr>
        <w:pStyle w:val="FirstParagraph"/>
      </w:pPr>
      <w:r>
        <w:t xml:space="preserve">The datasets generated and/or analysed during the current study are not publicly available due to the European general data protection regulation (GDPR) but are available from the corresponding author on reasonable request.</w:t>
      </w:r>
    </w:p>
    <w:p>
      <w:pPr>
        <w:pStyle w:val="Heading2"/>
      </w:pPr>
      <w:bookmarkStart w:id="49" w:name="competing-interests"/>
      <w:r>
        <w:t xml:space="preserve">Competing interests</w:t>
      </w:r>
      <w:bookmarkEnd w:id="49"/>
    </w:p>
    <w:p>
      <w:pPr>
        <w:pStyle w:val="FirstParagraph"/>
      </w:pPr>
      <w:r>
        <w:t xml:space="preserve">The authors declare that they have no competing interests.</w:t>
      </w:r>
    </w:p>
    <w:p>
      <w:pPr>
        <w:pStyle w:val="Heading2"/>
      </w:pPr>
      <w:bookmarkStart w:id="50" w:name="funding"/>
      <w:r>
        <w:t xml:space="preserve">Funding</w:t>
      </w:r>
      <w:bookmarkEnd w:id="50"/>
    </w:p>
    <w:p>
      <w:pPr>
        <w:pStyle w:val="FirstParagraph"/>
      </w:pPr>
      <w:r>
        <w:t xml:space="preserve">Not applicable.</w:t>
      </w:r>
    </w:p>
    <w:p>
      <w:pPr>
        <w:pStyle w:val="Heading1"/>
      </w:pPr>
      <w:bookmarkStart w:id="51" w:name="authors-contributions"/>
      <w:r>
        <w:t xml:space="preserve">Authors’ contributions</w:t>
      </w:r>
      <w:bookmarkEnd w:id="51"/>
    </w:p>
    <w:p>
      <w:pPr>
        <w:pStyle w:val="FirstParagraph"/>
      </w:pPr>
      <w:r>
        <w:t xml:space="preserve">AG and NPH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52" w:name="acknowledgements"/>
      <w:r>
        <w:t xml:space="preserve">Acknowledgements</w:t>
      </w:r>
      <w:bookmarkEnd w:id="52"/>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contributers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CaptionedFigure"/>
      </w:pPr>
      <w:r>
        <w:drawing>
          <wp:inline>
            <wp:extent cx="5969000" cy="4045396"/>
            <wp:effectExtent b="0" l="0" r="0" t="0"/>
            <wp:docPr descr="Figure 1: Flowchart depicting inclusion criteria and number of patients. Data from the Swedish Hip Arthroplasty Register were used for model derivation and internal validation (left). Data from the National Joint Registry in England and Wales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3"/>
                    <a:stretch>
                      <a:fillRect/>
                    </a:stretch>
                  </pic:blipFill>
                  <pic:spPr bwMode="auto">
                    <a:xfrm>
                      <a:off x="0" y="0"/>
                      <a:ext cx="5969000" cy="4045396"/>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were used for model derivation and internal validation (left). Data from the National Joint Registry in England and Wales were used for external validation (right).</w:t>
      </w:r>
    </w:p>
    <w:p>
      <w:pPr>
        <w:pStyle w:val="Heading5"/>
      </w:pPr>
      <w:bookmarkStart w:id="54" w:name="page-break"/>
      <w:r>
        <w:t xml:space="preserve">PAGE BREAK</w:t>
      </w:r>
      <w:bookmarkEnd w:id="54"/>
    </w:p>
    <w:p>
      <w:pPr>
        <w:pStyle w:val="CaptionedFigure"/>
      </w:pPr>
      <w:r>
        <w:drawing>
          <wp:inline>
            <wp:extent cx="5416061" cy="3611727"/>
            <wp:effectExtent b="0" l="0" r="0" t="0"/>
            <wp:docPr descr="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 title="" id="1" name="Picture"/>
            <a:graphic>
              <a:graphicData uri="http://schemas.openxmlformats.org/drawingml/2006/picture">
                <pic:pic>
                  <pic:nvPicPr>
                    <pic:cNvPr descr="../graphs/roc.png" id="0" name="Picture"/>
                    <pic:cNvPicPr>
                      <a:picLocks noChangeArrowheads="1" noChangeAspect="1"/>
                    </pic:cNvPicPr>
                  </pic:nvPicPr>
                  <pic:blipFill>
                    <a:blip r:embed="rId55"/>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w:t>
      </w:r>
    </w:p>
    <w:p>
      <w:pPr>
        <w:pStyle w:val="Heading5"/>
      </w:pPr>
      <w:bookmarkStart w:id="56" w:name="page-break-1"/>
      <w:r>
        <w:t xml:space="preserve">PAGE BREAK</w:t>
      </w:r>
      <w:bookmarkEnd w:id="56"/>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auc_ci.png" id="0" name="Picture"/>
                    <pic:cNvPicPr>
                      <a:picLocks noChangeArrowheads="1" noChangeAspect="1"/>
                    </pic:cNvPicPr>
                  </pic:nvPicPr>
                  <pic:blipFill>
                    <a:blip r:embed="rId57"/>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Heading5"/>
      </w:pPr>
      <w:bookmarkStart w:id="58" w:name="page-break-2"/>
      <w:r>
        <w:t xml:space="preserve">PAGE BREAK</w:t>
      </w:r>
      <w:bookmarkEnd w:id="58"/>
    </w:p>
    <w:p>
      <w:pPr>
        <w:pStyle w:val="CaptionedFigure"/>
      </w:pPr>
      <w:r>
        <w:drawing>
          <wp:inline>
            <wp:extent cx="4333460" cy="5416061"/>
            <wp:effectExtent b="0" l="0" r="0" t="0"/>
            <wp:docPr descr="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59"/>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w:t>
      </w:r>
    </w:p>
    <w:p>
      <w:pPr>
        <w:pStyle w:val="Heading5"/>
      </w:pPr>
      <w:bookmarkStart w:id="60" w:name="page-break-3"/>
      <w:r>
        <w:t xml:space="preserve">PAGE BREAK</w:t>
      </w:r>
      <w:bookmarkEnd w:id="60"/>
    </w:p>
    <w:p>
      <w:pPr>
        <w:pStyle w:val="CaptionedFigure"/>
      </w:pPr>
      <w:r>
        <w:drawing>
          <wp:inline>
            <wp:extent cx="3611727" cy="3611727"/>
            <wp:effectExtent b="0" l="0" r="0" t="0"/>
            <wp:docPr descr="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61"/>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62" w:name="page-break-4"/>
      <w:r>
        <w:t xml:space="preserve">PAGE BREAK</w:t>
      </w:r>
      <w:bookmarkEnd w:id="62"/>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63" w:name="page-break-5"/>
      <w:r>
        <w:t xml:space="preserve">PAGE BREAK</w:t>
      </w:r>
      <w:bookmarkEnd w:id="63"/>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64" w:name="page-break-6"/>
      <w:r>
        <w:t xml:space="preserve">PAGE BREAK</w:t>
      </w:r>
      <w:bookmarkEnd w:id="64"/>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Heart infarct</w:t>
            </w:r>
          </w:p>
        </w:tc>
        <w:tc>
          <w:p>
            <w:pPr>
              <w:pStyle w:val="Compact"/>
              <w:jc w:val="right"/>
            </w:pPr>
            <w:r>
              <w:t xml:space="preserve">6</w:t>
            </w:r>
          </w:p>
        </w:tc>
      </w:tr>
    </w:tbl>
    <w:p>
      <w:pPr>
        <w:pStyle w:val="Heading5"/>
      </w:pPr>
      <w:bookmarkStart w:id="65" w:name="page-break-7"/>
      <w:r>
        <w:t xml:space="preserve">PAGE BREAK</w:t>
      </w:r>
      <w:bookmarkEnd w:id="65"/>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1"/>
      </w:pPr>
      <w:bookmarkStart w:id="66" w:name="bibliography"/>
      <w:r>
        <w:t xml:space="preserve">Bibliography</w:t>
      </w:r>
      <w:bookmarkEnd w:id="66"/>
    </w:p>
    <w:bookmarkStart w:id="152" w:name="refs"/>
    <w:bookmarkStart w:id="68" w:name="ref-Hunt2013"/>
    <w:p>
      <w:pPr>
        <w:pStyle w:val="Bibliography"/>
      </w:pPr>
      <w:r>
        <w:t xml:space="preserve">1. Hunt LP, Ben-Shlomo Y, Clark EM, Dieppe P, Judge A, MacGregor AJ, et al. 90-day mortality after 409 096 total hip replacements for osteoarthritis, from the National Joint Registry for England and Wales: A retrospective analysis. The Lancet. 2013;382:1097–104. doi:</w:t>
      </w:r>
      <w:hyperlink r:id="rId67">
        <w:r>
          <w:rPr>
            <w:rStyle w:val="Hyperlink"/>
          </w:rPr>
          <w:t xml:space="preserve">10.1016/S0140-6736(13)61749-3</w:t>
        </w:r>
      </w:hyperlink>
      <w:r>
        <w:t xml:space="preserve">.</w:t>
      </w:r>
    </w:p>
    <w:bookmarkEnd w:id="68"/>
    <w:bookmarkStart w:id="70" w:name="ref-Garland2017"/>
    <w:p>
      <w:pPr>
        <w:pStyle w:val="Bibliography"/>
      </w:pPr>
      <w:r>
        <w:t xml:space="preserve">2. Garland A, Gordon M, Garellick G, Kärrholm J, Sköldenberg O, Hailer NP. Risk of early mortality after cemented compared with cementless total hip arthroplasty. The Bone &amp; Joint Journal. 2017;99-B:37–43. doi:</w:t>
      </w:r>
      <w:hyperlink r:id="rId69">
        <w:r>
          <w:rPr>
            <w:rStyle w:val="Hyperlink"/>
          </w:rPr>
          <w:t xml:space="preserve">10.1302/0301-620X.99B1.BJJ-2016-0304.R1</w:t>
        </w:r>
      </w:hyperlink>
      <w:r>
        <w:t xml:space="preserve">.</w:t>
      </w:r>
    </w:p>
    <w:bookmarkEnd w:id="70"/>
    <w:bookmarkStart w:id="71" w:name="ref-Inacio2015"/>
    <w:p>
      <w:pPr>
        <w:pStyle w:val="Bibliography"/>
      </w:pPr>
      <w:r>
        <w:t xml:space="preserve">3. Inacio MCS, Pratt NL, Roughead EE, Graves SE. Using medications for prediction of revision after total joint arthroplasty. The Journal of arthroplasty. 2015;30:2061–70.</w:t>
      </w:r>
    </w:p>
    <w:bookmarkEnd w:id="71"/>
    <w:bookmarkStart w:id="72" w:name="ref-Gordon2013"/>
    <w:p>
      <w:pPr>
        <w:pStyle w:val="Bibliography"/>
      </w:pPr>
      <w:r>
        <w:t xml:space="preserve">4. Gordon M, Stark A, Sköldenberg OG, Kärrholm J, Garellick G. The influence of comorbidity scores on re-operations following primary total hip replacement: Comparison and validation of three comorbidity measures. The bone &amp; joint journal. 2013;95-B:1184–91.</w:t>
      </w:r>
    </w:p>
    <w:bookmarkEnd w:id="72"/>
    <w:bookmarkStart w:id="74" w:name="ref-Hofstede2016"/>
    <w:p>
      <w:pPr>
        <w:pStyle w:val="Bibliography"/>
      </w:pPr>
      <w:r>
        <w:t xml:space="preserve">5. Hofstede SN, Gademan MGJ, Vlieland TPMV, Nelissen RGHH, de Mheen PJM-v. Preoperative predictors for outcomes after total hip replacement in patients with osteoarthritis: A systematic review. BMC musculoskeletal disorders. 2016;17:212. doi:</w:t>
      </w:r>
      <w:hyperlink r:id="rId73">
        <w:r>
          <w:rPr>
            <w:rStyle w:val="Hyperlink"/>
          </w:rPr>
          <w:t xml:space="preserve">10.1186/s12891-016-1070-3</w:t>
        </w:r>
      </w:hyperlink>
      <w:r>
        <w:t xml:space="preserve">.</w:t>
      </w:r>
    </w:p>
    <w:bookmarkEnd w:id="74"/>
    <w:bookmarkStart w:id="76" w:name="ref-Bulow2017"/>
    <w:p>
      <w:pPr>
        <w:pStyle w:val="Bibliography"/>
      </w:pPr>
      <w:r>
        <w:t xml:space="preserve">6. Bülow E, Rolfson O, Cnudde P, Rogmark C, Garellick G, Nemes S. Comorbidity does not predict long-term mortality after total hip arthroplasty. Acta Orthopaedica. 2017;88 July:1–6. doi:</w:t>
      </w:r>
      <w:hyperlink r:id="rId75">
        <w:r>
          <w:rPr>
            <w:rStyle w:val="Hyperlink"/>
          </w:rPr>
          <w:t xml:space="preserve">10.1080/17453674.2017.1341243</w:t>
        </w:r>
      </w:hyperlink>
      <w:r>
        <w:t xml:space="preserve">.</w:t>
      </w:r>
    </w:p>
    <w:bookmarkEnd w:id="76"/>
    <w:bookmarkStart w:id="78" w:name="ref-Brusselaers2017"/>
    <w:p>
      <w:pPr>
        <w:pStyle w:val="Bibliography"/>
      </w:pPr>
      <w:r>
        <w:t xml:space="preserve">7. Brusselaers N, Lagergren J. The charlson comorbidity index in registry-based research. Methods of Information in Medicine. 2017;56:401–6. doi:</w:t>
      </w:r>
      <w:hyperlink r:id="rId77">
        <w:r>
          <w:rPr>
            <w:rStyle w:val="Hyperlink"/>
          </w:rPr>
          <w:t xml:space="preserve">10.3414/ME17-01-0051</w:t>
        </w:r>
      </w:hyperlink>
      <w:r>
        <w:t xml:space="preserve">.</w:t>
      </w:r>
    </w:p>
    <w:bookmarkEnd w:id="78"/>
    <w:bookmarkStart w:id="79" w:name="ref-Walraven2009"/>
    <w:p>
      <w:pPr>
        <w:pStyle w:val="Bibliography"/>
      </w:pPr>
      <w:r>
        <w:t xml:space="preserve">8. Walraven CV, Austin PC, Jennings A, Quan H, Alan JF, Walraven CV, et al. A modification of the elixhauser comorbidity measures into a point system for hospital death using administrative data. Med. 2009;47:626–33.</w:t>
      </w:r>
    </w:p>
    <w:bookmarkEnd w:id="79"/>
    <w:bookmarkStart w:id="81" w:name="ref-Bozic2013a"/>
    <w:p>
      <w:pPr>
        <w:pStyle w:val="Bibliography"/>
      </w:pPr>
      <w:r>
        <w:t xml:space="preserve">9. Bozic KJ, Ong K, Lau E, Berry DJ, Vail TP, Kurtz SM, et al. Estimating risk in medicare patients with THA: An electronic risk calculator for periprosthetic joint infection and mortality. Clinical Orthopaedics and Related Research®. 2013;471:574–83. doi:</w:t>
      </w:r>
      <w:hyperlink r:id="rId80">
        <w:r>
          <w:rPr>
            <w:rStyle w:val="Hyperlink"/>
          </w:rPr>
          <w:t xml:space="preserve">10.1007/s11999-012-2605-z</w:t>
        </w:r>
      </w:hyperlink>
      <w:r>
        <w:t xml:space="preserve">.</w:t>
      </w:r>
    </w:p>
    <w:bookmarkEnd w:id="81"/>
    <w:bookmarkStart w:id="83" w:name="ref-Bozic2013b"/>
    <w:p>
      <w:pPr>
        <w:pStyle w:val="Bibliography"/>
      </w:pPr>
      <w:r>
        <w:t xml:space="preserve">10. Bozic KJ. Orthopaedic healthcare worldwide: Shared medical decision making in orthopaedics. Clinical Orthopaedics and Related Research. 2013;471:1412–4. doi:</w:t>
      </w:r>
      <w:hyperlink r:id="rId82">
        <w:r>
          <w:rPr>
            <w:rStyle w:val="Hyperlink"/>
          </w:rPr>
          <w:t xml:space="preserve">10.1007/s11999-013-2838-5</w:t>
        </w:r>
      </w:hyperlink>
      <w:r>
        <w:t xml:space="preserve">.</w:t>
      </w:r>
    </w:p>
    <w:bookmarkEnd w:id="83"/>
    <w:bookmarkStart w:id="85" w:name="ref-Harris2018"/>
    <w:p>
      <w:pPr>
        <w:pStyle w:val="Bibliography"/>
      </w:pPr>
      <w:r>
        <w:t xml:space="preserve">11. Harris AHS, Kuo AC, Bozic KJ, Lau E, Bowe T, Gupta S, et al. American joint replacement registry risk calculator does not predict 90-day mortality in veterans undergoing total joint replacement. Clinical Orthopaedics and Related Research. 2018;476:1869–75. doi:</w:t>
      </w:r>
      <w:hyperlink r:id="rId84">
        <w:r>
          <w:rPr>
            <w:rStyle w:val="Hyperlink"/>
          </w:rPr>
          <w:t xml:space="preserve">10.1097/CORR.0000000000000377</w:t>
        </w:r>
      </w:hyperlink>
      <w:r>
        <w:t xml:space="preserve">.</w:t>
      </w:r>
    </w:p>
    <w:bookmarkEnd w:id="85"/>
    <w:bookmarkStart w:id="87" w:name="ref-Harris2018a"/>
    <w:p>
      <w:pPr>
        <w:pStyle w:val="Bibliography"/>
      </w:pPr>
      <w:r>
        <w:t xml:space="preserve">12. Harris AH, Kuo AC, Bowe T, Gupta S, Nordin D, Giori NJ. Prediction models for 30-Day mortality and complications after total knee and hip arthroplasties for veteran health administration patients with osteoarthritis. The Journal of Arthroplasty. 2018;33:1539–45. doi:</w:t>
      </w:r>
      <w:hyperlink r:id="rId86">
        <w:r>
          <w:rPr>
            <w:rStyle w:val="Hyperlink"/>
          </w:rPr>
          <w:t xml:space="preserve">10.1016/J.ARTH.2017.12.003</w:t>
        </w:r>
      </w:hyperlink>
      <w:r>
        <w:t xml:space="preserve">.</w:t>
      </w:r>
    </w:p>
    <w:bookmarkEnd w:id="87"/>
    <w:bookmarkStart w:id="89" w:name="ref-Inacio2016"/>
    <w:p>
      <w:pPr>
        <w:pStyle w:val="Bibliography"/>
      </w:pPr>
      <w:r>
        <w:t xml:space="preserve">13. Inacio MCCS, Pratt NLL, Roughead EEE, Graves SEE. Evaluation of three co-morbidity measures to predict mortality in patients undergoing total joint arthroplasty. Osteoarthritis and cartilage. 2016;24:1718–26. doi:</w:t>
      </w:r>
      <w:hyperlink r:id="rId88">
        <w:r>
          <w:rPr>
            <w:rStyle w:val="Hyperlink"/>
          </w:rPr>
          <w:t xml:space="preserve">10.1016/j.joca.2016.05.006</w:t>
        </w:r>
      </w:hyperlink>
      <w:r>
        <w:t xml:space="preserve">.</w:t>
      </w:r>
    </w:p>
    <w:bookmarkEnd w:id="89"/>
    <w:bookmarkStart w:id="91" w:name="ref-Price2019"/>
    <w:p>
      <w:pPr>
        <w:pStyle w:val="Bibliography"/>
      </w:pPr>
      <w:r>
        <w:t xml:space="preserve">14. Price A, Smith J, Dakin H, Kang S, Eibich P, Cook J, et al. The Arthroplasty Candidacy Help Engine tool to select candidates for hip and knee replacement surgery: Development and economic modelling. Health Technology Assessment. 2019;23:1–216. doi:</w:t>
      </w:r>
      <w:hyperlink r:id="rId90">
        <w:r>
          <w:rPr>
            <w:rStyle w:val="Hyperlink"/>
          </w:rPr>
          <w:t xml:space="preserve">10.3310/hta23320</w:t>
        </w:r>
      </w:hyperlink>
      <w:r>
        <w:t xml:space="preserve">.</w:t>
      </w:r>
    </w:p>
    <w:bookmarkEnd w:id="91"/>
    <w:bookmarkStart w:id="93" w:name="ref-Harris2019"/>
    <w:p>
      <w:pPr>
        <w:pStyle w:val="Bibliography"/>
      </w:pPr>
      <w:r>
        <w:t xml:space="preserve">15. Harris AHS, Kuo AC, Weng Y, Trickey AW, Bowe T, Giori NJ. Can machine learning methods produce accurate and easy-to-use prediction models of 30-day complications and mortality after knee or hip arthroplasty? Clinical Orthopaedics and Related Research. 2019;477:452–60. doi:</w:t>
      </w:r>
      <w:hyperlink r:id="rId92">
        <w:r>
          <w:rPr>
            <w:rStyle w:val="Hyperlink"/>
          </w:rPr>
          <w:t xml:space="preserve">10.1097/CORR.0000000000000601</w:t>
        </w:r>
      </w:hyperlink>
      <w:r>
        <w:t xml:space="preserve">.</w:t>
      </w:r>
    </w:p>
    <w:bookmarkEnd w:id="93"/>
    <w:bookmarkStart w:id="94" w:name="ref-Manning2016"/>
    <w:p>
      <w:pPr>
        <w:pStyle w:val="Bibliography"/>
      </w:pPr>
      <w:r>
        <w:t xml:space="preserve">16. Manning DW, Edelstein AI, Alvi HM. Risk prediction tools for hip and knee arthroplasty. The Journal of the American Academy of Orthopaedic Surgeons. 2016;24:19–27.</w:t>
      </w:r>
    </w:p>
    <w:bookmarkEnd w:id="94"/>
    <w:bookmarkStart w:id="96" w:name="ref-Bulow2020"/>
    <w:p>
      <w:pPr>
        <w:pStyle w:val="Bibliography"/>
      </w:pPr>
      <w:r>
        <w:t xml:space="preserve">17. Bülow E, Nemes S, Rolfson O. Are the first or the second hips of staged bilateral THAs more similar to unilateral procedures? A study from the swedish hip arthroplasty register. Clinical Orthopaedics and Related Research. 2020;1. doi:</w:t>
      </w:r>
      <w:hyperlink r:id="rId95">
        <w:r>
          <w:rPr>
            <w:rStyle w:val="Hyperlink"/>
          </w:rPr>
          <w:t xml:space="preserve">10.1097/CORR.0000000000001210</w:t>
        </w:r>
      </w:hyperlink>
      <w:r>
        <w:t xml:space="preserve">.</w:t>
      </w:r>
    </w:p>
    <w:bookmarkEnd w:id="96"/>
    <w:bookmarkStart w:id="97" w:name="ref-Ludvigsson2009"/>
    <w:p>
      <w:pPr>
        <w:pStyle w:val="Bibliography"/>
      </w:pPr>
      <w:r>
        <w:t xml:space="preserve">18. Ludvigsson JF, Otterblad-Olausson P, Pettersson BU, Ekbom A. The Swedish personal identity number: Possibilities and pitfalls in healthcare and medical research. European Journal of Epidemiology. 2009;24:659–67.</w:t>
      </w:r>
    </w:p>
    <w:bookmarkEnd w:id="97"/>
    <w:bookmarkStart w:id="99" w:name="ref-Cnudde2016"/>
    <w:p>
      <w:pPr>
        <w:pStyle w:val="Bibliography"/>
      </w:pPr>
      <w:r>
        <w:t xml:space="preserve">19. Cnudde P, Rolfson O, Nemes S, Kärrholm J, Rehnberg C, Rogmark C, et al. Linking Swedish health data registers to establish a research database and a shared decision-making tool in hip replacement. BMC Musculoskeletal Disorders. 2016;17:414. doi:</w:t>
      </w:r>
      <w:hyperlink r:id="rId98">
        <w:r>
          <w:rPr>
            <w:rStyle w:val="Hyperlink"/>
          </w:rPr>
          <w:t xml:space="preserve">10.1186/s12891-016-1262-x</w:t>
        </w:r>
      </w:hyperlink>
      <w:r>
        <w:t xml:space="preserve">.</w:t>
      </w:r>
    </w:p>
    <w:bookmarkEnd w:id="99"/>
    <w:bookmarkStart w:id="101" w:name="ref-Karrholm2018"/>
    <w:p>
      <w:pPr>
        <w:pStyle w:val="Bibliography"/>
      </w:pPr>
      <w:r>
        <w:t xml:space="preserve">20. Kärrholm J, Mohaddes M, Odin D, Vinblad J, Rogmark C, Rolfson O. Svenska höftprotesregistret årsrapport 2017. 2018.</w:t>
      </w:r>
      <w:r>
        <w:t xml:space="preserve"> </w:t>
      </w:r>
      <w:hyperlink r:id="rId100">
        <w:r>
          <w:rPr>
            <w:rStyle w:val="Hyperlink"/>
          </w:rPr>
          <w:t xml:space="preserve">https://registercentrum.blob.core.windows.net/shpr/r/-rsrapport-2016-SJirXXUsb.pdf</w:t>
        </w:r>
      </w:hyperlink>
      <w:r>
        <w:t xml:space="preserve">.</w:t>
      </w:r>
    </w:p>
    <w:bookmarkEnd w:id="101"/>
    <w:bookmarkStart w:id="103" w:name="ref-Ludvigsson2019"/>
    <w:p>
      <w:pPr>
        <w:pStyle w:val="Bibliography"/>
      </w:pPr>
      <w:r>
        <w:t xml:space="preserve">21. Ludvigsson JF, Svedberg P, Olén O, Bruze G, Neovius M. The longitudinal integrated database for health insurance and labour market studies (LISA) and its use in medical research. European Journal of Epidemiology. 2019;34:423–37. doi:</w:t>
      </w:r>
      <w:hyperlink r:id="rId102">
        <w:r>
          <w:rPr>
            <w:rStyle w:val="Hyperlink"/>
          </w:rPr>
          <w:t xml:space="preserve">10.1007/s10654-019-00511-8</w:t>
        </w:r>
      </w:hyperlink>
      <w:r>
        <w:t xml:space="preserve">.</w:t>
      </w:r>
    </w:p>
    <w:bookmarkEnd w:id="103"/>
    <w:bookmarkStart w:id="105" w:name="ref-Ludvigsson2011"/>
    <w:p>
      <w:pPr>
        <w:pStyle w:val="Bibliography"/>
      </w:pPr>
      <w:r>
        <w:t xml:space="preserve">22. Ludvigsson JF, Andersson E, Ekbom A, Feychting M, Kim J-L, Reuterwall C, et al. External review and validation of the Swedish national inpatient register. BMC Public Health. 2011;11:450. doi:</w:t>
      </w:r>
      <w:hyperlink r:id="rId104">
        <w:r>
          <w:rPr>
            <w:rStyle w:val="Hyperlink"/>
          </w:rPr>
          <w:t xml:space="preserve">10.1186/1471-2458-11-450</w:t>
        </w:r>
      </w:hyperlink>
      <w:r>
        <w:t xml:space="preserve">.</w:t>
      </w:r>
    </w:p>
    <w:bookmarkEnd w:id="105"/>
    <w:bookmarkStart w:id="106" w:name="ref-Brophy2006"/>
    <w:p>
      <w:pPr>
        <w:pStyle w:val="Bibliography"/>
      </w:pPr>
      <w:r>
        <w:t xml:space="preserve">23. Brophy S, John G, Evans E, Lyons RA. Methodological issues in the identification of hip fractures using routine hospital data: A database study. Osteoporosis International. 2006;17:405–9.</w:t>
      </w:r>
    </w:p>
    <w:bookmarkEnd w:id="106"/>
    <w:bookmarkStart w:id="108" w:name="ref-Burns2012"/>
    <w:p>
      <w:pPr>
        <w:pStyle w:val="Bibliography"/>
      </w:pPr>
      <w:r>
        <w:t xml:space="preserve">24. Burns EM, Rigby E, Mamidanna R, Bottle A, Aylin P, Ziprin P, et al. Systematic review of discharge coding accuracy. Journal of Public Health. 2012;34:138–48. doi:</w:t>
      </w:r>
      <w:hyperlink r:id="rId107">
        <w:r>
          <w:rPr>
            <w:rStyle w:val="Hyperlink"/>
          </w:rPr>
          <w:t xml:space="preserve">10.1093/pubmed/fdr054</w:t>
        </w:r>
      </w:hyperlink>
      <w:r>
        <w:t xml:space="preserve">.</w:t>
      </w:r>
    </w:p>
    <w:bookmarkEnd w:id="108"/>
    <w:bookmarkStart w:id="110" w:name="ref-Sinha2013"/>
    <w:p>
      <w:pPr>
        <w:pStyle w:val="Bibliography"/>
      </w:pPr>
      <w:r>
        <w:t xml:space="preserve">25. Sinha S, Peach G, Poloniecki JD, Thompson MM, Holt PJ. Studies using English administrative data (Hospital Episode Statistics) to assess health-care outcomes—systematic review and recommendations for reporting. European Journal of Public Health. 2013;23:86–92. doi:</w:t>
      </w:r>
      <w:hyperlink r:id="rId109">
        <w:r>
          <w:rPr>
            <w:rStyle w:val="Hyperlink"/>
          </w:rPr>
          <w:t xml:space="preserve">10.1093/eurpub/cks046</w:t>
        </w:r>
      </w:hyperlink>
      <w:r>
        <w:t xml:space="preserve">.</w:t>
      </w:r>
    </w:p>
    <w:bookmarkEnd w:id="110"/>
    <w:bookmarkStart w:id="112" w:name="ref-Simmonds2014"/>
    <w:p>
      <w:pPr>
        <w:pStyle w:val="Bibliography"/>
      </w:pPr>
      <w:r>
        <w:t xml:space="preserve">26. Simmonds SJ, Syddall HE, Walsh B, Evandrou M, Dennison EM, Cooper C, et al. Understanding NHS hospital admissions in england: Linkage of hospital episode statistics to the hertfordshire cohort study. Age and Ageing. 2014;43:653–60. doi:</w:t>
      </w:r>
      <w:hyperlink r:id="rId111">
        <w:r>
          <w:rPr>
            <w:rStyle w:val="Hyperlink"/>
          </w:rPr>
          <w:t xml:space="preserve">10.1093/ageing/afu020</w:t>
        </w:r>
      </w:hyperlink>
      <w:r>
        <w:t xml:space="preserve">.</w:t>
      </w:r>
    </w:p>
    <w:bookmarkEnd w:id="112"/>
    <w:bookmarkStart w:id="113" w:name="ref-Thorn2016"/>
    <w:p>
      <w:pPr>
        <w:pStyle w:val="Bibliography"/>
      </w:pPr>
      <w:r>
        <w:t xml:space="preserve">27. Thorn JC, Turner E, Hounsome L, Walsh E, Donovan JL, Verne J, et al. Validation of the hospital episode statistics outpatient dataset in england. PharmacoEconomics. 2016;34:161–8.</w:t>
      </w:r>
    </w:p>
    <w:bookmarkEnd w:id="113"/>
    <w:bookmarkStart w:id="115" w:name="ref-Sayers2016"/>
    <w:p>
      <w:pPr>
        <w:pStyle w:val="Bibliography"/>
      </w:pPr>
      <w:r>
        <w:t xml:space="preserve">28. Sayers A, Ben-Shlomo Y, Blom AW, Steele F. Probabilistic record linkage. International Journal of Epidemiology. 2016;45:954–64. doi:</w:t>
      </w:r>
      <w:hyperlink r:id="rId114">
        <w:r>
          <w:rPr>
            <w:rStyle w:val="Hyperlink"/>
          </w:rPr>
          <w:t xml:space="preserve">10.1093/ije/dyv322</w:t>
        </w:r>
      </w:hyperlink>
      <w:r>
        <w:t xml:space="preserve">.</w:t>
      </w:r>
    </w:p>
    <w:bookmarkEnd w:id="115"/>
    <w:bookmarkStart w:id="116" w:name="ref-Charlson1987"/>
    <w:p>
      <w:pPr>
        <w:pStyle w:val="Bibliography"/>
      </w:pPr>
      <w:r>
        <w:t xml:space="preserve">29. Charlson ME, Pompei P, Ales KL, MacKenzie CR. A new method of classifying prognostic comorbidity in longitudinal studies: Development and validation. Journal of Chronic Diseases. 1987;40:373–83.</w:t>
      </w:r>
    </w:p>
    <w:bookmarkEnd w:id="116"/>
    <w:bookmarkStart w:id="118" w:name="ref-Deyo1992"/>
    <w:p>
      <w:pPr>
        <w:pStyle w:val="Bibliography"/>
      </w:pPr>
      <w:r>
        <w:t xml:space="preserve">30. Deyo RA, Cherkin DC, Ciol MA. Adapting a clinical comorbidity index for use with ICD-9-CM administrative databases. Journal of Clinical Epidemiology. 1992;45:613–9. doi:</w:t>
      </w:r>
      <w:hyperlink r:id="rId117">
        <w:r>
          <w:rPr>
            <w:rStyle w:val="Hyperlink"/>
          </w:rPr>
          <w:t xml:space="preserve">10.1016/0895-4356(92)90133-8</w:t>
        </w:r>
      </w:hyperlink>
      <w:r>
        <w:t xml:space="preserve">.</w:t>
      </w:r>
    </w:p>
    <w:bookmarkEnd w:id="118"/>
    <w:bookmarkStart w:id="119" w:name="ref-Quan2005"/>
    <w:p>
      <w:pPr>
        <w:pStyle w:val="Bibliography"/>
      </w:pPr>
      <w:r>
        <w:t xml:space="preserve">31. Quan H, Sundararajan V, Halfon P, Fong A, Burnand B, Luthi J-C, et al. Coding algorithms for defining comorbidities in ICD-9-CM and ICD-10 administrative data. Medical care. 2005;43:1130–9.</w:t>
      </w:r>
    </w:p>
    <w:bookmarkEnd w:id="119"/>
    <w:bookmarkStart w:id="120" w:name="ref-Elixhauser1998"/>
    <w:p>
      <w:pPr>
        <w:pStyle w:val="Bibliography"/>
      </w:pPr>
      <w:r>
        <w:t xml:space="preserve">32. Elixhauser A, Steiner C, Harris DR, Coffey RM. Comorbidity measures for use with administrative data. Medical care. 1998;36:8–27.</w:t>
      </w:r>
    </w:p>
    <w:bookmarkEnd w:id="120"/>
    <w:bookmarkStart w:id="122" w:name="ref-Guo2015"/>
    <w:p>
      <w:pPr>
        <w:pStyle w:val="Bibliography"/>
      </w:pPr>
      <w:r>
        <w:t xml:space="preserve">33. Guo P, Zeng F, Hu X, Zhang D, Zhu S, Deng Y, et al. Improved variable selection algorithm using a LASSO-Type penalty, with an application to assessing hepatitis b infection relevant factors in community residents. PLOS ONE. 2015;10:e0134151. doi:</w:t>
      </w:r>
      <w:hyperlink r:id="rId121">
        <w:r>
          <w:rPr>
            <w:rStyle w:val="Hyperlink"/>
          </w:rPr>
          <w:t xml:space="preserve">10.1371/journal.pone.0134151</w:t>
        </w:r>
      </w:hyperlink>
      <w:r>
        <w:t xml:space="preserve">.</w:t>
      </w:r>
    </w:p>
    <w:bookmarkEnd w:id="122"/>
    <w:bookmarkStart w:id="124" w:name="ref-Baranowski2020"/>
    <w:p>
      <w:pPr>
        <w:pStyle w:val="Bibliography"/>
      </w:pPr>
      <w:r>
        <w:t xml:space="preserve">34. Baranowski R, Chen Y, Fryzlewicz P. Ranking-based variable selection for high-dimensional data. Statistica Sinica. 2020. doi:</w:t>
      </w:r>
      <w:hyperlink r:id="rId123">
        <w:r>
          <w:rPr>
            <w:rStyle w:val="Hyperlink"/>
          </w:rPr>
          <w:t xml:space="preserve">10.5705/ss.202017.0139</w:t>
        </w:r>
      </w:hyperlink>
      <w:r>
        <w:t xml:space="preserve">.</w:t>
      </w:r>
    </w:p>
    <w:bookmarkEnd w:id="124"/>
    <w:bookmarkStart w:id="126" w:name="ref-Austin2004"/>
    <w:p>
      <w:pPr>
        <w:pStyle w:val="Bibliography"/>
      </w:pPr>
      <w:r>
        <w:t xml:space="preserve">35. Austin PC, Tu JV. Bootstrap methods for developing predictive models. The American Statistician. 2004;58:131–7. doi:</w:t>
      </w:r>
      <w:hyperlink r:id="rId125">
        <w:r>
          <w:rPr>
            <w:rStyle w:val="Hyperlink"/>
          </w:rPr>
          <w:t xml:space="preserve">10.1198/0003130043277</w:t>
        </w:r>
      </w:hyperlink>
      <w:r>
        <w:t xml:space="preserve">.</w:t>
      </w:r>
    </w:p>
    <w:bookmarkEnd w:id="126"/>
    <w:bookmarkStart w:id="127" w:name="ref-Ripley2002"/>
    <w:p>
      <w:pPr>
        <w:pStyle w:val="Bibliography"/>
      </w:pPr>
      <w:r>
        <w:t xml:space="preserve">36. Ripley B, Venables WN. Modern applied statistics with S. Springer, New York; 2002.</w:t>
      </w:r>
    </w:p>
    <w:bookmarkEnd w:id="127"/>
    <w:bookmarkStart w:id="129" w:name="ref-Fawcett2006"/>
    <w:p>
      <w:pPr>
        <w:pStyle w:val="Bibliography"/>
      </w:pPr>
      <w:r>
        <w:t xml:space="preserve">37. Fawcett T. An introduction to ROC analysis. Pattern Recognition Letters. 2006;27:861–74. doi:</w:t>
      </w:r>
      <w:hyperlink r:id="rId128">
        <w:r>
          <w:rPr>
            <w:rStyle w:val="Hyperlink"/>
          </w:rPr>
          <w:t xml:space="preserve">10.1016/J.PATREC.2005.10.010</w:t>
        </w:r>
      </w:hyperlink>
      <w:r>
        <w:t xml:space="preserve">.</w:t>
      </w:r>
    </w:p>
    <w:bookmarkEnd w:id="129"/>
    <w:bookmarkStart w:id="131" w:name="ref-Miller1991"/>
    <w:p>
      <w:pPr>
        <w:pStyle w:val="Bibliography"/>
      </w:pPr>
      <w:r>
        <w:t xml:space="preserve">38. Miller ME, Hui SL, Tierney WM. Validation techniques for logistic regression models. Statistics in Medicine. 1991;10:1213–26. doi:</w:t>
      </w:r>
      <w:hyperlink r:id="rId130">
        <w:r>
          <w:rPr>
            <w:rStyle w:val="Hyperlink"/>
          </w:rPr>
          <w:t xml:space="preserve">10.1002/sim.4780100805</w:t>
        </w:r>
      </w:hyperlink>
      <w:r>
        <w:t xml:space="preserve">.</w:t>
      </w:r>
    </w:p>
    <w:bookmarkEnd w:id="131"/>
    <w:bookmarkStart w:id="133" w:name="ref-Nattino2016"/>
    <w:p>
      <w:pPr>
        <w:pStyle w:val="Bibliography"/>
      </w:pPr>
      <w:r>
        <w:t xml:space="preserve">39. Nattino G, Finazzi S, Bertolini G. A new test and graphical tool to assess the goodness of fit of logistic regression models. Statistics in Medicine. 2016;35:709–20. doi:</w:t>
      </w:r>
      <w:hyperlink r:id="rId132">
        <w:r>
          <w:rPr>
            <w:rStyle w:val="Hyperlink"/>
          </w:rPr>
          <w:t xml:space="preserve">10.1002/sim.6744</w:t>
        </w:r>
      </w:hyperlink>
      <w:r>
        <w:t xml:space="preserve">.</w:t>
      </w:r>
    </w:p>
    <w:bookmarkEnd w:id="133"/>
    <w:bookmarkStart w:id="135" w:name="ref-Steyerberg2004"/>
    <w:p>
      <w:pPr>
        <w:pStyle w:val="Bibliography"/>
      </w:pPr>
      <w:r>
        <w:t xml:space="preserve">40. Steyerberg EW, Borsboom GJJM, van Houwelingen HC, Eijkemans MJC, Habbema JDF. Validation and updating of predictive logistic regression models: A study on sample size and shrinkage. Statistics in Medicine. 2004;23:2567–86. doi:</w:t>
      </w:r>
      <w:hyperlink r:id="rId134">
        <w:r>
          <w:rPr>
            <w:rStyle w:val="Hyperlink"/>
          </w:rPr>
          <w:t xml:space="preserve">10.1002/sim.1844</w:t>
        </w:r>
      </w:hyperlink>
      <w:r>
        <w:t xml:space="preserve">.</w:t>
      </w:r>
    </w:p>
    <w:bookmarkEnd w:id="135"/>
    <w:bookmarkStart w:id="136" w:name="ref-Breiman2001"/>
    <w:p>
      <w:pPr>
        <w:pStyle w:val="Bibliography"/>
      </w:pPr>
      <w:r>
        <w:t xml:space="preserve">41. Breiman L. Statistical modeling: The two cultures. Statistical Science. 2001;16:199–215.</w:t>
      </w:r>
    </w:p>
    <w:bookmarkEnd w:id="136"/>
    <w:bookmarkStart w:id="137" w:name="ref-Haynes1995"/>
    <w:p>
      <w:pPr>
        <w:pStyle w:val="Bibliography"/>
      </w:pPr>
      <w:r>
        <w:t xml:space="preserve">42. Haynes SR, Lawler PG. An assessment of the consistency of ASA physical status classification allocation. Anaesthesia. 1995;50:195–9.</w:t>
      </w:r>
    </w:p>
    <w:bookmarkEnd w:id="137"/>
    <w:bookmarkStart w:id="138" w:name="ref-Whitmore2014"/>
    <w:p>
      <w:pPr>
        <w:pStyle w:val="Bibliography"/>
      </w:pPr>
      <w:r>
        <w:t xml:space="preserve">43. Whitmore RG, Stephen JH, Vernick C, Campbell PG, Yadla S, Ghobrial GM, et al. ASA grade and Charlson Comorbidity Index of spinal surgery patients: Correlation with complications and societal costs. The spine journal : official journal of the North American Spine Society. 2014;14:31–8.</w:t>
      </w:r>
    </w:p>
    <w:bookmarkEnd w:id="138"/>
    <w:bookmarkStart w:id="140" w:name="ref-Kork2015"/>
    <w:p>
      <w:pPr>
        <w:pStyle w:val="Bibliography"/>
      </w:pPr>
      <w:r>
        <w:t xml:space="preserve">44. Kork F, Balzer F, Krannich A, Weiss B, Wernecke K-D, Spies C. Association of comorbidities with postoperative in-hospital mortality: A retrospective cohort study. Medicine. 2015;94:e576. doi:</w:t>
      </w:r>
      <w:hyperlink r:id="rId139">
        <w:r>
          <w:rPr>
            <w:rStyle w:val="Hyperlink"/>
          </w:rPr>
          <w:t xml:space="preserve">10.1097/MD.0000000000000576</w:t>
        </w:r>
      </w:hyperlink>
      <w:r>
        <w:t xml:space="preserve">.</w:t>
      </w:r>
    </w:p>
    <w:bookmarkEnd w:id="140"/>
    <w:bookmarkStart w:id="142" w:name="ref-Mood2010"/>
    <w:p>
      <w:pPr>
        <w:pStyle w:val="Bibliography"/>
      </w:pPr>
      <w:r>
        <w:t xml:space="preserve">45. Mood C. Logistic regression: Why we cannot do what we think we can do, and what we can do about it. European Sociological Review. 2010;26:67–82. doi:</w:t>
      </w:r>
      <w:hyperlink r:id="rId141">
        <w:r>
          <w:rPr>
            <w:rStyle w:val="Hyperlink"/>
          </w:rPr>
          <w:t xml:space="preserve">10.1093/esr/jcp006</w:t>
        </w:r>
      </w:hyperlink>
      <w:r>
        <w:t xml:space="preserve">.</w:t>
      </w:r>
    </w:p>
    <w:bookmarkEnd w:id="142"/>
    <w:bookmarkStart w:id="143" w:name="ref-Soderman2000"/>
    <w:p>
      <w:pPr>
        <w:pStyle w:val="Bibliography"/>
      </w:pPr>
      <w:r>
        <w:t xml:space="preserve">46. Söderman P, Malchau H, Herberts P, Johnell O. Are the findings in the swedish national total hip arthroplasty register valid? A comparison between the swedish national total hip arthroplasty register, the national discharge register, and the national death register. The Journal of arthroplasty. 2000;15:884–9.</w:t>
      </w:r>
    </w:p>
    <w:bookmarkEnd w:id="143"/>
    <w:bookmarkStart w:id="144" w:name="ref-Soderman2001"/>
    <w:p>
      <w:pPr>
        <w:pStyle w:val="Bibliography"/>
      </w:pPr>
      <w:r>
        <w:t xml:space="preserve">47. Söderman P, Malchau H, Herberts P, Zügner R, Regnér H, Garellick G. Outcome after total hip arthroplasty: Part II. Disease-specific follow-up and the swedish national total hip arthroplasty register. Acta orthopaedica Scandinavica. 2001;72:113–9.</w:t>
      </w:r>
    </w:p>
    <w:bookmarkEnd w:id="144"/>
    <w:bookmarkStart w:id="145" w:name="ref-Spencer2012"/>
    <w:p>
      <w:pPr>
        <w:pStyle w:val="Bibliography"/>
      </w:pPr>
      <w:r>
        <w:t xml:space="preserve">48. Spencer SA, Davies MP. Hospital episode statistics: Improving the quality and value of hospital data: A national internet e-survey of hospital consultants. BMJ Open. 2012;2.</w:t>
      </w:r>
    </w:p>
    <w:bookmarkEnd w:id="145"/>
    <w:bookmarkStart w:id="146" w:name="ref-Williams2002"/>
    <w:p>
      <w:pPr>
        <w:pStyle w:val="Bibliography"/>
      </w:pPr>
      <w:r>
        <w:t xml:space="preserve">49. Williams JG, Mann RY. Hospital episode statistics: Time for clinicians to get involved? Clinical medicine (London, England). 2002;2:34–7.</w:t>
      </w:r>
    </w:p>
    <w:bookmarkEnd w:id="146"/>
    <w:bookmarkStart w:id="147" w:name="ref-Brennan2012"/>
    <w:p>
      <w:pPr>
        <w:pStyle w:val="Bibliography"/>
      </w:pPr>
      <w:r>
        <w:t xml:space="preserve">50. Brennan L, Watson M, Klaber R, Charles T. The importance of knowing context of hospital episode statistics when reconfiguring the NHS. BMJ (Online). 2012;344.</w:t>
      </w:r>
    </w:p>
    <w:bookmarkEnd w:id="147"/>
    <w:bookmarkStart w:id="148" w:name="ref-Smith2012"/>
    <w:p>
      <w:pPr>
        <w:pStyle w:val="Bibliography"/>
      </w:pPr>
      <w:r>
        <w:t xml:space="preserve">51. Smith AJ, Dieppe P, Porter M, Blom AW. Risk of cancer in first seven years after metal-on-metal hip replacement compared with other bearings and general population: Linkage study between the National Joint Registry of England and Wales and hospital episode statistics. BMJ (Online). 2012;344.</w:t>
      </w:r>
    </w:p>
    <w:bookmarkEnd w:id="148"/>
    <w:bookmarkStart w:id="150" w:name="ref-Mouchti2018"/>
    <w:p>
      <w:pPr>
        <w:pStyle w:val="Bibliography"/>
      </w:pPr>
      <w:r>
        <w:t xml:space="preserve">52. Mouchti S, Whitehouse MR, Sayers A, Hunt LP, MacGregor A, Blom AW. The association of body mass index with risk of long-term revision and 90-Day mortality following primary total hip replacement. The Journal of Bone and Joint Surgery. 2018;100:2140–52. doi:</w:t>
      </w:r>
      <w:hyperlink r:id="rId149">
        <w:r>
          <w:rPr>
            <w:rStyle w:val="Hyperlink"/>
          </w:rPr>
          <w:t xml:space="preserve">10.2106/JBJS.18.00120</w:t>
        </w:r>
      </w:hyperlink>
      <w:r>
        <w:t xml:space="preserve">.</w:t>
      </w:r>
    </w:p>
    <w:bookmarkEnd w:id="150"/>
    <w:bookmarkStart w:id="151" w:name="ref-Stommel2009"/>
    <w:p>
      <w:pPr>
        <w:pStyle w:val="Bibliography"/>
      </w:pPr>
      <w:r>
        <w:t xml:space="preserve">53. Stommel M, Schoenborn CA. Accuracy and usefulness of BMI measures based on self-reported weight and height: Findings from the NHANES &amp; NHIS 2001-2006. BMC Public Health. 2009;9:1–10.</w:t>
      </w:r>
    </w:p>
    <w:bookmarkEnd w:id="151"/>
    <w:bookmarkEnd w:id="152"/>
    <w:sectPr w:rsidR="000833EA" w:rsidSect="005438CC">
      <w:headerReference w:type="even" r:id="rId11"/>
      <w:headerReference w:type="default" r:id="rId9"/>
      <w:footerReference w:type="even" r:id="rId13"/>
      <w:footerReference w:type="default" r:id="rId12"/>
      <w:headerReference w:type="first" r:id="rId10"/>
      <w:footerReference w:type="first" r:id="rId14"/>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5438CC">
        <w:pPr>
          <w:pStyle w:val="Header"/>
          <w:jc w:val="right"/>
        </w:pPr>
        <w:r>
          <w:rPr>
            <w:lang w:val="sv-SE"/>
          </w:rPr>
          <w:t>Page</w:t>
        </w:r>
        <w:r w:rsidR="002C5781">
          <w:rPr>
            <w:lang w:val="sv-SE"/>
          </w:rPr>
          <w:t xml:space="preserve"> </w:t>
        </w:r>
        <w:r w:rsidR="002C5781">
          <w:rPr>
            <w:b/>
            <w:bCs/>
          </w:rPr>
          <w:fldChar w:fldCharType="begin"/>
        </w:r>
        <w:r w:rsidR="002C5781">
          <w:rPr>
            <w:b/>
            <w:bCs/>
          </w:rPr>
          <w:instrText>PAGE</w:instrText>
        </w:r>
        <w:r w:rsidR="002C5781">
          <w:rPr>
            <w:b/>
            <w:bCs/>
          </w:rPr>
          <w:fldChar w:fldCharType="separate"/>
        </w:r>
        <w:r>
          <w:rPr>
            <w:b/>
            <w:bCs/>
            <w:noProof/>
          </w:rPr>
          <w:t>1</w:t>
        </w:r>
        <w:r w:rsidR="002C5781">
          <w:rPr>
            <w:b/>
            <w:bCs/>
          </w:rPr>
          <w:fldChar w:fldCharType="end"/>
        </w:r>
        <w:r w:rsidR="002C5781">
          <w:rPr>
            <w:lang w:val="sv-SE"/>
          </w:rPr>
          <w:t xml:space="preserve"> </w:t>
        </w:r>
        <w:r>
          <w:rPr>
            <w:lang w:val="sv-SE"/>
          </w:rPr>
          <w:t>of</w:t>
        </w:r>
        <w:r w:rsidR="002C5781">
          <w:rPr>
            <w:lang w:val="sv-SE"/>
          </w:rPr>
          <w:t xml:space="preserve"> </w:t>
        </w:r>
        <w:r w:rsidR="002C5781">
          <w:rPr>
            <w:b/>
            <w:bCs/>
          </w:rPr>
          <w:fldChar w:fldCharType="begin"/>
        </w:r>
        <w:r w:rsidR="002C5781">
          <w:rPr>
            <w:b/>
            <w:bCs/>
          </w:rPr>
          <w:instrText>NUMPAGES</w:instrText>
        </w:r>
        <w:r w:rsidR="002C5781">
          <w:rPr>
            <w:b/>
            <w:bCs/>
          </w:rPr>
          <w:fldChar w:fldCharType="separate"/>
        </w:r>
        <w:r>
          <w:rPr>
            <w:b/>
            <w:bCs/>
            <w:noProof/>
          </w:rPr>
          <w:t>26</w:t>
        </w:r>
        <w:r w:rsidR="002C5781">
          <w:rPr>
            <w:b/>
            <w:bCs/>
          </w:rPr>
          <w:fldChar w:fldCharType="end"/>
        </w:r>
      </w:p>
    </w:sdtContent>
  </w:sdt>
  <w:p w:rsidR="00A5728A" w:rsidRDefault="005438CC" w:rsidP="005438CC">
    <w:pPr>
      <w:pStyle w:val="Header"/>
      <w:tabs>
        <w:tab w:val="clear" w:pos="4703"/>
        <w:tab w:val="clear" w:pos="9406"/>
        <w:tab w:val="left" w:pos="6775"/>
      </w:tabs>
    </w:pPr>
    <w:r>
      <w:tab/>
    </w:r>
    <w:bookmarkStart w:id="56" w:name="_GoBack"/>
    <w:bookmarkEnd w:id="56"/>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hyperlink" Id="rId34" Target="http://doi.org/10.5281/zenodo.3732852" TargetMode="External" /><Relationship Type="http://schemas.openxmlformats.org/officeDocument/2006/relationships/hyperlink" Id="rId134" Target="https://doi.org/10.1002/sim.1844" TargetMode="External" /><Relationship Type="http://schemas.openxmlformats.org/officeDocument/2006/relationships/hyperlink" Id="rId130" Target="https://doi.org/10.1002/sim.4780100805" TargetMode="External" /><Relationship Type="http://schemas.openxmlformats.org/officeDocument/2006/relationships/hyperlink" Id="rId132" Target="https://doi.org/10.1002/sim.6744" TargetMode="External" /><Relationship Type="http://schemas.openxmlformats.org/officeDocument/2006/relationships/hyperlink" Id="rId102" Target="https://doi.org/10.1007/s10654-019-00511-8" TargetMode="External" /><Relationship Type="http://schemas.openxmlformats.org/officeDocument/2006/relationships/hyperlink" Id="rId80" Target="https://doi.org/10.1007/s11999-012-2605-z" TargetMode="External" /><Relationship Type="http://schemas.openxmlformats.org/officeDocument/2006/relationships/hyperlink" Id="rId82" Target="https://doi.org/10.1007/s11999-013-2838-5" TargetMode="External" /><Relationship Type="http://schemas.openxmlformats.org/officeDocument/2006/relationships/hyperlink" Id="rId117" Target="https://doi.org/10.1016/0895-4356(92)90133-8" TargetMode="External" /><Relationship Type="http://schemas.openxmlformats.org/officeDocument/2006/relationships/hyperlink" Id="rId86" Target="https://doi.org/10.1016/J.ARTH.2017.12.003" TargetMode="External" /><Relationship Type="http://schemas.openxmlformats.org/officeDocument/2006/relationships/hyperlink" Id="rId128" Target="https://doi.org/10.1016/J.PATREC.2005.10.010" TargetMode="External" /><Relationship Type="http://schemas.openxmlformats.org/officeDocument/2006/relationships/hyperlink" Id="rId67" Target="https://doi.org/10.1016/S0140-6736(13)61749-3" TargetMode="External" /><Relationship Type="http://schemas.openxmlformats.org/officeDocument/2006/relationships/hyperlink" Id="rId88" Target="https://doi.org/10.1016/j.joca.2016.05.006" TargetMode="External" /><Relationship Type="http://schemas.openxmlformats.org/officeDocument/2006/relationships/hyperlink" Id="rId75" Target="https://doi.org/10.1080/17453674.2017.1341243" TargetMode="External" /><Relationship Type="http://schemas.openxmlformats.org/officeDocument/2006/relationships/hyperlink" Id="rId111" Target="https://doi.org/10.1093/ageing/afu020" TargetMode="External" /><Relationship Type="http://schemas.openxmlformats.org/officeDocument/2006/relationships/hyperlink" Id="rId141" Target="https://doi.org/10.1093/esr/jcp006" TargetMode="External" /><Relationship Type="http://schemas.openxmlformats.org/officeDocument/2006/relationships/hyperlink" Id="rId109" Target="https://doi.org/10.1093/eurpub/cks046" TargetMode="External" /><Relationship Type="http://schemas.openxmlformats.org/officeDocument/2006/relationships/hyperlink" Id="rId114" Target="https://doi.org/10.1093/ije/dyv322" TargetMode="External" /><Relationship Type="http://schemas.openxmlformats.org/officeDocument/2006/relationships/hyperlink" Id="rId107" Target="https://doi.org/10.1093/pubmed/fdr054" TargetMode="External" /><Relationship Type="http://schemas.openxmlformats.org/officeDocument/2006/relationships/hyperlink" Id="rId84" Target="https://doi.org/10.1097/CORR.0000000000000377" TargetMode="External" /><Relationship Type="http://schemas.openxmlformats.org/officeDocument/2006/relationships/hyperlink" Id="rId92" Target="https://doi.org/10.1097/CORR.0000000000000601" TargetMode="External" /><Relationship Type="http://schemas.openxmlformats.org/officeDocument/2006/relationships/hyperlink" Id="rId95" Target="https://doi.org/10.1097/CORR.0000000000001210" TargetMode="External" /><Relationship Type="http://schemas.openxmlformats.org/officeDocument/2006/relationships/hyperlink" Id="rId139" Target="https://doi.org/10.1097/MD.0000000000000576" TargetMode="External" /><Relationship Type="http://schemas.openxmlformats.org/officeDocument/2006/relationships/hyperlink" Id="rId104" Target="https://doi.org/10.1186/1471-2458-11-450" TargetMode="External" /><Relationship Type="http://schemas.openxmlformats.org/officeDocument/2006/relationships/hyperlink" Id="rId73" Target="https://doi.org/10.1186/s12891-016-1070-3" TargetMode="External" /><Relationship Type="http://schemas.openxmlformats.org/officeDocument/2006/relationships/hyperlink" Id="rId98" Target="https://doi.org/10.1186/s12891-016-1262-x" TargetMode="External" /><Relationship Type="http://schemas.openxmlformats.org/officeDocument/2006/relationships/hyperlink" Id="rId125" Target="https://doi.org/10.1198/0003130043277" TargetMode="External" /><Relationship Type="http://schemas.openxmlformats.org/officeDocument/2006/relationships/hyperlink" Id="rId69" Target="https://doi.org/10.1302/0301-620X.99B1.BJJ-2016-0304.R1" TargetMode="External" /><Relationship Type="http://schemas.openxmlformats.org/officeDocument/2006/relationships/hyperlink" Id="rId121" Target="https://doi.org/10.1371/journal.pone.0134151" TargetMode="External" /><Relationship Type="http://schemas.openxmlformats.org/officeDocument/2006/relationships/hyperlink" Id="rId149" Target="https://doi.org/10.2106/JBJS.18.00120" TargetMode="External" /><Relationship Type="http://schemas.openxmlformats.org/officeDocument/2006/relationships/hyperlink" Id="rId90" Target="https://doi.org/10.3310/hta23320" TargetMode="External" /><Relationship Type="http://schemas.openxmlformats.org/officeDocument/2006/relationships/hyperlink" Id="rId77" Target="https://doi.org/10.3414/ME17-01-0051" TargetMode="External" /><Relationship Type="http://schemas.openxmlformats.org/officeDocument/2006/relationships/hyperlink" Id="rId123" Target="https://doi.org/10.5705/ss.202017.0139" TargetMode="External" /><Relationship Type="http://schemas.openxmlformats.org/officeDocument/2006/relationships/hyperlink" Id="rId26" Target="https://jointcalc.shef.ac.uk/" TargetMode="External" /><Relationship Type="http://schemas.openxmlformats.org/officeDocument/2006/relationships/hyperlink" Id="rId100" Target="https://registercentrum.blob.core.windows.net/shpr/r/-rsrapport-2016-SJirXXUsb.pdf" TargetMode="External" /><Relationship Type="http://schemas.openxmlformats.org/officeDocument/2006/relationships/hyperlink" Id="rId24" Target="https://shpr.registercentrum.se/om-registret-1/forskning/prediktion-av-90-dagarsmortalitet/p/SkyeTsTFB" TargetMode="External" /><Relationship Type="http://schemas.openxmlformats.org/officeDocument/2006/relationships/hyperlink" Id="rId21" Target="mailto:erik.bulow@gu.se" TargetMode="External" /></Relationships>
</file>

<file path=word/_rels/footnotes.xml.rels><?xml version="1.0" encoding="UTF-8"?>
<Relationships xmlns="http://schemas.openxmlformats.org/package/2006/relationships"><Relationship Type="http://schemas.openxmlformats.org/officeDocument/2006/relationships/hyperlink" Id="rId34" Target="http://doi.org/10.5281/zenodo.3732852" TargetMode="External" /><Relationship Type="http://schemas.openxmlformats.org/officeDocument/2006/relationships/hyperlink" Id="rId134" Target="https://doi.org/10.1002/sim.1844" TargetMode="External" /><Relationship Type="http://schemas.openxmlformats.org/officeDocument/2006/relationships/hyperlink" Id="rId130" Target="https://doi.org/10.1002/sim.4780100805" TargetMode="External" /><Relationship Type="http://schemas.openxmlformats.org/officeDocument/2006/relationships/hyperlink" Id="rId132" Target="https://doi.org/10.1002/sim.6744" TargetMode="External" /><Relationship Type="http://schemas.openxmlformats.org/officeDocument/2006/relationships/hyperlink" Id="rId102" Target="https://doi.org/10.1007/s10654-019-00511-8" TargetMode="External" /><Relationship Type="http://schemas.openxmlformats.org/officeDocument/2006/relationships/hyperlink" Id="rId80" Target="https://doi.org/10.1007/s11999-012-2605-z" TargetMode="External" /><Relationship Type="http://schemas.openxmlformats.org/officeDocument/2006/relationships/hyperlink" Id="rId82" Target="https://doi.org/10.1007/s11999-013-2838-5" TargetMode="External" /><Relationship Type="http://schemas.openxmlformats.org/officeDocument/2006/relationships/hyperlink" Id="rId117" Target="https://doi.org/10.1016/0895-4356(92)90133-8" TargetMode="External" /><Relationship Type="http://schemas.openxmlformats.org/officeDocument/2006/relationships/hyperlink" Id="rId86" Target="https://doi.org/10.1016/J.ARTH.2017.12.003" TargetMode="External" /><Relationship Type="http://schemas.openxmlformats.org/officeDocument/2006/relationships/hyperlink" Id="rId128" Target="https://doi.org/10.1016/J.PATREC.2005.10.010" TargetMode="External" /><Relationship Type="http://schemas.openxmlformats.org/officeDocument/2006/relationships/hyperlink" Id="rId67" Target="https://doi.org/10.1016/S0140-6736(13)61749-3" TargetMode="External" /><Relationship Type="http://schemas.openxmlformats.org/officeDocument/2006/relationships/hyperlink" Id="rId88" Target="https://doi.org/10.1016/j.joca.2016.05.006" TargetMode="External" /><Relationship Type="http://schemas.openxmlformats.org/officeDocument/2006/relationships/hyperlink" Id="rId75" Target="https://doi.org/10.1080/17453674.2017.1341243" TargetMode="External" /><Relationship Type="http://schemas.openxmlformats.org/officeDocument/2006/relationships/hyperlink" Id="rId111" Target="https://doi.org/10.1093/ageing/afu020" TargetMode="External" /><Relationship Type="http://schemas.openxmlformats.org/officeDocument/2006/relationships/hyperlink" Id="rId141" Target="https://doi.org/10.1093/esr/jcp006" TargetMode="External" /><Relationship Type="http://schemas.openxmlformats.org/officeDocument/2006/relationships/hyperlink" Id="rId109" Target="https://doi.org/10.1093/eurpub/cks046" TargetMode="External" /><Relationship Type="http://schemas.openxmlformats.org/officeDocument/2006/relationships/hyperlink" Id="rId114" Target="https://doi.org/10.1093/ije/dyv322" TargetMode="External" /><Relationship Type="http://schemas.openxmlformats.org/officeDocument/2006/relationships/hyperlink" Id="rId107" Target="https://doi.org/10.1093/pubmed/fdr054" TargetMode="External" /><Relationship Type="http://schemas.openxmlformats.org/officeDocument/2006/relationships/hyperlink" Id="rId84" Target="https://doi.org/10.1097/CORR.0000000000000377" TargetMode="External" /><Relationship Type="http://schemas.openxmlformats.org/officeDocument/2006/relationships/hyperlink" Id="rId92" Target="https://doi.org/10.1097/CORR.0000000000000601" TargetMode="External" /><Relationship Type="http://schemas.openxmlformats.org/officeDocument/2006/relationships/hyperlink" Id="rId95" Target="https://doi.org/10.1097/CORR.0000000000001210" TargetMode="External" /><Relationship Type="http://schemas.openxmlformats.org/officeDocument/2006/relationships/hyperlink" Id="rId139" Target="https://doi.org/10.1097/MD.0000000000000576" TargetMode="External" /><Relationship Type="http://schemas.openxmlformats.org/officeDocument/2006/relationships/hyperlink" Id="rId104" Target="https://doi.org/10.1186/1471-2458-11-450" TargetMode="External" /><Relationship Type="http://schemas.openxmlformats.org/officeDocument/2006/relationships/hyperlink" Id="rId73" Target="https://doi.org/10.1186/s12891-016-1070-3" TargetMode="External" /><Relationship Type="http://schemas.openxmlformats.org/officeDocument/2006/relationships/hyperlink" Id="rId98" Target="https://doi.org/10.1186/s12891-016-1262-x" TargetMode="External" /><Relationship Type="http://schemas.openxmlformats.org/officeDocument/2006/relationships/hyperlink" Id="rId125" Target="https://doi.org/10.1198/0003130043277" TargetMode="External" /><Relationship Type="http://schemas.openxmlformats.org/officeDocument/2006/relationships/hyperlink" Id="rId69" Target="https://doi.org/10.1302/0301-620X.99B1.BJJ-2016-0304.R1" TargetMode="External" /><Relationship Type="http://schemas.openxmlformats.org/officeDocument/2006/relationships/hyperlink" Id="rId121" Target="https://doi.org/10.1371/journal.pone.0134151" TargetMode="External" /><Relationship Type="http://schemas.openxmlformats.org/officeDocument/2006/relationships/hyperlink" Id="rId149" Target="https://doi.org/10.2106/JBJS.18.00120" TargetMode="External" /><Relationship Type="http://schemas.openxmlformats.org/officeDocument/2006/relationships/hyperlink" Id="rId90" Target="https://doi.org/10.3310/hta23320" TargetMode="External" /><Relationship Type="http://schemas.openxmlformats.org/officeDocument/2006/relationships/hyperlink" Id="rId77" Target="https://doi.org/10.3414/ME17-01-0051" TargetMode="External" /><Relationship Type="http://schemas.openxmlformats.org/officeDocument/2006/relationships/hyperlink" Id="rId123" Target="https://doi.org/10.5705/ss.202017.0139" TargetMode="External" /><Relationship Type="http://schemas.openxmlformats.org/officeDocument/2006/relationships/hyperlink" Id="rId26" Target="https://jointcalc.shef.ac.uk/" TargetMode="External" /><Relationship Type="http://schemas.openxmlformats.org/officeDocument/2006/relationships/hyperlink" Id="rId100" Target="https://registercentrum.blob.core.windows.net/shpr/r/-rsrapport-2016-SJirXXUsb.pdf" TargetMode="External" /><Relationship Type="http://schemas.openxmlformats.org/officeDocument/2006/relationships/hyperlink" Id="rId24" Target="https://shpr.registercentrum.se/om-registret-1/forskning/prediktion-av-90-dagarsmortalitet/p/SkyeTsTFB" TargetMode="External" /><Relationship Type="http://schemas.openxmlformats.org/officeDocument/2006/relationships/hyperlink" Id="rId21" Target="mailto:erik.bulow@g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Bülow*2,4, Erik Lenguerrand5, Ashley Blom5,6, J. Mark Wilkinson7, Adrian Sayers5, Ola Rolfson2,4, Nils P. Hailer1,2</dc:creator>
  <cp:keywords/>
  <dcterms:created xsi:type="dcterms:W3CDTF">2020-05-23T15:48:52Z</dcterms:created>
  <dcterms:modified xsi:type="dcterms:W3CDTF">2020-05-23T15:48:52Z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bmc-medicine.csl</vt:lpwstr>
  </property>
  <property fmtid="{D5CDD505-2E9C-101B-9397-08002B2CF9AE}" pid="4" name="date">
    <vt:lpwstr>2020-05-23</vt:lpwstr>
  </property>
  <property fmtid="{D5CDD505-2E9C-101B-9397-08002B2CF9AE}" pid="5" name="output">
    <vt:lpwstr/>
  </property>
</Properties>
</file>