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2020-08-27</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 (postal: Akademiska sjukhuset, ingång 61, 6 tr, SE-751 85 Uppsala, Sweden)</w:t>
      </w:r>
    </w:p>
    <w:p>
      <w:pPr>
        <w:pStyle w:val="Compact"/>
        <w:numPr>
          <w:numId w:val="1001"/>
          <w:ilvl w:val="0"/>
        </w:numPr>
      </w:pPr>
      <w:r>
        <w:t xml:space="preserve">The Swedish Hip Arthroplasty Register, Gothenburg, Sweden (postal: Registercentrum Västra Götaland, SE-413 45 Gothenburg, Sweden)</w:t>
      </w:r>
    </w:p>
    <w:p>
      <w:pPr>
        <w:pStyle w:val="Compact"/>
        <w:numPr>
          <w:numId w:val="1001"/>
          <w:ilvl w:val="0"/>
        </w:numPr>
      </w:pPr>
      <w:r>
        <w:t xml:space="preserve">Department of Orthopaedics, Visby Hospital, Visby, Sweden (postal: S:t Göransgatan 5, SE-621 55 Visby, Sweden)</w:t>
      </w:r>
    </w:p>
    <w:p>
      <w:pPr>
        <w:pStyle w:val="Compact"/>
        <w:numPr>
          <w:numId w:val="1001"/>
          <w:ilvl w:val="0"/>
        </w:numPr>
      </w:pPr>
      <w:r>
        <w:t xml:space="preserve">Department of Orthopaedics, Institute of Clinical Sciences, The Sahlgrenska Academy, University of Gothenburg, Gothenburg, Sweden (postal: Avdelningen för ortopedi, Mölndals sjukhus, Göteborgsvägen 31, SE-431 80 Mölndal, Sweden)</w:t>
      </w:r>
    </w:p>
    <w:p>
      <w:pPr>
        <w:pStyle w:val="Compact"/>
        <w:numPr>
          <w:numId w:val="1001"/>
          <w:ilvl w:val="0"/>
        </w:numPr>
      </w:pPr>
      <w:r>
        <w:t xml:space="preserve">Translational Health Sciences, Bristol Medical School, University of Bristol, UK (postal: Bristol Medical School, University of Bristol, First Floor, 5 Tyndall Avenue</w:t>
      </w:r>
      <w:r>
        <w:t xml:space="preserve"> </w:t>
      </w:r>
      <w:r>
        <w:t xml:space="preserve">Bristol, BS8 1UD, United Kingdom).</w:t>
      </w:r>
    </w:p>
    <w:p>
      <w:pPr>
        <w:pStyle w:val="Compact"/>
        <w:numPr>
          <w:numId w:val="1001"/>
          <w:ilvl w:val="0"/>
        </w:numPr>
      </w:pPr>
      <w:r>
        <w:t xml:space="preserve">The National Institute of Health Research Biomedical Research Centre Bristol (postal: NIHR Biomedical Research Centre Bristol, University Hospitals Bristol and Weston NHS Foundation Trust, University of Bristol, Oakfield House, Oakfield Grove,</w:t>
      </w:r>
      <w:r>
        <w:t xml:space="preserve"> </w:t>
      </w:r>
      <w:r>
        <w:t xml:space="preserve">Bristol BS8 2BN, United Kingdom)</w:t>
      </w:r>
    </w:p>
    <w:p>
      <w:pPr>
        <w:pStyle w:val="Compact"/>
        <w:numPr>
          <w:numId w:val="1001"/>
          <w:ilvl w:val="0"/>
        </w:numPr>
      </w:pPr>
      <w:r>
        <w:t xml:space="preserve">Department of Oncology and Metabolism, University of Sheffield, Sheffield, UK. (postal: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w:t>
      </w:r>
      <w:r>
        <w:t xml:space="preserve"> </w:t>
      </w:r>
      <w:r>
        <w:rPr>
          <w:strike/>
        </w:rPr>
        <w:t xml:space="preserve">diagnosed</w:t>
      </w:r>
      <w:r>
        <w:t xml:space="preserve"> </w:t>
      </w:r>
      <w:r>
        <w:t xml:space="preserve">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w:t>
      </w:r>
      <w:r>
        <w:t xml:space="preserve"> </w:t>
      </w:r>
      <w:r>
        <w:rPr>
          <w:strike/>
        </w:rPr>
        <w:t xml:space="preserve">diagnosed</w:t>
      </w:r>
      <w:r>
        <w:t xml:space="preserve"> </w:t>
      </w:r>
      <w:r>
        <w:t xml:space="preserve">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w:t>
      </w:r>
      <w:r>
        <w:t xml:space="preserve"> </w:t>
      </w:r>
      <w:r>
        <w:rPr>
          <w:strike/>
        </w:rPr>
        <w:t xml:space="preserve">We thus excluded patients where either the femoral stem and/or the acetabular cup were uncemented (uncemented, hybrids and reverse hybrids).</w:t>
      </w:r>
      <w:r>
        <w:t xml:space="preserve"> </w:t>
      </w:r>
      <w:r>
        <w:t xml:space="preserve">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t xml:space="preserve">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15</w:t>
      </w:r>
      <w:r>
        <w:t xml:space="preserve"> </w:t>
      </w:r>
      <w:r>
        <w:t xml:space="preserve">Age, sex, BMI, ASA class, type of hospital and year of surgery were collected from the SHAR, with a completeness of 96-98 %.</w:t>
      </w:r>
      <w:r>
        <w:rPr>
          <w:vertAlign w:val="superscript"/>
        </w:rPr>
        <w:t xml:space="preserve">16</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19</w:t>
      </w:r>
      <w:r>
        <w:t xml:space="preserve"> </w:t>
      </w:r>
      <w:r>
        <w:t xml:space="preserve">Out-patient deaths were linked from the office of national statistics based on NHS-numbers, as well as patient name, age, sex and address.</w:t>
      </w:r>
      <w:r>
        <w:rPr>
          <w:vertAlign w:val="superscript"/>
        </w:rPr>
        <w:t xml:space="preserve">20</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21</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22</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23</w:t>
      </w:r>
      <w:r>
        <w:t xml:space="preserve"> </w:t>
      </w:r>
      <w:r>
        <w:t xml:space="preserve">Calibration bands were made to graphically assess model calibration, comparing predicted probabilities and observed proportions.</w:t>
      </w:r>
      <w:r>
        <w:rPr>
          <w:vertAlign w:val="superscript"/>
        </w:rPr>
        <w:t xml:space="preserve">24</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25</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w:t>
      </w:r>
      <w:r>
        <w:t xml:space="preserve"> </w:t>
      </w:r>
      <w:r>
        <w:rPr>
          <w:strike/>
        </w:rPr>
        <w:t xml:space="preserve">The median age of patients who died within 90 days were 79 years (range 57-95) with distribution in Table</w:t>
      </w:r>
      <w:r>
        <w:rPr>
          <w:strike/>
        </w:rPr>
        <w:t xml:space="preserve"> </w:t>
      </w:r>
      <w:r>
        <w:rPr>
          <w:strike/>
        </w:rPr>
        <w:t xml:space="preserve">3</w:t>
      </w:r>
      <w:r>
        <w:rPr>
          <w:strike/>
        </w:rPr>
        <w:t xml:space="preserve">.</w:t>
      </w:r>
      <w:r>
        <w:t xml:space="preserve"> </w:t>
      </w:r>
      <w:r>
        <w:t xml:space="preserve">Further cohort characteristics are presented in Table</w:t>
      </w:r>
      <w:r>
        <w:t xml:space="preserve"> </w:t>
      </w:r>
      <w:r>
        <w:t xml:space="preserve">2</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4</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5</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5</w:t>
      </w:r>
      <w:r>
        <w:t xml:space="preserve">.</w:t>
      </w:r>
      <w:r>
        <w:t xml:space="preserve"> </w:t>
      </w:r>
      <w:r>
        <w:t xml:space="preserve">This formula is considered valid for patients aged</w:t>
      </w:r>
      <w:r>
        <w:t xml:space="preserve"> </w:t>
      </w:r>
      <w:r>
        <w:rPr>
          <w:strike/>
        </w:rPr>
        <w:t xml:space="preserve">57-95</w:t>
      </w:r>
      <w:r>
        <w:t xml:space="preserve"> </w:t>
      </w:r>
      <w:r>
        <w:t xml:space="preserve">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w:t>
      </w:r>
      <w:r>
        <w:t xml:space="preserve"> </w:t>
      </w:r>
      <w:r>
        <w:rPr>
          <w:strike/>
        </w:rPr>
        <w:t xml:space="preserve">57</w:t>
      </w:r>
      <w:r>
        <w:t xml:space="preserve">-year-old woman with ASA class I and none of the important co-morbidities would have a</w:t>
      </w:r>
      <w:r>
        <w:t xml:space="preserve"> </w:t>
      </w:r>
      <w:r>
        <w:rPr>
          <w:strike/>
        </w:rPr>
        <w:t xml:space="preserve">0.17 ‰</w:t>
      </w:r>
      <w:r>
        <w:t xml:space="preserve"> </w:t>
      </w:r>
      <w:r>
        <w:t xml:space="preserve">risk to die within 90 days of surgery. A woman, 67 years old, would have an elevated risk of 0.37 ‰. A</w:t>
      </w:r>
      <w:r>
        <w:t xml:space="preserve"> </w:t>
      </w:r>
      <w:r>
        <w:rPr>
          <w:strike/>
        </w:rPr>
        <w:t xml:space="preserve">95</w:t>
      </w:r>
      <w:r>
        <w:t xml:space="preserve">-year-old man with ASA class III and cancer, would have a risk of</w:t>
      </w:r>
      <w:r>
        <w:t xml:space="preserve"> </w:t>
      </w:r>
      <w:r>
        <w:rPr>
          <w:strike/>
        </w:rPr>
        <w:t xml:space="preserve">6.5 %</w:t>
      </w:r>
      <w:r>
        <w:t xml:space="preserve">.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26,27</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rPr>
          <w:strike/>
        </w:rPr>
        <w:t xml:space="preserve">Diagnosed</w:t>
      </w:r>
      <w:r>
        <w:t xml:space="preserve"> </w:t>
      </w: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BodyText"/>
      </w:pPr>
      <w:r>
        <w:rPr>
          <w:strike/>
        </w:rPr>
        <w:t xml:space="preserve">It should be noted that short-term mortality after elective THA is rare. As such, it might not be the most immediate issue for patients making an informed decision on whether to operate or not. Other pertinent outcomes includes adverse events after surgery such as prosthetic joint infections or dislocation. Our next step is therefore to extend the web calculator to such events as well.</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16,18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28</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r>
        <w:t xml:space="preserve"> </w:t>
      </w:r>
      <w:r>
        <w:rPr>
          <w:strike/>
        </w:rPr>
        <w:t xml:space="preserve">Possible adaptations of the model to other settings or countries should therfore always be preceeded by additional external validation with data from that target population.</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r>
        <w:t xml:space="preserve"> </w:t>
      </w:r>
      <w:r>
        <w:rPr>
          <w:strike/>
        </w:rPr>
        <w:t xml:space="preserve">This is also indicated by the fact that the relative survival for patients with THA is above 100 % within a year after surgery. Hence, patients with elective THA live longer on average compared to the general population of the same age, sex, and year of birth.</w:t>
      </w:r>
      <w:r>
        <w:rPr>
          <w:vertAlign w:val="superscript"/>
          <w:strike/>
        </w:rPr>
        <w:t xml:space="preserve">31</w:t>
      </w:r>
      <w:r>
        <w:rPr>
          <w:strike/>
        </w:rPr>
        <w:t xml:space="preserve"> </w:t>
      </w:r>
      <w:r>
        <w:rPr>
          <w:strike/>
        </w:rPr>
        <w:t xml:space="preserve">An elevated risk of death (a relative survival below 100 %) is seen, however, for Swedish patients with cemented THA during the first 90 days after surgery, indicating that this event is in itself associated with those deaths.</w:t>
      </w:r>
      <w:r>
        <w:rPr>
          <w:vertAlign w:val="superscript"/>
          <w:strike/>
        </w:rPr>
        <w:t xml:space="preserve">32</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the Charlson and Elixhauser comorbidity indices.</w:t>
      </w:r>
      <w:r>
        <w:t xml:space="preserve"> </w:t>
      </w:r>
      <w:r>
        <w:rPr>
          <w:strike/>
        </w:rPr>
        <w:t xml:space="preserve">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w:t>
      </w:r>
      <w:r>
        <w:t xml:space="preserve">. (CNS = central nervous system.)</w:t>
      </w:r>
    </w:p>
    <w:tbl>
      <w:tblPr>
        <w:tblStyle w:val="Table"/>
        <w:tblW w:type="pct" w:w="5000.0"/>
        <w:tblLook w:firstRow="1"/>
        <w:tblCaption w:val="Table 1: Categorization of comorbidities based on diagnostic groups according to the Charlson and Elixhauser comorbidity indices. 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rPr>
                <w:strike/>
              </w:rPr>
              <w:t xml:space="preserve">Diagnosed</w:t>
            </w:r>
            <w:r>
              <w:t xml:space="preserve"> </w:t>
            </w: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rPr>
                <w:strike/>
              </w:rPr>
              <w:t xml:space="preserve">Diagnosed</w:t>
            </w:r>
            <w:r>
              <w:t xml:space="preserve"> </w:t>
            </w: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2" w:name="page-break-4"/>
      <w:r>
        <w:t xml:space="preserve">PAGE BREAK</w:t>
      </w:r>
      <w:bookmarkEnd w:id="52"/>
    </w:p>
    <w:p>
      <w:pPr>
        <w:pStyle w:val="TableCaption"/>
      </w:pPr>
      <w:r>
        <w:t xml:space="preserve">Table 3:</w:t>
      </w:r>
      <w:r>
        <w:t xml:space="preserve"> </w:t>
      </w:r>
      <w:r>
        <w:rPr>
          <w:strike/>
        </w:rPr>
        <w:t xml:space="preserve">Age distribution among patients who died (range 57-95years).</w:t>
      </w:r>
    </w:p>
    <w:tbl>
      <w:tblPr>
        <w:tblStyle w:val="Table"/>
        <w:tblW w:type="pct" w:w="0.0"/>
        <w:tblLook w:firstRow="1"/>
        <w:tblCaption w:val="Table 3: Age distribution among patients who died (range 57-95years)."/>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prop</w:t>
            </w:r>
          </w:p>
        </w:tc>
      </w:tr>
      <w:tr>
        <w:tc>
          <w:p>
            <w:pPr>
              <w:pStyle w:val="Compact"/>
              <w:jc w:val="left"/>
            </w:pPr>
            <w:r>
              <w:t xml:space="preserve">35 - 65</w:t>
            </w:r>
          </w:p>
        </w:tc>
        <w:tc>
          <w:p>
            <w:pPr>
              <w:pStyle w:val="Compact"/>
              <w:jc w:val="left"/>
            </w:pPr>
            <w:r>
              <w:t xml:space="preserve">0.10 % (10 of 9,633)</w:t>
            </w:r>
          </w:p>
        </w:tc>
      </w:tr>
      <w:tr>
        <w:tc>
          <w:p>
            <w:pPr>
              <w:pStyle w:val="Compact"/>
              <w:jc w:val="left"/>
            </w:pPr>
            <w:r>
              <w:t xml:space="preserve">66 - 70</w:t>
            </w:r>
          </w:p>
        </w:tc>
        <w:tc>
          <w:p>
            <w:pPr>
              <w:pStyle w:val="Compact"/>
              <w:jc w:val="left"/>
            </w:pPr>
            <w:r>
              <w:t xml:space="preserve">0.22 % (25 of 11,271)</w:t>
            </w:r>
          </w:p>
        </w:tc>
      </w:tr>
      <w:tr>
        <w:tc>
          <w:p>
            <w:pPr>
              <w:pStyle w:val="Compact"/>
              <w:jc w:val="left"/>
            </w:pPr>
            <w:r>
              <w:t xml:space="preserve">71 - 75</w:t>
            </w:r>
          </w:p>
        </w:tc>
        <w:tc>
          <w:p>
            <w:pPr>
              <w:pStyle w:val="Compact"/>
              <w:jc w:val="left"/>
            </w:pPr>
            <w:r>
              <w:t xml:space="preserve">0.22 % (28 of 12,530)</w:t>
            </w:r>
          </w:p>
        </w:tc>
      </w:tr>
      <w:tr>
        <w:tc>
          <w:p>
            <w:pPr>
              <w:pStyle w:val="Compact"/>
              <w:jc w:val="left"/>
            </w:pPr>
            <w:r>
              <w:t xml:space="preserve">76 - 80</w:t>
            </w:r>
          </w:p>
        </w:tc>
        <w:tc>
          <w:p>
            <w:pPr>
              <w:pStyle w:val="Compact"/>
              <w:jc w:val="left"/>
            </w:pPr>
            <w:r>
              <w:t xml:space="preserve">0.37 % (40 of 10,788)</w:t>
            </w:r>
          </w:p>
        </w:tc>
      </w:tr>
      <w:tr>
        <w:tc>
          <w:p>
            <w:pPr>
              <w:pStyle w:val="Compact"/>
              <w:jc w:val="left"/>
            </w:pPr>
            <w:r>
              <w:t xml:space="preserve">81 - 85</w:t>
            </w:r>
          </w:p>
        </w:tc>
        <w:tc>
          <w:p>
            <w:pPr>
              <w:pStyle w:val="Compact"/>
              <w:jc w:val="left"/>
            </w:pPr>
            <w:r>
              <w:t xml:space="preserve">0.56 % (36 of 6,486)</w:t>
            </w:r>
          </w:p>
        </w:tc>
      </w:tr>
      <w:tr>
        <w:tc>
          <w:p>
            <w:pPr>
              <w:pStyle w:val="Compact"/>
              <w:jc w:val="left"/>
            </w:pPr>
            <w:r>
              <w:t xml:space="preserve">86 - 90</w:t>
            </w:r>
          </w:p>
        </w:tc>
        <w:tc>
          <w:p>
            <w:pPr>
              <w:pStyle w:val="Compact"/>
              <w:jc w:val="left"/>
            </w:pPr>
            <w:r>
              <w:t xml:space="preserve">1.45 % (31 of 2,139)</w:t>
            </w:r>
          </w:p>
        </w:tc>
      </w:tr>
      <w:tr>
        <w:tc>
          <w:p>
            <w:pPr>
              <w:pStyle w:val="Compact"/>
              <w:jc w:val="left"/>
            </w:pPr>
            <w:r>
              <w:t xml:space="preserve">91 - 99</w:t>
            </w:r>
          </w:p>
        </w:tc>
        <w:tc>
          <w:p>
            <w:pPr>
              <w:pStyle w:val="Compact"/>
              <w:jc w:val="left"/>
            </w:pPr>
            <w:r>
              <w:t xml:space="preserve">1.98 % (5 of 252)</w:t>
            </w:r>
          </w:p>
        </w:tc>
      </w:tr>
    </w:tbl>
    <w:p>
      <w:pPr>
        <w:pStyle w:val="Heading5"/>
      </w:pPr>
      <w:bookmarkStart w:id="53" w:name="page-break-5"/>
      <w:r>
        <w:t xml:space="preserve">PAGE BREAK</w:t>
      </w:r>
      <w:bookmarkEnd w:id="53"/>
    </w:p>
    <w:p>
      <w:pPr>
        <w:pStyle w:val="TableCaption"/>
      </w:pPr>
      <w:r>
        <w:t xml:space="preserve">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rPr>
                <w:strike/>
              </w:rPr>
              <w:t xml:space="preserve">Diagnosed</w:t>
            </w:r>
            <w:r>
              <w:t xml:space="preserve"> </w:t>
            </w: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4" w:name="page-break-6"/>
      <w:r>
        <w:t xml:space="preserve">PAGE BREAK</w:t>
      </w:r>
      <w:bookmarkEnd w:id="54"/>
    </w:p>
    <w:p>
      <w:pPr>
        <w:pStyle w:val="TableCaption"/>
      </w:pPr>
      <w:r>
        <w:t xml:space="preserve">Table 5: Estimated coefficients (beta) and odds ratios (OR) with 95 % confidence intervals for the reduced model.</w:t>
      </w:r>
    </w:p>
    <w:tbl>
      <w:tblPr>
        <w:tblStyle w:val="Table"/>
        <w:tblW w:type="pct" w:w="0.0"/>
        <w:tblLook w:firstRow="1"/>
        <w:tblCaption w:val="Table 5: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rPr>
                <w:strike/>
              </w:rPr>
              <w:t xml:space="preserve">Diagnosed</w:t>
            </w:r>
            <w:r>
              <w:t xml:space="preserve"> </w:t>
            </w:r>
            <w:r>
              <w:t xml:space="preserve">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5" w:name="page-break-7"/>
      <w:r>
        <w:t xml:space="preserve">PAGE BREAK</w:t>
      </w:r>
      <w:bookmarkEnd w:id="55"/>
    </w:p>
    <w:p>
      <w:pPr>
        <w:pStyle w:val="Heading1"/>
      </w:pPr>
      <w:bookmarkStart w:id="56" w:name="bibliography"/>
      <w:r>
        <w:t xml:space="preserve">Bibliography</w:t>
      </w:r>
      <w:bookmarkEnd w:id="56"/>
    </w:p>
    <w:bookmarkStart w:id="89" w:name="refs"/>
    <w:bookmarkStart w:id="57"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7"/>
    <w:bookmarkStart w:id="58"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8"/>
    <w:bookmarkStart w:id="59"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9"/>
    <w:bookmarkStart w:id="60"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60"/>
    <w:bookmarkStart w:id="61"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1"/>
    <w:bookmarkStart w:id="62"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2"/>
    <w:bookmarkStart w:id="63"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3"/>
    <w:bookmarkStart w:id="64"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4"/>
    <w:bookmarkStart w:id="65"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5"/>
    <w:bookmarkStart w:id="66"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6"/>
    <w:bookmarkStart w:id="67"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7"/>
    <w:bookmarkStart w:id="68"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8"/>
    <w:bookmarkStart w:id="69"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9"/>
    <w:bookmarkStart w:id="70"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70"/>
    <w:bookmarkStart w:id="71" w:name="ref-Cnudde2016"/>
    <w:p>
      <w:pPr>
        <w:pStyle w:val="Bibliography"/>
      </w:pPr>
      <w:r>
        <w:t xml:space="preserve">15.</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1"/>
    <w:bookmarkStart w:id="72" w:name="ref-Karrholm2018"/>
    <w:p>
      <w:pPr>
        <w:pStyle w:val="Bibliography"/>
      </w:pPr>
      <w:r>
        <w:t xml:space="preserve">16.</w:t>
      </w:r>
      <w:r>
        <w:t xml:space="preserve"> </w:t>
      </w:r>
      <w:r>
        <w:rPr>
          <w:b/>
        </w:rPr>
        <w:t xml:space="preserve">Kärrholm J, Mohaddes M, Odin D, Vinblad J, Rogmark C, Rolfson O</w:t>
      </w:r>
      <w:r>
        <w:t xml:space="preserve">. Svenska höftprotesregistret årsrapport 2017. 2018.</w:t>
      </w:r>
      <w:r>
        <w:t xml:space="preserve"> </w:t>
      </w:r>
    </w:p>
    <w:bookmarkEnd w:id="72"/>
    <w:bookmarkStart w:id="73"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3"/>
    <w:bookmarkStart w:id="74"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4"/>
    <w:bookmarkStart w:id="75" w:name="ref-Thorn2016"/>
    <w:p>
      <w:pPr>
        <w:pStyle w:val="Bibliography"/>
      </w:pPr>
      <w:r>
        <w:t xml:space="preserve">19.</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5"/>
    <w:bookmarkStart w:id="76" w:name="ref-Sayers2016"/>
    <w:p>
      <w:pPr>
        <w:pStyle w:val="Bibliography"/>
      </w:pPr>
      <w:r>
        <w:t xml:space="preserve">20.</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6"/>
    <w:bookmarkStart w:id="77" w:name="ref-Quan2005"/>
    <w:p>
      <w:pPr>
        <w:pStyle w:val="Bibliography"/>
      </w:pPr>
      <w:r>
        <w:t xml:space="preserve">21.</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77"/>
    <w:bookmarkStart w:id="78" w:name="ref-Guo2015"/>
    <w:p>
      <w:pPr>
        <w:pStyle w:val="Bibliography"/>
      </w:pPr>
      <w:r>
        <w:t xml:space="preserve">22.</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78"/>
    <w:bookmarkStart w:id="79" w:name="ref-Miller1991"/>
    <w:p>
      <w:pPr>
        <w:pStyle w:val="Bibliography"/>
      </w:pPr>
      <w:r>
        <w:t xml:space="preserve">23.</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79"/>
    <w:bookmarkStart w:id="80" w:name="ref-Nattino2016"/>
    <w:p>
      <w:pPr>
        <w:pStyle w:val="Bibliography"/>
      </w:pPr>
      <w:r>
        <w:t xml:space="preserve">24.</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80"/>
    <w:bookmarkStart w:id="81" w:name="ref-Steyerberg2004"/>
    <w:p>
      <w:pPr>
        <w:pStyle w:val="Bibliography"/>
      </w:pPr>
      <w:r>
        <w:t xml:space="preserve">25.</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1"/>
    <w:bookmarkStart w:id="82" w:name="ref-Gibbs2020"/>
    <w:p>
      <w:pPr>
        <w:pStyle w:val="Bibliography"/>
      </w:pPr>
      <w:r>
        <w:t xml:space="preserve">26.</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2"/>
    <w:bookmarkStart w:id="83" w:name="ref-Shohat2020"/>
    <w:p>
      <w:pPr>
        <w:pStyle w:val="Bibliography"/>
      </w:pPr>
      <w:r>
        <w:t xml:space="preserve">27.</w:t>
      </w:r>
      <w:r>
        <w:t xml:space="preserve"> </w:t>
      </w:r>
      <w:r>
        <w:rPr>
          <w:b/>
        </w:rPr>
        <w:t xml:space="preserve">Shohat N, Goswami K, Tan TL, Yayac M, Soriano A, Sousa R, et al.</w:t>
      </w:r>
      <w:r>
        <w:t xml:space="preserve"> </w:t>
      </w:r>
      <w:r>
        <w:t xml:space="preserve">2020 Frank Stinchfield Award: Identifying who will fail following irrigation and debridement for prosthetic joint infection.</w:t>
      </w:r>
      <w:r>
        <w:t xml:space="preserve"> </w:t>
      </w:r>
      <w:r>
        <w:rPr>
          <w:i/>
        </w:rPr>
        <w:t xml:space="preserve">The Bone &amp; Joint Journal</w:t>
      </w:r>
      <w:r>
        <w:t xml:space="preserve"> </w:t>
      </w:r>
      <w:r>
        <w:t xml:space="preserve">[Internet] The British Editorial Society of Bone &amp; Joint Surgery, 2020 [cited 24 Aug 2020];102-B(7_Supple_B):11–19.</w:t>
      </w:r>
      <w:r>
        <w:t xml:space="preserve"> </w:t>
      </w:r>
    </w:p>
    <w:bookmarkEnd w:id="83"/>
    <w:bookmarkStart w:id="84"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4"/>
    <w:bookmarkStart w:id="85"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5"/>
    <w:bookmarkStart w:id="86"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6"/>
    <w:bookmarkStart w:id="87" w:name="ref-Cnudde2017"/>
    <w:p>
      <w:pPr>
        <w:pStyle w:val="Bibliography"/>
      </w:pPr>
      <w:r>
        <w:t xml:space="preserve">31.</w:t>
      </w:r>
      <w:r>
        <w:t xml:space="preserve"> </w:t>
      </w:r>
      <w:r>
        <w:rPr>
          <w:b/>
        </w:rPr>
        <w:t xml:space="preserve">Cnudde P, Nemes S, Bülow E, Timperley J, Malchau H, Kärrholm J, et al.</w:t>
      </w:r>
      <w:r>
        <w:t xml:space="preserve"> </w:t>
      </w:r>
      <w:r>
        <w:t xml:space="preserve">Trends in hip replacements between 1999 and 2012 in Sweden.</w:t>
      </w:r>
      <w:r>
        <w:t xml:space="preserve"> </w:t>
      </w:r>
      <w:r>
        <w:rPr>
          <w:i/>
        </w:rPr>
        <w:t xml:space="preserve">Journal of Orthopaedic Research</w:t>
      </w:r>
      <w:r>
        <w:t xml:space="preserve"> </w:t>
      </w:r>
      <w:r>
        <w:t xml:space="preserve">[Internet] 2017;36(January):432–442.</w:t>
      </w:r>
      <w:r>
        <w:t xml:space="preserve"> </w:t>
      </w:r>
    </w:p>
    <w:bookmarkEnd w:id="87"/>
    <w:bookmarkStart w:id="88" w:name="ref-Cnudde2018b"/>
    <w:p>
      <w:pPr>
        <w:pStyle w:val="Bibliography"/>
      </w:pPr>
      <w:r>
        <w:t xml:space="preserve">32.</w:t>
      </w:r>
      <w:r>
        <w:t xml:space="preserve"> </w:t>
      </w:r>
      <w:r>
        <w:rPr>
          <w:b/>
        </w:rPr>
        <w:t xml:space="preserve">Cnudde P</w:t>
      </w:r>
      <w:r>
        <w:t xml:space="preserve">. Longitudinal outcomes following total hip replacement: Time trends, sequence of events and study of factors influencing implant survival and mortality [PhD thesis]. [Gothenburg, Sweden]: Univerity of Gothenburg, 2018. [cited 27 Aug 2020].</w:t>
      </w:r>
      <w:r>
        <w:t xml:space="preserve"> </w:t>
      </w:r>
    </w:p>
    <w:bookmarkEnd w:id="88"/>
    <w:bookmarkEnd w:id="89"/>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2020-08-27T07:23:19Z</dcterms:created>
  <dcterms:modified xsi:type="dcterms:W3CDTF">2020-08-27T07:23:19Z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2020-08-27</vt:lpwstr>
  </property>
  <property fmtid="{D5CDD505-2E9C-101B-9397-08002B2CF9AE}" pid="5" name="output">
    <vt:lpwstr/>
  </property>
</Properties>
</file>