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7.png" ContentType="image/png"/>
  <Override PartName="/word/media/rId61.png" ContentType="image/png"/>
  <Override PartName="/word/media/rId53.png" ContentType="image/png"/>
  <Override PartName="/word/media/rId55.png" ContentType="image/png"/>
  <Override PartName="/word/media/rId5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MD</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esses"/>
      <w:r>
        <w:t xml:space="preserve">Addresses</w:t>
      </w:r>
      <w:bookmarkEnd w:id="21"/>
    </w:p>
    <w:p>
      <w:pPr>
        <w:pStyle w:val="Compact"/>
        <w:numPr>
          <w:numId w:val="1002"/>
          <w:ilvl w:val="0"/>
        </w:numPr>
      </w:pPr>
      <w:r>
        <w:t xml:space="preserve">AG: Andersrogatan 5, SE-621 45 Visby, SWEDEN</w:t>
      </w:r>
    </w:p>
    <w:p>
      <w:pPr>
        <w:pStyle w:val="Compact"/>
        <w:numPr>
          <w:numId w:val="1002"/>
          <w:ilvl w:val="0"/>
        </w:numPr>
      </w:pPr>
      <w:r>
        <w:t xml:space="preserve">EB/OR: Svenska Hoftprotesregistret, Registercentrum Vastra Gotaland, SE-413 45 Gothenbutg, SWEDEN</w:t>
      </w:r>
    </w:p>
    <w:p>
      <w:pPr>
        <w:pStyle w:val="Compact"/>
        <w:numPr>
          <w:numId w:val="1002"/>
          <w:ilvl w:val="0"/>
        </w:numPr>
      </w:pPr>
      <w:r>
        <w:t xml:space="preserve">EL/AB/AS: Musculoskeletal Research Unit, University of Bristol, Beacon House, Queens Road, Bristol, BS8 1QU, UK</w:t>
      </w:r>
    </w:p>
    <w:p>
      <w:pPr>
        <w:pStyle w:val="Compact"/>
        <w:numPr>
          <w:numId w:val="1002"/>
          <w:ilvl w:val="0"/>
        </w:numPr>
      </w:pPr>
      <w:r>
        <w:t xml:space="preserve">JMW: Department of Oncology and Metabolism, The Medical School, Beech Hill Road, Sheffield, S10 2RX, UK</w:t>
      </w:r>
    </w:p>
    <w:p>
      <w:pPr>
        <w:pStyle w:val="Compact"/>
        <w:numPr>
          <w:numId w:val="1002"/>
          <w:ilvl w:val="0"/>
        </w:numPr>
      </w:pP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 + 46 70 08 234 28.</w:t>
      </w:r>
      <w:r>
        <w:t xml:space="preserve"> </w:t>
      </w:r>
      <w:hyperlink r:id="rId23">
        <w:r>
          <w:rPr>
            <w:rStyle w:val="Hyperlink"/>
          </w:rPr>
          <w:t xml:space="preserve">erik.bulow@vgregion.se</w:t>
        </w:r>
      </w:hyperlink>
      <w:r>
        <w:t xml:space="preserve">. 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3"/>
          <w:ilvl w:val="0"/>
        </w:numPr>
      </w:pPr>
      <w:r>
        <w:t xml:space="preserve">We developed a parsimonious model for risk assessment of 90-day mortality after elective THA.</w:t>
      </w:r>
    </w:p>
    <w:p>
      <w:pPr>
        <w:pStyle w:val="Compact"/>
        <w:numPr>
          <w:numId w:val="1003"/>
          <w:ilvl w:val="0"/>
        </w:numPr>
      </w:pPr>
      <w:r>
        <w:t xml:space="preserve">The model considers age, sex, ASA class, the presence of cancer, diseases of the central nervous system, kidney disease, and obesity.</w:t>
      </w:r>
    </w:p>
    <w:p>
      <w:pPr>
        <w:pStyle w:val="Compact"/>
        <w:numPr>
          <w:numId w:val="1003"/>
          <w:ilvl w:val="0"/>
        </w:numPr>
      </w:pPr>
      <w:r>
        <w:t xml:space="preserve">We published an on-line web-calculator (</w:t>
      </w:r>
      <w:hyperlink r:id="rId26">
        <w:r>
          <w:rPr>
            <w:rStyle w:val="Hyperlink"/>
          </w:rPr>
          <w:t xml:space="preserve">https://shpr.registercentrum.se/om-registret-1/forskning/prediktion-av-90-dagarsmortalitet/p/SkyeTsTFB</w:t>
        </w:r>
      </w:hyperlink>
      <w:r>
        <w:t xml:space="preserve">).</w:t>
      </w:r>
    </w:p>
    <w:p>
      <w:pPr>
        <w:pStyle w:val="Heading5"/>
      </w:pPr>
      <w:bookmarkStart w:id="27" w:name="page-break-1"/>
      <w:r>
        <w:t xml:space="preserve">PAGE BREAK</w:t>
      </w:r>
      <w:bookmarkEnd w:id="27"/>
    </w:p>
    <w:p>
      <w:pPr>
        <w:pStyle w:val="Heading1"/>
      </w:pPr>
      <w:bookmarkStart w:id="28" w:name="introduction"/>
      <w:r>
        <w:t xml:space="preserve">Introduction</w:t>
      </w:r>
      <w:bookmarkEnd w:id="2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2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30" w:name="participants-and-methods"/>
      <w:r>
        <w:t xml:space="preserve">Participants and Methods</w:t>
      </w:r>
      <w:bookmarkEnd w:id="3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1" w:name="derivation-cohort-sweden"/>
      <w:r>
        <w:t xml:space="preserve">Derivation cohort (Sweden)</w:t>
      </w:r>
      <w:bookmarkEnd w:id="3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2" w:name="X607666395c53d4d7bffb9fa48f5a07f249542af"/>
      <w:r>
        <w:t xml:space="preserve">External validation cohort (England and Wales)</w:t>
      </w:r>
      <w:bookmarkEnd w:id="3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3" w:name="defining-co-morbidity"/>
      <w:r>
        <w:t xml:space="preserve">Defining co-morbidity</w:t>
      </w:r>
      <w:bookmarkEnd w:id="33"/>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4" w:name="X3dfb8ce663a1fc2d82d471b5d62397660058101"/>
      <w:r>
        <w:t xml:space="preserve">Statistical analysis for model development</w:t>
      </w:r>
      <w:bookmarkEnd w:id="3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35" w:name="Xff1047e633f212e7c4888ec1ef4e1c3504bdbf7"/>
      <w:r>
        <w:t xml:space="preserve">Statistical analysis for model validation</w:t>
      </w:r>
      <w:bookmarkEnd w:id="3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6" w:name="statistical-tools"/>
      <w:r>
        <w:t xml:space="preserve">Statistical tools</w:t>
      </w:r>
      <w:bookmarkEnd w:id="36"/>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7">
        <w:r>
          <w:rPr>
            <w:rStyle w:val="Hyperlink"/>
          </w:rPr>
          <w:t xml:space="preserve">http://doi.org/10.5281/zenodo.3732852</w:t>
        </w:r>
      </w:hyperlink>
      <w:r>
        <w:t xml:space="preserve">. A linked Binder environment is also available for interactive usage.</w:t>
      </w:r>
    </w:p>
    <w:p>
      <w:pPr>
        <w:pStyle w:val="Heading2"/>
      </w:pPr>
      <w:bookmarkStart w:id="38" w:name="ethical-approval"/>
      <w:r>
        <w:t xml:space="preserve">Ethical approval</w:t>
      </w:r>
      <w:bookmarkEnd w:id="3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9" w:name="indirect-patient-and-public-involvement"/>
      <w:r>
        <w:t xml:space="preserve">Indirect Patient and Public Involvement</w:t>
      </w:r>
      <w:bookmarkEnd w:id="39"/>
    </w:p>
    <w:p>
      <w:pPr>
        <w:pStyle w:val="FirstParagraph"/>
      </w:pPr>
      <w:r>
        <w:t xml:space="preserve">There is a patient representative at SHAR to ensure that the patients’ interests are respected in planned research.</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53,099 patients (mean age 72.68 years, range 35 - 99 and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44" w:name="discussion"/>
      <w:r>
        <w:t xml:space="preserve">Discussion</w:t>
      </w:r>
      <w:bookmarkEnd w:id="44"/>
    </w:p>
    <w:p>
      <w:pPr>
        <w:pStyle w:val="Heading2"/>
      </w:pPr>
      <w:bookmarkStart w:id="45" w:name="principal-findings"/>
      <w:r>
        <w:t xml:space="preserve">Principal findings</w:t>
      </w:r>
      <w:bookmarkEnd w:id="4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6" w:name="clinical-usage"/>
      <w:r>
        <w:t xml:space="preserve">Clinical usage</w:t>
      </w:r>
      <w:bookmarkEnd w:id="46"/>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moderate or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n = 12,336) than the proportion of patients with a diagnosis code for obesity (ICD-10 = E66) recorded in the Swedish national patient register (1.9 %, , n = 1,000). We believe this might be due to the fact that BMI is systematically recorded in the SHAR, but the diagnosis of obesity might not have been made during previous contacts with the healthcare system.</w:t>
      </w:r>
    </w:p>
    <w:p>
      <w:pPr>
        <w:pStyle w:val="Heading2"/>
      </w:pPr>
      <w:bookmarkStart w:id="47" w:name="strengths-and-limitations"/>
      <w:r>
        <w:t xml:space="preserve">Strengths and limitations</w:t>
      </w:r>
      <w:bookmarkEnd w:id="4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8" w:name="conclusion"/>
      <w:r>
        <w:t xml:space="preserve">Conclusion</w:t>
      </w:r>
      <w:bookmarkEnd w:id="4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9" w:name="page-break-2"/>
      <w:r>
        <w:t xml:space="preserve">PAGE BREAK</w:t>
      </w:r>
      <w:bookmarkEnd w:id="49"/>
    </w:p>
    <w:p>
      <w:pPr>
        <w:pStyle w:val="Heading1"/>
      </w:pPr>
      <w:bookmarkStart w:id="50" w:name="contribution-of-authors"/>
      <w:r>
        <w:t xml:space="preserve">Contribution of authors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acknowledgement"/>
      <w:r>
        <w:t xml:space="preserve">Acknowledgement</w:t>
      </w:r>
      <w:bookmarkEnd w:id="5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2" w:name="page-break-3"/>
      <w:r>
        <w:t xml:space="preserve">PAGE BREAK</w:t>
      </w:r>
      <w:bookmarkEnd w:id="52"/>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3"/>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4" w:name="page-break-4"/>
      <w:r>
        <w:t xml:space="preserve">PAGE BREAK</w:t>
      </w:r>
      <w:bookmarkEnd w:id="5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6" w:name="page-break-5"/>
      <w:r>
        <w:t xml:space="preserve">PAGE BREAK</w:t>
      </w:r>
      <w:bookmarkEnd w:id="5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8" w:name="page-break-6"/>
      <w:r>
        <w:t xml:space="preserve">PAGE BREAK</w:t>
      </w:r>
      <w:bookmarkEnd w:id="5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0" w:name="page-break-7"/>
      <w:r>
        <w:t xml:space="preserve">PAGE BREAK</w:t>
      </w:r>
      <w:bookmarkEnd w:id="6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2" w:name="page-break-8"/>
      <w:r>
        <w:t xml:space="preserve">PAGE BREAK</w:t>
      </w:r>
      <w:bookmarkEnd w:id="6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3" w:name="page-break-9"/>
      <w:r>
        <w:t xml:space="preserve">PAGE BREAK</w:t>
      </w:r>
      <w:bookmarkEnd w:id="6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4" w:name="page-break-10"/>
      <w:r>
        <w:t xml:space="preserve">PAGE BREAK</w:t>
      </w:r>
      <w:bookmarkEnd w:id="6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65" w:name="page-break-11"/>
      <w:r>
        <w:t xml:space="preserve">PAGE BREAK</w:t>
      </w:r>
      <w:bookmarkEnd w:id="6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6" w:name="page-break-12"/>
      <w:r>
        <w:t xml:space="preserve">PAGE BREAK</w:t>
      </w:r>
      <w:bookmarkEnd w:id="66"/>
    </w:p>
    <w:p>
      <w:pPr>
        <w:pStyle w:val="Heading1"/>
      </w:pPr>
      <w:bookmarkStart w:id="67" w:name="bibliography"/>
      <w:r>
        <w:t xml:space="preserve">Bibliography</w:t>
      </w:r>
      <w:bookmarkEnd w:id="67"/>
    </w:p>
    <w:bookmarkStart w:id="98" w:name="refs"/>
    <w:bookmarkStart w:id="68"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68"/>
    <w:bookmarkStart w:id="69"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9"/>
    <w:bookmarkStart w:id="70"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70"/>
    <w:bookmarkStart w:id="71"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71"/>
    <w:bookmarkStart w:id="72"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72"/>
    <w:bookmarkStart w:id="73"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73"/>
    <w:bookmarkStart w:id="74"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74"/>
    <w:bookmarkStart w:id="75"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75"/>
    <w:bookmarkStart w:id="76"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76"/>
    <w:bookmarkStart w:id="77"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77"/>
    <w:bookmarkStart w:id="78"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78"/>
    <w:bookmarkStart w:id="79"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79"/>
    <w:bookmarkStart w:id="80"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80"/>
    <w:bookmarkStart w:id="81"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81"/>
    <w:bookmarkStart w:id="82"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82"/>
    <w:bookmarkStart w:id="83"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83"/>
    <w:bookmarkStart w:id="84"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84"/>
    <w:bookmarkStart w:id="85"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85"/>
    <w:bookmarkStart w:id="86"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86"/>
    <w:bookmarkStart w:id="87"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87"/>
    <w:bookmarkStart w:id="88"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88"/>
    <w:bookmarkStart w:id="89"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9"/>
    <w:bookmarkStart w:id="90"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90"/>
    <w:bookmarkStart w:id="91"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91"/>
    <w:bookmarkStart w:id="92"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92"/>
    <w:bookmarkStart w:id="93"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93"/>
    <w:bookmarkStart w:id="94" w:name="ref-Sankar2014"/>
    <w:p>
      <w:pPr>
        <w:pStyle w:val="Bibliography"/>
      </w:pPr>
      <w:r>
        <w:t xml:space="preserve">27.</w:t>
      </w:r>
      <w:r>
        <w:t xml:space="preserve"> </w:t>
      </w:r>
      <w:r>
        <w:rPr>
          <w:b/>
        </w:rPr>
        <w:t xml:space="preserve">Sankar A, Johnson SR, Beattie WS, Tait G, Wijeysundera DN</w:t>
      </w:r>
      <w:r>
        <w:t xml:space="preserve">. Reliability of the American Society of Anesthesiologists physical status scale in clinical practice.</w:t>
      </w:r>
      <w:r>
        <w:t xml:space="preserve"> </w:t>
      </w:r>
      <w:r>
        <w:rPr>
          <w:i/>
        </w:rPr>
        <w:t xml:space="preserve">British Journal of Anaesthesia</w:t>
      </w:r>
      <w:r>
        <w:t xml:space="preserve"> </w:t>
      </w:r>
      <w:r>
        <w:t xml:space="preserve">[Internet] 2014 [cited 11 Jun 2020];113(3):424–432.</w:t>
      </w:r>
      <w:r>
        <w:t xml:space="preserve"> </w:t>
      </w:r>
    </w:p>
    <w:bookmarkEnd w:id="94"/>
    <w:bookmarkStart w:id="95"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95"/>
    <w:bookmarkStart w:id="96"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96"/>
    <w:bookmarkStart w:id="97"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97"/>
    <w:bookmarkEnd w:id="98"/>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MD1,2</dc:creator>
  <cp:keywords/>
  <dcterms:created xsi:type="dcterms:W3CDTF">2020-06-11T10:00:24Z</dcterms:created>
  <dcterms:modified xsi:type="dcterms:W3CDTF">2020-06-11T10:00:24Z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