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2020-08-24</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 (postal: Akademiska sjukhuset, ingång 61, 6 tr, SE-751 85 Uppsala, Sweden)</w:t>
      </w:r>
    </w:p>
    <w:p>
      <w:pPr>
        <w:pStyle w:val="Compact"/>
        <w:numPr>
          <w:numId w:val="1001"/>
          <w:ilvl w:val="0"/>
        </w:numPr>
      </w:pPr>
      <w:r>
        <w:t xml:space="preserve">The Swedish Hip Arthroplasty Register, Gothenburg, Sweden (postal: Registercentrum Västra Götaland, SE-413 45 Gothenburg, Sweden)</w:t>
      </w:r>
    </w:p>
    <w:p>
      <w:pPr>
        <w:pStyle w:val="Compact"/>
        <w:numPr>
          <w:numId w:val="1001"/>
          <w:ilvl w:val="0"/>
        </w:numPr>
      </w:pPr>
      <w:r>
        <w:t xml:space="preserve">Department of Orthopaedics, Visby Hospital, Visby, Sweden (postal: S:t Göransgatan 5, SE-621 55 Visby, Sweden)</w:t>
      </w:r>
    </w:p>
    <w:p>
      <w:pPr>
        <w:pStyle w:val="Compact"/>
        <w:numPr>
          <w:numId w:val="1001"/>
          <w:ilvl w:val="0"/>
        </w:numPr>
      </w:pPr>
      <w:r>
        <w:t xml:space="preserve">Department of Orthopaedics, Institute of Clinical Sciences, The Sahlgrenska Academy, University of Gothenburg, Gothenburg, Sweden (postal: Avdelningen för ortopedi, Mölndals sjukhus, Göteborgsvägen 31, SE-431 80 Mölndal, Sweden)</w:t>
      </w:r>
    </w:p>
    <w:p>
      <w:pPr>
        <w:pStyle w:val="Compact"/>
        <w:numPr>
          <w:numId w:val="1001"/>
          <w:ilvl w:val="0"/>
        </w:numPr>
      </w:pPr>
      <w:r>
        <w:t xml:space="preserve">Translational Health Sciences, Bristol Medical School, University of Bristol, UK (postal: Bristol Medical School, University of Bristol, First Floor, 5 Tyndall Avenue</w:t>
      </w:r>
      <w:r>
        <w:t xml:space="preserve"> </w:t>
      </w:r>
      <w:r>
        <w:t xml:space="preserve">Bristol, BS8 1UD, United Kingdom).</w:t>
      </w:r>
    </w:p>
    <w:p>
      <w:pPr>
        <w:pStyle w:val="Compact"/>
        <w:numPr>
          <w:numId w:val="1001"/>
          <w:ilvl w:val="0"/>
        </w:numPr>
      </w:pPr>
      <w:r>
        <w:t xml:space="preserve">The National Institute of Health Research Biomedical Research Centre Bristol (postal: NIHR Biomedical Research Centre Bristol, University Hospitals Bristol and Weston NHS Foundation Trust, University of Bristol, Oakfield House, Oakfield Grove,</w:t>
      </w:r>
      <w:r>
        <w:t xml:space="preserve"> </w:t>
      </w:r>
      <w:r>
        <w:t xml:space="preserve">Bristol BS8 2BN, United Kingdom)</w:t>
      </w:r>
    </w:p>
    <w:p>
      <w:pPr>
        <w:pStyle w:val="Compact"/>
        <w:numPr>
          <w:numId w:val="1001"/>
          <w:ilvl w:val="0"/>
        </w:numPr>
      </w:pPr>
      <w:r>
        <w:t xml:space="preserve">Department of Oncology and Metabolism, University of Sheffield, Sheffield, UK. (postal: The Medical School, The University of Sheffield, Beech Hill Road, Sheffield, S10 2RX, UNited Kingdom)</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2"/>
      </w:pPr>
      <w:bookmarkStart w:id="23" w:name="titles"/>
      <w:r>
        <w:t xml:space="preserve">Titles</w:t>
      </w:r>
      <w:bookmarkEnd w:id="23"/>
    </w:p>
    <w:p>
      <w:pPr>
        <w:pStyle w:val="FirstParagraph"/>
      </w:pPr>
      <w:r>
        <w:rPr>
          <w:b/>
        </w:rPr>
        <w:t xml:space="preserve">AG:</w:t>
      </w:r>
      <w:r>
        <w:t xml:space="preserve"> </w:t>
      </w:r>
      <w:r>
        <w:t xml:space="preserve">MD, PhD, orthopaedic surgeon</w:t>
      </w:r>
      <w:r>
        <w:br/>
      </w:r>
      <w:r>
        <w:rPr>
          <w:b/>
        </w:rPr>
        <w:t xml:space="preserve">EB:</w:t>
      </w:r>
      <w:r>
        <w:t xml:space="preserve"> </w:t>
      </w:r>
      <w:r>
        <w:t xml:space="preserve">MSc (PhD after 2020-09-18), statistician</w:t>
      </w:r>
      <w:r>
        <w:br/>
      </w:r>
      <w:r>
        <w:rPr>
          <w:b/>
        </w:rPr>
        <w:t xml:space="preserve">EL:</w:t>
      </w:r>
      <w:r>
        <w:t xml:space="preserve"> </w:t>
      </w:r>
      <w:r>
        <w:t xml:space="preserve">PhD, statistician, Senior Research Fellow</w:t>
      </w:r>
      <w:r>
        <w:br/>
      </w:r>
      <w:r>
        <w:rPr>
          <w:b/>
        </w:rPr>
        <w:t xml:space="preserve">AB:</w:t>
      </w:r>
      <w:r>
        <w:t xml:space="preserve"> </w:t>
      </w:r>
      <w:r>
        <w:t xml:space="preserve">MB, ChB, FRCS, MD, PhD, Head of Bristol Medical School, Professor of Orthopaedic Surgery, orthopaedic surgeon</w:t>
      </w:r>
      <w:r>
        <w:br/>
      </w:r>
      <w:r>
        <w:rPr>
          <w:b/>
        </w:rPr>
        <w:t xml:space="preserve">MJW:</w:t>
      </w:r>
      <w:r>
        <w:t xml:space="preserve"> </w:t>
      </w:r>
      <w:r>
        <w:t xml:space="preserve">MB, ChB, PhD, FRCS, professor of orthopaedics, orthopaedic surgeon</w:t>
      </w:r>
      <w:r>
        <w:br/>
      </w:r>
      <w:r>
        <w:rPr>
          <w:b/>
        </w:rPr>
        <w:t xml:space="preserve">AS:</w:t>
      </w:r>
      <w:r>
        <w:t xml:space="preserve"> </w:t>
      </w:r>
      <w:r>
        <w:t xml:space="preserve">MSc, statistician, senior research fellow</w:t>
      </w:r>
      <w:r>
        <w:br/>
      </w:r>
      <w:r>
        <w:rPr>
          <w:b/>
        </w:rPr>
        <w:t xml:space="preserve">OR:</w:t>
      </w:r>
      <w:r>
        <w:t xml:space="preserve"> </w:t>
      </w:r>
      <w:r>
        <w:t xml:space="preserve">MD, PhD, orthopaedic surgeon, professor of orthopaedics, head of department, registry director of the Swedish Hip Arthroplasty Register</w:t>
      </w:r>
      <w:r>
        <w:br/>
      </w:r>
      <w:r>
        <w:rPr>
          <w:b/>
        </w:rPr>
        <w:t xml:space="preserve">NPH:</w:t>
      </w:r>
      <w:r>
        <w:t xml:space="preserve"> </w:t>
      </w:r>
      <w:r>
        <w:t xml:space="preserve">MD, PhD, orthopaedic surgeon, professor of orthopaedics, research leader</w:t>
      </w:r>
    </w:p>
    <w:p>
      <w:pPr>
        <w:pStyle w:val="Heading1"/>
      </w:pPr>
      <w:bookmarkStart w:id="24" w:name="contribution-of-authors"/>
      <w:r>
        <w:t xml:space="preserve">Contribution of authors</w:t>
      </w:r>
      <w:bookmarkEnd w:id="24"/>
    </w:p>
    <w:p>
      <w:pPr>
        <w:pStyle w:val="FirstParagraph"/>
      </w:pPr>
      <w:r>
        <w:t xml:space="preserve">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pPr>
        <w:pStyle w:val="Heading5"/>
      </w:pPr>
      <w:bookmarkStart w:id="25" w:name="page-break"/>
      <w:r>
        <w:t xml:space="preserve">PAGE BREAK</w:t>
      </w:r>
      <w:bookmarkEnd w:id="25"/>
    </w:p>
    <w:p>
      <w:pPr>
        <w:pStyle w:val="Heading1"/>
      </w:pPr>
      <w:bookmarkStart w:id="26" w:name="abstract"/>
      <w:r>
        <w:t xml:space="preserve">Abstract</w:t>
      </w:r>
      <w:bookmarkEnd w:id="26"/>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A main effects model combining age, sex, American Society for Anesthesiologists (ASA) class, the presence of cancer, diseases of the central nervous system, kidney disease, and 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7">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 obesity.</w:t>
      </w:r>
    </w:p>
    <w:p>
      <w:pPr>
        <w:pStyle w:val="Compact"/>
        <w:numPr>
          <w:numId w:val="1002"/>
          <w:ilvl w:val="0"/>
        </w:numPr>
      </w:pPr>
      <w:r>
        <w:t xml:space="preserve">We published an on-line web-calculator (</w:t>
      </w:r>
      <w:hyperlink r:id="rId27">
        <w:r>
          <w:rPr>
            <w:rStyle w:val="Hyperlink"/>
          </w:rPr>
          <w:t xml:space="preserve">https://shpr.registercentrum.se/om-registret-1/forskning/prediktion-av-90-dagarsmortalitet/p/SkyeTsTFB</w:t>
        </w:r>
      </w:hyperlink>
      <w:r>
        <w:t xml:space="preserve">).</w:t>
      </w:r>
    </w:p>
    <w:p>
      <w:pPr>
        <w:pStyle w:val="Heading5"/>
      </w:pPr>
      <w:bookmarkStart w:id="28" w:name="page-break-1"/>
      <w:r>
        <w:t xml:space="preserve">PAGE BREAK</w:t>
      </w:r>
      <w:bookmarkEnd w:id="28"/>
    </w:p>
    <w:p>
      <w:pPr>
        <w:pStyle w:val="Heading1"/>
      </w:pPr>
      <w:bookmarkStart w:id="29" w:name="introduction"/>
      <w:r>
        <w:t xml:space="preserve">Introduction</w:t>
      </w:r>
      <w:bookmarkEnd w:id="29"/>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30">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31" w:name="participants-and-methods"/>
      <w:r>
        <w:t xml:space="preserve">Participants and Methods</w:t>
      </w:r>
      <w:bookmarkEnd w:id="31"/>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2" w:name="derivation-cohort-sweden"/>
      <w:r>
        <w:t xml:space="preserve">Derivation cohort (Sweden)</w:t>
      </w:r>
      <w:bookmarkEnd w:id="32"/>
    </w:p>
    <w:p>
      <w:pPr>
        <w:pStyle w:val="FirstParagraph"/>
      </w:pPr>
      <w:r>
        <w:t xml:space="preserve">The inclusion period started 2008 since the American Society for Anesthesiologists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The data linkage has been described previously.</w:t>
      </w:r>
      <w:r>
        <w:rPr>
          <w:vertAlign w:val="superscript"/>
        </w:rPr>
        <w:t xml:space="preserve">15</w:t>
      </w:r>
      <w:r>
        <w:t xml:space="preserve"> </w:t>
      </w:r>
      <w:r>
        <w:t xml:space="preserve">Age, sex, BMI, ASA class, type of hospital and year of surgery were collected from the SHAR, with a completeness of 96-98 %.</w:t>
      </w:r>
      <w:r>
        <w:rPr>
          <w:vertAlign w:val="superscript"/>
        </w:rPr>
        <w:t xml:space="preserve">16</w:t>
      </w:r>
      <w:r>
        <w:t xml:space="preserve"> </w:t>
      </w:r>
      <w:r>
        <w:t xml:space="preserve">Data on educational level were recorded for more than 98 % of the population with 85 % accuracy in the longitudinal integration database for health insurance and labor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w:t>
      </w:r>
    </w:p>
    <w:p>
      <w:pPr>
        <w:pStyle w:val="Heading2"/>
      </w:pPr>
      <w:bookmarkStart w:id="33" w:name="X607666395c53d4d7bffb9fa48f5a07f249542af"/>
      <w:r>
        <w:t xml:space="preserve">External validation cohort (England and Wales)</w:t>
      </w:r>
      <w:bookmarkEnd w:id="33"/>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19</w:t>
      </w:r>
      <w:r>
        <w:t xml:space="preserve"> </w:t>
      </w:r>
      <w:r>
        <w:t xml:space="preserve">Out-patient deaths were linked from the office of national statistics based on NHS-numbers, as well as patient name, age, sex and address.</w:t>
      </w:r>
      <w:r>
        <w:rPr>
          <w:vertAlign w:val="superscript"/>
        </w:rPr>
        <w:t xml:space="preserve">20</w:t>
      </w:r>
    </w:p>
    <w:p>
      <w:pPr>
        <w:pStyle w:val="Heading2"/>
      </w:pPr>
      <w:bookmarkStart w:id="34" w:name="defining-co-morbidity"/>
      <w:r>
        <w:t xml:space="preserve">Defining co-morbidity</w:t>
      </w:r>
      <w:bookmarkEnd w:id="34"/>
    </w:p>
    <w:p>
      <w:pPr>
        <w:pStyle w:val="FirstParagraph"/>
      </w:pPr>
      <w:r>
        <w:t xml:space="preserve">Co-morbidity was defined by individual ICD-10 codes grouped into 17 categories by Charlson and 31 by Elixhauser.</w:t>
      </w:r>
      <w:r>
        <w:rPr>
          <w:vertAlign w:val="superscript"/>
        </w:rPr>
        <w:t xml:space="preserve">21</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5" w:name="X3dfb8ce663a1fc2d82d471b5d62397660058101"/>
      <w:r>
        <w:t xml:space="preserve">Statistical analysis for model development</w:t>
      </w:r>
      <w:bookmarkEnd w:id="35"/>
    </w:p>
    <w:p>
      <w:pPr>
        <w:pStyle w:val="FirstParagraph"/>
      </w:pPr>
      <w:r>
        <w:t xml:space="preserve">We used Kaplan–Meier and a procedure with bootstrap ranking and a logistic least absolute shrinkage and selection operator (LASSO).</w:t>
      </w:r>
      <w:r>
        <w:rPr>
          <w:vertAlign w:val="superscript"/>
        </w:rPr>
        <w:t xml:space="preserve">22</w:t>
      </w:r>
      <w:r>
        <w:t xml:space="preserve"> </w:t>
      </w:r>
      <w:r>
        <w:t xml:space="preserve">Age and BMI were normalized to have mean = 0 and standard deviation = 1. Co-morbidities recorded for at least one patient who died within 90 days, and one who did not, were included in the modelling process. 1,000 bootstrap samples were drawn from the observed data set. We used 10-fold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6" w:name="Xff1047e633f212e7c4888ec1ef4e1c3504bdbf7"/>
      <w:r>
        <w:t xml:space="preserve">Statistical analysis for model validation</w:t>
      </w:r>
      <w:bookmarkEnd w:id="36"/>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23</w:t>
      </w:r>
      <w:r>
        <w:t xml:space="preserve"> </w:t>
      </w:r>
      <w:r>
        <w:t xml:space="preserve">Calibration bands were made to graphically assess model calibration, comparing predicted probabilities and observed proportions.</w:t>
      </w:r>
      <w:r>
        <w:rPr>
          <w:vertAlign w:val="superscript"/>
        </w:rPr>
        <w:t xml:space="preserve">24</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25</w:t>
      </w:r>
    </w:p>
    <w:p>
      <w:pPr>
        <w:pStyle w:val="Heading2"/>
      </w:pPr>
      <w:bookmarkStart w:id="37" w:name="statistical-tools"/>
      <w:r>
        <w:t xml:space="preserve">Statistical tools</w:t>
      </w:r>
      <w:bookmarkEnd w:id="37"/>
    </w:p>
    <w:p>
      <w:pPr>
        <w:pStyle w:val="FirstParagraph"/>
      </w:pPr>
      <w:r>
        <w:t xml:space="preserve">We built an online web calculator (</w:t>
      </w:r>
      <w:hyperlink r:id="rId27">
        <w:r>
          <w:rPr>
            <w:rStyle w:val="Hyperlink"/>
          </w:rPr>
          <w:t xml:space="preserve">https://shpr.registercentrum.se/om-registret-1/forskning/prediktion-av-90-dagarsmortalitet/p/SkyeTsTFB</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8">
        <w:r>
          <w:rPr>
            <w:rStyle w:val="Hyperlink"/>
          </w:rPr>
          <w:t xml:space="preserve">http://doi.org/10.5281/zenodo.3732852</w:t>
        </w:r>
      </w:hyperlink>
      <w:r>
        <w:t xml:space="preserve">. A linked Binder environment is also available for interactive usage.</w:t>
      </w:r>
    </w:p>
    <w:p>
      <w:pPr>
        <w:pStyle w:val="Heading2"/>
      </w:pPr>
      <w:bookmarkStart w:id="39" w:name="ethical-approval"/>
      <w:r>
        <w:t xml:space="preserve">Ethical approval</w:t>
      </w:r>
      <w:bookmarkEnd w:id="39"/>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175 (0.33 %) of the patients from SHAR died within 90 days (0.33 % (95 % CI 0.28 - 0.38) according to Kaplan–Meier) and no one was censored before that. Patients from NJR had an unadjusted risk of 90 day mortality of 0.52 % (95 % CI 0.49 - 0.56). Further cohort characteristics are presented in Table</w:t>
      </w:r>
      <w:r>
        <w:t xml:space="preserve"> </w:t>
      </w:r>
      <w:r>
        <w:t xml:space="preserve">2</w:t>
      </w:r>
      <w:r>
        <w:t xml:space="preserve">.</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anemia, and myocardial infarction. The reduced model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4</w:t>
      </w:r>
      <w:r>
        <w:t xml:space="preserve"> </w:t>
      </w:r>
      <w:r>
        <w:t xml:space="preserve">and Figure</w:t>
      </w:r>
      <w:r>
        <w:t xml:space="preserve"> </w:t>
      </w:r>
      <w:r>
        <w:t xml:space="preserve">5</w:t>
      </w:r>
      <w:r>
        <w:t xml:space="preserve">).</w:t>
      </w:r>
    </w:p>
    <w:p>
      <w:pPr>
        <w:pStyle w:val="BodyText"/>
      </w:pPr>
      <w:r>
        <w:t xml:space="preserve">The ability of the reduced model to estimate probabilities of death within 90 days is further illustrated in Figure</w:t>
      </w:r>
      <w:r>
        <w:t xml:space="preserve"> </w:t>
      </w:r>
      <w:r>
        <w:t xml:space="preserve">6</w:t>
      </w:r>
      <w:r>
        <w:t xml:space="preserve"> </w:t>
      </w:r>
      <w:r>
        <w:t xml:space="preserve">and</w:t>
      </w:r>
      <w:r>
        <w:t xml:space="preserve"> </w:t>
      </w:r>
      <w:r>
        <w:t xml:space="preserve">7</w:t>
      </w:r>
      <w:r>
        <w:t xml:space="preserve">. Model calibration was good for estimated probabilities up to 3 % and acceptable up to 5 % (Figure</w:t>
      </w:r>
      <w:r>
        <w:t xml:space="preserve"> </w:t>
      </w:r>
      <w:r>
        <w:t xml:space="preserve">8</w:t>
      </w:r>
      <w:r>
        <w:t xml:space="preserve">). Estimated model coefficients and corresponding odds ratios for the reduced model are presented in Table</w:t>
      </w:r>
      <w:r>
        <w:t xml:space="preserve"> </w:t>
      </w:r>
      <w:r>
        <w:t xml:space="preserve">4</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4</w:t>
      </w:r>
      <w:r>
        <w:t xml:space="preserve"> </w:t>
      </w:r>
      <w:r>
        <w:t xml:space="preserve">and Figure</w:t>
      </w:r>
      <w:r>
        <w:t xml:space="preserve"> </w:t>
      </w:r>
      <w:r>
        <w:t xml:space="preserve">5</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8</w:t>
      </w:r>
      <w:r>
        <w:t xml:space="preserve">).</w:t>
      </w:r>
    </w:p>
    <w:p>
      <w:pPr>
        <w:pStyle w:val="Heading1"/>
      </w:pPr>
      <w:bookmarkStart w:id="44" w:name="discussion"/>
      <w:r>
        <w:t xml:space="preserve">Discussion</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(including intercept) presented in table</w:t>
      </w:r>
      <w:r>
        <w:t xml:space="preserve"> </w:t>
      </w:r>
      <w:r>
        <w:t xml:space="preserve">4</w:t>
      </w:r>
      <w:r>
        <w:t xml:space="preserve">.</w:t>
      </w:r>
      <w:r>
        <w:t xml:space="preserve"> </w:t>
      </w:r>
      <w:r>
        <w:t xml:space="preserve">This formula is considered valid for patients aged 35–99 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or by the web calculator (</w:t>
      </w:r>
      <w:hyperlink r:id="rId27">
        <w:r>
          <w:rPr>
            <w:rStyle w:val="Hyperlink"/>
          </w:rPr>
          <w:t xml:space="preserve">https://shpr.registercentrum.se/om-registret-1/forskning/prediktion-av-90-dagarsmortalitet/p/SkyeTsTFB</w:t>
        </w:r>
      </w:hyperlink>
      <w:r>
        <w:t xml:space="preserve">). A 35-year-old woman with ASA class I and none of the important co-morbidities would have a 0.028 ‰ risk to die within 90 days of surgery. A woman, 67 years old, would have an elevated risk of 0.37 ‰. A 99-year-old man with ASA class III and cancer, would have a risk of 8.8 %. Note, however, that covariate patterns with observed probabilities above 5 % were rare (0.13 %, n = 70). Risks above 5 % are therefore subject to extrapolation. The true proportions are likely lower (as indicated by Figure</w:t>
      </w:r>
      <w:r>
        <w:t xml:space="preserve"> </w:t>
      </w:r>
      <w:r>
        <w:t xml:space="preserve">8</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w:t>
      </w:r>
      <w:r>
        <w:rPr>
          <w:vertAlign w:val="superscript"/>
          <w:strike/>
        </w:rPr>
        <w:t xml:space="preserve">26,27</w:t>
      </w:r>
      <w:r>
        <w:t xml:space="preserve"> </w:t>
      </w:r>
      <w:r>
        <w:t xml:space="preserve">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but the diagnosis of obesity might not have been made during previous contacts with the healthcare system.</w:t>
      </w:r>
    </w:p>
    <w:p>
      <w:pPr>
        <w:pStyle w:val="Heading2"/>
      </w:pPr>
      <w:bookmarkStart w:id="46" w:name="strengths-and-limitations"/>
      <w:r>
        <w:t xml:space="preserve">Strengths and limitations</w:t>
      </w:r>
      <w:bookmarkEnd w:id="46"/>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16,18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28</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The indications for different fixation techniques differ between the cohorts.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p>
    <w:p>
      <w:pPr>
        <w:pStyle w:val="BodyText"/>
      </w:pPr>
      <w:r>
        <w:t xml:space="preserve">We investigated whether the effect of age on mortality was non-linear using restricted cubic splines. A similar approach might be relevant for BMI.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reported.</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8" w:name="acknowledgement"/>
      <w:r>
        <w:t xml:space="preserve">Acknowledgement</w:t>
      </w:r>
      <w:bookmarkEnd w:id="48"/>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4: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5: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6: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7: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8: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50" w:name="page-break-2"/>
      <w:r>
        <w:t xml:space="preserve">PAGE BREAK</w:t>
      </w:r>
      <w:bookmarkEnd w:id="50"/>
    </w:p>
    <w:p>
      <w:pPr>
        <w:pStyle w:val="TableCaption"/>
      </w:pPr>
      <w:r>
        <w:t xml:space="preserve">Table 1: Categorization of co-morbidities based on diagnostic groups according to Charlson and Elixhauser. (CNS = central nervous system.)</w:t>
      </w:r>
    </w:p>
    <w:tbl>
      <w:tblPr>
        <w:tblStyle w:val="Table"/>
        <w:tblW w:type="pct" w:w="5000.0"/>
        <w:tblLook w:firstRow="1"/>
        <w:tblCaption w:val="Table 1: Categorization of co-morbidities based on diagnostic groups according to Charlson and Elixhauser.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1" w:name="page-break-3"/>
      <w:r>
        <w:t xml:space="preserve">PAGE BREAK</w:t>
      </w:r>
      <w:bookmarkEnd w:id="51"/>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2" w:name="page-break-4"/>
      <w:r>
        <w:t xml:space="preserve">PAGE BREAK</w:t>
      </w:r>
      <w:bookmarkEnd w:id="52"/>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3" w:name="page-break-5"/>
      <w:r>
        <w:t xml:space="preserve">PAGE BREAK</w:t>
      </w:r>
      <w:bookmarkEnd w:id="53"/>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4" w:name="page-break-6"/>
      <w:r>
        <w:t xml:space="preserve">PAGE BREAK</w:t>
      </w:r>
      <w:bookmarkEnd w:id="54"/>
    </w:p>
    <w:p>
      <w:pPr>
        <w:pStyle w:val="Heading1"/>
      </w:pPr>
      <w:bookmarkStart w:id="55" w:name="bibliography"/>
      <w:r>
        <w:t xml:space="preserve">Bibliography</w:t>
      </w:r>
      <w:bookmarkEnd w:id="55"/>
    </w:p>
    <w:bookmarkStart w:id="86" w:name="refs"/>
    <w:bookmarkStart w:id="56"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6"/>
    <w:bookmarkStart w:id="57"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57"/>
    <w:bookmarkStart w:id="58"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58"/>
    <w:bookmarkStart w:id="59"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59"/>
    <w:bookmarkStart w:id="60"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60"/>
    <w:bookmarkStart w:id="61"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1"/>
    <w:bookmarkStart w:id="62"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2"/>
    <w:bookmarkStart w:id="63"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3"/>
    <w:bookmarkStart w:id="64"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4"/>
    <w:bookmarkStart w:id="65" w:name="ref-Inacio2016"/>
    <w:p>
      <w:pPr>
        <w:pStyle w:val="Bibliography"/>
      </w:pPr>
      <w:r>
        <w:t xml:space="preserve">10.</w:t>
      </w:r>
      <w:r>
        <w:t xml:space="preserve"> </w:t>
      </w:r>
      <w:r>
        <w:rPr>
          <w:b/>
        </w:rPr>
        <w:t xml:space="preserve">Inacio M, Pratt N, Roughead E, Graves S</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5"/>
    <w:bookmarkStart w:id="66"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66"/>
    <w:bookmarkStart w:id="67"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67"/>
    <w:bookmarkStart w:id="68"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68"/>
    <w:bookmarkStart w:id="69"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2020;2020(478):11262–1270.</w:t>
      </w:r>
      <w:r>
        <w:t xml:space="preserve"> </w:t>
      </w:r>
    </w:p>
    <w:bookmarkEnd w:id="69"/>
    <w:bookmarkStart w:id="70" w:name="ref-Cnudde2016"/>
    <w:p>
      <w:pPr>
        <w:pStyle w:val="Bibliography"/>
      </w:pPr>
      <w:r>
        <w:t xml:space="preserve">15.</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70"/>
    <w:bookmarkStart w:id="71" w:name="ref-Karrholm2018"/>
    <w:p>
      <w:pPr>
        <w:pStyle w:val="Bibliography"/>
      </w:pPr>
      <w:r>
        <w:t xml:space="preserve">16.</w:t>
      </w:r>
      <w:r>
        <w:t xml:space="preserve"> </w:t>
      </w:r>
      <w:r>
        <w:rPr>
          <w:b/>
        </w:rPr>
        <w:t xml:space="preserve">Kärrholm J, Mohaddes M, Odin D, Vinblad J, Rogmark C, Rolfson O</w:t>
      </w:r>
      <w:r>
        <w:t xml:space="preserve">. Svenska höftprotesregistret årsrapport 2017. 2018.</w:t>
      </w:r>
      <w:r>
        <w:t xml:space="preserve"> </w:t>
      </w:r>
    </w:p>
    <w:bookmarkEnd w:id="71"/>
    <w:bookmarkStart w:id="72"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2"/>
    <w:bookmarkStart w:id="73"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3"/>
    <w:bookmarkStart w:id="74" w:name="ref-Thorn2016"/>
    <w:p>
      <w:pPr>
        <w:pStyle w:val="Bibliography"/>
      </w:pPr>
      <w:r>
        <w:t xml:space="preserve">19.</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4"/>
    <w:bookmarkStart w:id="75" w:name="ref-Sayers2016"/>
    <w:p>
      <w:pPr>
        <w:pStyle w:val="Bibliography"/>
      </w:pPr>
      <w:r>
        <w:t xml:space="preserve">20.</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5"/>
    <w:bookmarkStart w:id="76" w:name="ref-Quan2005"/>
    <w:p>
      <w:pPr>
        <w:pStyle w:val="Bibliography"/>
      </w:pPr>
      <w:r>
        <w:t xml:space="preserve">21.</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76"/>
    <w:bookmarkStart w:id="77" w:name="ref-Guo2015"/>
    <w:p>
      <w:pPr>
        <w:pStyle w:val="Bibliography"/>
      </w:pPr>
      <w:r>
        <w:t xml:space="preserve">22.</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77"/>
    <w:bookmarkStart w:id="78" w:name="ref-Miller1991"/>
    <w:p>
      <w:pPr>
        <w:pStyle w:val="Bibliography"/>
      </w:pPr>
      <w:r>
        <w:t xml:space="preserve">23.</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78"/>
    <w:bookmarkStart w:id="79" w:name="ref-Nattino2016"/>
    <w:p>
      <w:pPr>
        <w:pStyle w:val="Bibliography"/>
      </w:pPr>
      <w:r>
        <w:t xml:space="preserve">24.</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79"/>
    <w:bookmarkStart w:id="80" w:name="ref-Steyerberg2004"/>
    <w:p>
      <w:pPr>
        <w:pStyle w:val="Bibliography"/>
      </w:pPr>
      <w:r>
        <w:t xml:space="preserve">25.</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80"/>
    <w:bookmarkStart w:id="81" w:name="ref-Gibbs2020"/>
    <w:p>
      <w:pPr>
        <w:pStyle w:val="Bibliography"/>
      </w:pPr>
      <w:r>
        <w:t xml:space="preserve">26.</w:t>
      </w:r>
      <w:r>
        <w:t xml:space="preserve"> </w:t>
      </w:r>
      <w:r>
        <w:rPr>
          <w:b/>
        </w:rPr>
        <w:t xml:space="preserve">Gibbs VN, McCulloch RA, Dhiman P, McGill A, Taylor AH, Palmer AJR, et al.</w:t>
      </w:r>
      <w:r>
        <w:t xml:space="preserve"> </w:t>
      </w:r>
      <w:r>
        <w:t xml:space="preserve">Modifiable risk factors for mortality in revision total hip arthroplasty for periprosthetic fracture.</w:t>
      </w:r>
      <w:r>
        <w:t xml:space="preserve"> </w:t>
      </w:r>
      <w:r>
        <w:rPr>
          <w:i/>
        </w:rPr>
        <w:t xml:space="preserve">The Bone &amp; Joint Journal</w:t>
      </w:r>
      <w:r>
        <w:t xml:space="preserve"> </w:t>
      </w:r>
      <w:r>
        <w:t xml:space="preserve">[Internet] 2020 [cited 24 Aug 2020];102-B(5):580–585.</w:t>
      </w:r>
      <w:r>
        <w:t xml:space="preserve"> </w:t>
      </w:r>
    </w:p>
    <w:bookmarkEnd w:id="81"/>
    <w:bookmarkStart w:id="82" w:name="ref-Shohat2020"/>
    <w:p>
      <w:pPr>
        <w:pStyle w:val="Bibliography"/>
      </w:pPr>
      <w:r>
        <w:t xml:space="preserve">27.</w:t>
      </w:r>
      <w:r>
        <w:t xml:space="preserve"> </w:t>
      </w:r>
      <w:r>
        <w:rPr>
          <w:b/>
        </w:rPr>
        <w:t xml:space="preserve">Shohat N, Goswami K, Tan TL, Yayac M, Soriano A, Sousa R, et al.</w:t>
      </w:r>
      <w:r>
        <w:t xml:space="preserve"> </w:t>
      </w:r>
      <w:r>
        <w:t xml:space="preserve">2020 Frank Stinchfield Award: Identifying who will fail following irrigation and debridement for prosthetic joint infection.</w:t>
      </w:r>
      <w:r>
        <w:t xml:space="preserve"> </w:t>
      </w:r>
      <w:r>
        <w:rPr>
          <w:i/>
        </w:rPr>
        <w:t xml:space="preserve">The Bone &amp; Joint Journal</w:t>
      </w:r>
      <w:r>
        <w:t xml:space="preserve"> </w:t>
      </w:r>
      <w:r>
        <w:t xml:space="preserve">[Internet] The British Editorial Society of Bone &amp; Joint Surgery, 2020 [cited 24 Aug 2020];102-B(7_Supple_B):11–19.</w:t>
      </w:r>
      <w:r>
        <w:t xml:space="preserve"> </w:t>
      </w:r>
    </w:p>
    <w:bookmarkEnd w:id="82"/>
    <w:bookmarkStart w:id="83"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3"/>
    <w:bookmarkStart w:id="84"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4"/>
    <w:bookmarkStart w:id="85"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5"/>
    <w:bookmarkEnd w:id="86"/>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9" Target="media/rId49.png" /><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2020-08-24T12:58:34Z</dcterms:created>
  <dcterms:modified xsi:type="dcterms:W3CDTF">2020-08-24T12:58:34Z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2020-08-24</vt:lpwstr>
  </property>
  <property fmtid="{D5CDD505-2E9C-101B-9397-08002B2CF9AE}" pid="5" name="output">
    <vt:lpwstr/>
  </property>
</Properties>
</file>