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67.png" ContentType="image/png"/>
  <Override PartName="/word/media/rId71.png" ContentType="image/png"/>
  <Override PartName="/word/media/rId63.png" ContentType="image/png"/>
  <Override PartName="/word/media/rId65.png" ContentType="image/png"/>
  <Override PartName="/word/media/rId6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MD</w:t>
      </w:r>
      <w:r>
        <w:rPr>
          <w:vertAlign w:val="superscript"/>
        </w:rPr>
        <w:t xml:space="preserve">1,2</w:t>
      </w:r>
    </w:p>
    <w:p>
      <w:pPr>
        <w:pStyle w:val="Date"/>
      </w:pPr>
      <w:r>
        <w:t xml:space="preserve">2020-05-13</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esses"/>
      <w:r>
        <w:t xml:space="preserve">Addresses</w:t>
      </w:r>
      <w:bookmarkEnd w:id="21"/>
    </w:p>
    <w:p>
      <w:pPr>
        <w:pStyle w:val="Compact"/>
        <w:numPr>
          <w:numId w:val="1002"/>
          <w:ilvl w:val="0"/>
        </w:numPr>
      </w:pPr>
      <w:r>
        <w:t xml:space="preserve">AG: Andersrogatan 5, SE-621 45 Visby, SWEDEN</w:t>
      </w:r>
    </w:p>
    <w:p>
      <w:pPr>
        <w:pStyle w:val="Compact"/>
        <w:numPr>
          <w:numId w:val="1002"/>
          <w:ilvl w:val="0"/>
        </w:numPr>
      </w:pPr>
      <w:r>
        <w:t xml:space="preserve">EB/OR: Svenska Hoftprotesregistret, Registercentrum Vastra Gotaland, SE-413 45 Gothenbutg, SWEDEN</w:t>
      </w:r>
    </w:p>
    <w:p>
      <w:pPr>
        <w:pStyle w:val="Compact"/>
        <w:numPr>
          <w:numId w:val="1002"/>
          <w:ilvl w:val="0"/>
        </w:numPr>
      </w:pPr>
      <w:r>
        <w:t xml:space="preserve">EL/AB/AS: Musculoskeletal Research Unit, University of Bristol, Beacon House, Queens Road, Bristol, BS8 1QU, UK</w:t>
      </w:r>
    </w:p>
    <w:p>
      <w:pPr>
        <w:pStyle w:val="Compact"/>
        <w:numPr>
          <w:numId w:val="1002"/>
          <w:ilvl w:val="0"/>
        </w:numPr>
      </w:pPr>
      <w:r>
        <w:t xml:space="preserve">JMW: Department of Oncology and Metabolism, The Medical School, Beech Hill Road, Sheffield, S10 2RX, UK</w:t>
      </w:r>
    </w:p>
    <w:p>
      <w:pPr>
        <w:pStyle w:val="Compact"/>
        <w:numPr>
          <w:numId w:val="1002"/>
          <w:ilvl w:val="0"/>
        </w:numPr>
      </w:pP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 + 46 70 08 234 28.</w:t>
      </w:r>
      <w:r>
        <w:t xml:space="preserve"> </w:t>
      </w:r>
      <w:hyperlink r:id="rId23">
        <w:r>
          <w:rPr>
            <w:rStyle w:val="Hyperlink"/>
          </w:rPr>
          <w:t xml:space="preserve">erik.bulow@vgregion.se</w:t>
        </w:r>
      </w:hyperlink>
      <w:r>
        <w:t xml:space="preserve">. 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Background:</w:t>
      </w:r>
      <w:r>
        <w:rPr>
          <w:b/>
        </w:rPr>
        <w:t xml:space="preserve"> </w:t>
      </w:r>
      <w:r>
        <w:t xml:space="preserve"> </w:t>
      </w:r>
      <w:r>
        <w:t xml:space="preserve">Shared individualized decision making prior to total hip arthroplasty (THA) includes discussions of the risk of mortality. However, diagnosis code-based instruments such as the Charlson co-morbidity index are impossible to use in clinical practice, and the American Society for Anesthesiologists (ASA) class is imprecise. We thus developed a simple model to predict 90-day mortality after elective THA.</w:t>
      </w:r>
    </w:p>
    <w:p>
      <w:pPr>
        <w:pStyle w:val="BodyText"/>
      </w:pPr>
      <w:r>
        <w:rPr>
          <w:b/>
        </w:rPr>
        <w:t xml:space="preserve">Methods:</w:t>
      </w:r>
      <w:r>
        <w:rPr>
          <w:b/>
        </w:rPr>
        <w:t xml:space="preserve"> </w:t>
      </w:r>
      <w:r>
        <w:t xml:space="preserve">We performed a prospective multi-national population-based registry study.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Findings:</w:t>
      </w:r>
      <w:r>
        <w:rPr>
          <w:b/>
        </w:rPr>
        <w:t xml:space="preserve"> </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Interpretation:</w:t>
      </w:r>
      <w:r>
        <w:rPr>
          <w:b/>
        </w:rPr>
        <w:t xml:space="preserve"> </w:t>
      </w:r>
      <w:r>
        <w:t xml:space="preserve"> </w:t>
      </w:r>
      <w:r>
        <w:t xml:space="preserve">We developed a parsimonious model to predict 90-day mortality after elective cemented THA based on easily available demographic data and the presence of four defined co-morbidities. This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Funding:</w:t>
      </w:r>
      <w:r>
        <w:rPr>
          <w:b/>
        </w:rPr>
        <w:t xml:space="preserve"> </w:t>
      </w:r>
      <w:r>
        <w:t xml:space="preserve"> </w:t>
      </w:r>
      <w:r>
        <w:t xml:space="preserve">We had no external funding.</w:t>
      </w:r>
    </w:p>
    <w:p>
      <w:pPr>
        <w:pStyle w:val="Heading5"/>
      </w:pPr>
      <w:bookmarkStart w:id="27" w:name="page-break-1"/>
      <w:r>
        <w:t xml:space="preserve">PAGE BREAK</w:t>
      </w:r>
      <w:bookmarkEnd w:id="27"/>
    </w:p>
    <w:p>
      <w:pPr>
        <w:pStyle w:val="Heading1"/>
      </w:pPr>
      <w:bookmarkStart w:id="28" w:name="research-in-context"/>
      <w:r>
        <w:t xml:space="preserve">Research in context</w:t>
      </w:r>
      <w:bookmarkEnd w:id="28"/>
    </w:p>
    <w:p>
      <w:pPr>
        <w:pStyle w:val="Heading2"/>
      </w:pPr>
      <w:bookmarkStart w:id="29" w:name="evidence-before-this-study"/>
      <w:r>
        <w:t xml:space="preserve">Evidence before this study</w:t>
      </w:r>
      <w:bookmarkEnd w:id="29"/>
    </w:p>
    <w:p>
      <w:pPr>
        <w:pStyle w:val="FirstParagraph"/>
      </w:pPr>
      <w:r>
        <w:t xml:space="preserve">We performed an initial ad hoc literature review based on Google Scholar, personal recommendations and relevant references. We then used 2Dsearch (</w:t>
      </w:r>
      <w:hyperlink r:id="rId30">
        <w:r>
          <w:rPr>
            <w:rStyle w:val="Hyperlink"/>
          </w:rPr>
          <w:t xml:space="preserve">https://2dsearch.com</w:t>
        </w:r>
      </w:hyperlink>
      <w:r>
        <w:t xml:space="preserve"> </w:t>
      </w:r>
      <w:r>
        <w:t xml:space="preserve">accessed 2020-05-11) to build a search query for a more systematic review:</w:t>
      </w:r>
      <w:r>
        <w:t xml:space="preserve"> </w:t>
      </w:r>
      <w:r>
        <w:rPr>
          <w:rStyle w:val="VerbatimChar"/>
        </w:rPr>
        <w:t xml:space="preserve">(femur OR hip OR bone OR bones OR osteoarthritis OR rheumatoid OR rheumatism) AND (prognostic OR prediction OR forecast OR forecasting OR forecasts OR predict OR predicted OR predicting OR predictions OR predicts OR projections) AND (death OR mortality OR deaths OR survival OR survive) AND (replacement OR replaced OR replacements OR arthroplasty OR "Arthroplasty, Replacement" OR prosthesis OR implant OR prostheses OR prosthetic OR prosthetics) AND (calibration OR calibrate OR calibrated OR validation OR validate OR validated OR validating OR validity OR precision OR accuracy OR accurate OR precise OR "external validation" OR evaluation OR verification OR internal) AND (build OR building OR construct OR create OR develop OR establish OR train OR derive OR derivation) AND (models OR modelling OR "statistical model" OR modeling) AND (comorbidity OR comorbid OR co-morbid OR co-occurring OR diagnoses OR co-morbidity OR Elixhauser OR Charlson OR "comorbidity index" OR "comorbidity score" OR "Rx Risk V" OR ASA)</w:t>
      </w:r>
      <w:r>
        <w:t xml:space="preserve">. We used no time or language constraints and used this query in PubMed (</w:t>
      </w:r>
      <w:hyperlink r:id="rId31">
        <w:r>
          <w:rPr>
            <w:rStyle w:val="Hyperlink"/>
          </w:rPr>
          <w:t xml:space="preserve">https://pubmed.gov</w:t>
        </w:r>
      </w:hyperlink>
      <w:r>
        <w:t xml:space="preserve"> </w:t>
      </w:r>
      <w:r>
        <w:t xml:space="preserve">accessed 2020-05-11), and identified 143 articles, whereof one was a duplicate. We performed an article screening with Rayyan (</w:t>
      </w:r>
      <w:hyperlink r:id="rId32">
        <w:r>
          <w:rPr>
            <w:rStyle w:val="Hyperlink"/>
          </w:rPr>
          <w:t xml:space="preserve">https://rayyan.qcri.org/</w:t>
        </w:r>
      </w:hyperlink>
      <w:r>
        <w:t xml:space="preserve"> </w:t>
      </w:r>
      <w:r>
        <w:t xml:space="preserve">accessed 2020-05-12). 131 articles were excluded based on titles, and an additional 6 after reading the abstracts. 5 articles remained, whereof 3 were already considered during the ad hoc review process. Research on cadavers, canines, and patients with diagnoses other than elective hip disorders (including hip fractures) were excluded during the screening process, as were prediction models with outcomes other than mortality. In addition, we used Open Grey (</w:t>
      </w:r>
      <w:hyperlink r:id="rId33">
        <w:r>
          <w:rPr>
            <w:rStyle w:val="Hyperlink"/>
          </w:rPr>
          <w:t xml:space="preserve">https://opengrey.eu</w:t>
        </w:r>
      </w:hyperlink>
      <w:r>
        <w:t xml:space="preserve"> </w:t>
      </w:r>
      <w:r>
        <w:t xml:space="preserve">accessed 2020-05-12) with the query above, as well as a simpler query (</w:t>
      </w:r>
      <w:r>
        <w:rPr>
          <w:rStyle w:val="VerbatimChar"/>
        </w:rPr>
        <w:t xml:space="preserve">hip AND prediction</w:t>
      </w:r>
      <w:r>
        <w:t xml:space="preserve">). We found 9 items, whereof none was considered relevant. The same queries were used with Epistemonikos (</w:t>
      </w:r>
      <w:hyperlink r:id="rId34">
        <w:r>
          <w:rPr>
            <w:rStyle w:val="Hyperlink"/>
          </w:rPr>
          <w:t xml:space="preserve">https://epistemonikos.org</w:t>
        </w:r>
      </w:hyperlink>
      <w:r>
        <w:t xml:space="preserve"> </w:t>
      </w:r>
      <w:r>
        <w:t xml:space="preserve">accessed 2020-05-12). No items were found using the longer query, but 33 systematic reviews based on the shorter. 30 where excluded after title screening, and the remaining 3 after screening of abstracts.</w:t>
      </w:r>
    </w:p>
    <w:p>
      <w:pPr>
        <w:pStyle w:val="BodyText"/>
      </w:pPr>
      <w:r>
        <w:t xml:space="preserve">In summary, several prediction models have been developed for short-term mortality in patients operated with total hip arthroplasty (THA). Most of them are based on small sample sizes, make use of too elaborate predictors based on data that are unavailable in a clinical setting, only consider in-hospital deaths, are inadequately internally or externally validated or not validated at all, or have no national population coverage. Only few model descriptions are accompanied by a practical tool for use in clinical practice (often only nomograms or a mathematical formula are supplied). Some relevant models are further described in the main text. Meta-analysis is most relevant for pooling individual effect estimates or measures of predictive power for a model validated on different cohorts. Hence, no relevant meta-analysis was applicable to our study.</w:t>
      </w:r>
    </w:p>
    <w:p>
      <w:pPr>
        <w:pStyle w:val="Heading2"/>
      </w:pPr>
      <w:bookmarkStart w:id="35" w:name="added-value-of-this-study"/>
      <w:r>
        <w:t xml:space="preserve">Added value of this study</w:t>
      </w:r>
      <w:bookmarkEnd w:id="35"/>
    </w:p>
    <w:p>
      <w:pPr>
        <w:pStyle w:val="FirstParagraph"/>
      </w:pPr>
      <w:r>
        <w:t xml:space="preserve">Our study is the first to develop and externally validate a parsimonious prediction model for early mortality after THA based on two European cohorts, and to simultaneously provide a simple web-calculator for use in clinical practice.</w:t>
      </w:r>
    </w:p>
    <w:p>
      <w:pPr>
        <w:pStyle w:val="Heading2"/>
      </w:pPr>
      <w:bookmarkStart w:id="36" w:name="X063c91067dfd6e13a339814ca2b7c9463a0788b"/>
      <w:r>
        <w:t xml:space="preserve">Implications of all the available evidence</w:t>
      </w:r>
      <w:bookmarkEnd w:id="36"/>
    </w:p>
    <w:p>
      <w:pPr>
        <w:pStyle w:val="FirstParagraph"/>
      </w:pPr>
      <w:r>
        <w:t xml:space="preserve">Prediction models must consider all aspects of the relevant cohorts, including different health care systems, population demographics, and treatment traditions. Our tool was derived on a Swedish cohort and then validated on a similar cohort from England and Wales. We believe that the model might have broader clinical relevance and is suitable for clinical usage.</w:t>
      </w:r>
    </w:p>
    <w:p>
      <w:pPr>
        <w:pStyle w:val="Heading5"/>
      </w:pPr>
      <w:bookmarkStart w:id="37" w:name="page-break-2"/>
      <w:r>
        <w:t xml:space="preserve">PAGE BREAK</w:t>
      </w:r>
      <w:bookmarkEnd w:id="37"/>
    </w:p>
    <w:p>
      <w:pPr>
        <w:pStyle w:val="Heading1"/>
      </w:pPr>
      <w:bookmarkStart w:id="38" w:name="introduction"/>
      <w:r>
        <w:t xml:space="preserve">Introduction</w:t>
      </w:r>
      <w:bookmarkEnd w:id="38"/>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replacement in the UK (</w:t>
      </w:r>
      <w:hyperlink r:id="rId39">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40" w:name="participants-and-methods"/>
      <w:r>
        <w:t xml:space="preserve">Participants and Methods</w:t>
      </w:r>
      <w:bookmarkEnd w:id="40"/>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41" w:name="derivation-cohort-sweden"/>
      <w:r>
        <w:t xml:space="preserve">Derivation cohort (Sweden)</w:t>
      </w:r>
      <w:bookmarkEnd w:id="41"/>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42" w:name="X607666395c53d4d7bffb9fa48f5a07f249542af"/>
      <w:r>
        <w:t xml:space="preserve">External validation cohort (England and Wales)</w:t>
      </w:r>
      <w:bookmarkEnd w:id="42"/>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43" w:name="defining-co-morbidity"/>
      <w:r>
        <w:t xml:space="preserve">Defining co-morbidity</w:t>
      </w:r>
      <w:bookmarkEnd w:id="43"/>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44" w:name="X3dfb8ce663a1fc2d82d471b5d62397660058101"/>
      <w:r>
        <w:t xml:space="preserve">Statistical analysis for model development</w:t>
      </w:r>
      <w:bookmarkEnd w:id="44"/>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p>
    <w:p>
      <w:pPr>
        <w:pStyle w:val="Heading2"/>
      </w:pPr>
      <w:bookmarkStart w:id="45" w:name="Xff1047e633f212e7c4888ec1ef4e1c3504bdbf7"/>
      <w:r>
        <w:t xml:space="preserve">Statistical analysis for model validation</w:t>
      </w:r>
      <w:bookmarkEnd w:id="45"/>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46" w:name="statistical-tools"/>
      <w:r>
        <w:t xml:space="preserve">Statistical tools</w:t>
      </w:r>
      <w:bookmarkEnd w:id="46"/>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47">
        <w:r>
          <w:rPr>
            <w:rStyle w:val="Hyperlink"/>
          </w:rPr>
          <w:t xml:space="preserve">http://doi.org/10.5281/zenodo.3732852</w:t>
        </w:r>
      </w:hyperlink>
      <w:r>
        <w:t xml:space="preserve">. A linked Binder environment is also available for interactive usage.</w:t>
      </w:r>
    </w:p>
    <w:p>
      <w:pPr>
        <w:pStyle w:val="Heading2"/>
      </w:pPr>
      <w:bookmarkStart w:id="48" w:name="ethical-approval"/>
      <w:r>
        <w:t xml:space="preserve">Ethical approval</w:t>
      </w:r>
      <w:bookmarkEnd w:id="48"/>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9" w:name="indirect-patient-and-public-involvement"/>
      <w:r>
        <w:t xml:space="preserve">Indirect Patient and Public Involvement</w:t>
      </w:r>
      <w:bookmarkEnd w:id="49"/>
    </w:p>
    <w:p>
      <w:pPr>
        <w:pStyle w:val="FirstParagraph"/>
      </w:pPr>
      <w:r>
        <w:t xml:space="preserve">There is a patient representative at SHAR to ensure that the patients’ interests are respected in planned research.</w:t>
      </w:r>
    </w:p>
    <w:p>
      <w:pPr>
        <w:pStyle w:val="Heading1"/>
      </w:pPr>
      <w:bookmarkStart w:id="50" w:name="results"/>
      <w:r>
        <w:t xml:space="preserve">Results</w:t>
      </w:r>
      <w:bookmarkEnd w:id="50"/>
    </w:p>
    <w:p>
      <w:pPr>
        <w:pStyle w:val="Heading2"/>
      </w:pPr>
      <w:bookmarkStart w:id="51" w:name="study-participants"/>
      <w:r>
        <w:t xml:space="preserve">Study participants</w:t>
      </w:r>
      <w:bookmarkEnd w:id="51"/>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52" w:name="X97f55da61655794c4500bb5dee5b0e7e0a00da4"/>
      <w:r>
        <w:t xml:space="preserve">Model development and internal validation</w:t>
      </w:r>
      <w:bookmarkEnd w:id="52"/>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53" w:name="external-validation"/>
      <w:r>
        <w:t xml:space="preserve">External validation</w:t>
      </w:r>
      <w:bookmarkEnd w:id="5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5</w:t>
      </w:r>
      <w:r>
        <w:t xml:space="preserve">).</w:t>
      </w:r>
    </w:p>
    <w:p>
      <w:pPr>
        <w:pStyle w:val="Heading1"/>
      </w:pPr>
      <w:bookmarkStart w:id="54" w:name="discussion"/>
      <w:r>
        <w:t xml:space="preserve">Discussion</w:t>
      </w:r>
      <w:bookmarkEnd w:id="54"/>
    </w:p>
    <w:p>
      <w:pPr>
        <w:pStyle w:val="Heading2"/>
      </w:pPr>
      <w:bookmarkStart w:id="55" w:name="principal-findings"/>
      <w:r>
        <w:t xml:space="preserve">Principal findings</w:t>
      </w:r>
      <w:bookmarkEnd w:id="55"/>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than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56" w:name="clinical-usage"/>
      <w:r>
        <w:t xml:space="preserve">Clinical usage</w:t>
      </w:r>
      <w:bookmarkEnd w:id="56"/>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35-year-old woman with ASA class I and none of the important co-morbidities would have a 0·028 ‰ risk to die within 90 days of surgery. A woman, 67 years old, i.e. the first age quantile, would have an elevated risk of 0·37 ‰. A 99-year-old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27</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registered in the SHAR with BMI above 30, the WHO definition of obesity, was much higher (23 %) than the proportion of patients with a diagnosis code for obesity (ICD-10 = E66) recorded in the Swedish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57" w:name="strengths-and-limitations"/>
      <w:r>
        <w:t xml:space="preserve">Strengths and limitations</w:t>
      </w:r>
      <w:bookmarkEnd w:id="57"/>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28</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58" w:name="conclusion"/>
      <w:r>
        <w:t xml:space="preserve">Conclusion</w:t>
      </w:r>
      <w:bookmarkEnd w:id="58"/>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59" w:name="page-break-3"/>
      <w:r>
        <w:t xml:space="preserve">PAGE BREAK</w:t>
      </w:r>
      <w:bookmarkEnd w:id="59"/>
    </w:p>
    <w:p>
      <w:pPr>
        <w:pStyle w:val="Heading1"/>
      </w:pPr>
      <w:bookmarkStart w:id="60" w:name="contribution-of-authors"/>
      <w:r>
        <w:t xml:space="preserve">Contribution of authors</w:t>
      </w:r>
      <w:bookmarkEnd w:id="6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61" w:name="acknowledgement"/>
      <w:r>
        <w:t xml:space="preserve">Acknowledgement</w:t>
      </w:r>
      <w:bookmarkEnd w:id="61"/>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62" w:name="page-break-4"/>
      <w:r>
        <w:t xml:space="preserve">PAGE BREAK</w:t>
      </w:r>
      <w:bookmarkEnd w:id="62"/>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63"/>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64" w:name="page-break-5"/>
      <w:r>
        <w:t xml:space="preserve">PAGE BREAK</w:t>
      </w:r>
      <w:bookmarkEnd w:id="64"/>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65"/>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66" w:name="page-break-6"/>
      <w:r>
        <w:t xml:space="preserve">PAGE BREAK</w:t>
      </w:r>
      <w:bookmarkEnd w:id="66"/>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67"/>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68" w:name="page-break-7"/>
      <w:r>
        <w:t xml:space="preserve">PAGE BREAK</w:t>
      </w:r>
      <w:bookmarkEnd w:id="68"/>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9"/>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70" w:name="page-break-8"/>
      <w:r>
        <w:t xml:space="preserve">PAGE BREAK</w:t>
      </w:r>
      <w:bookmarkEnd w:id="70"/>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71"/>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72" w:name="page-break-9"/>
      <w:r>
        <w:t xml:space="preserve">PAGE BREAK</w:t>
      </w:r>
      <w:bookmarkEnd w:id="72"/>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73" w:name="page-break-10"/>
      <w:r>
        <w:t xml:space="preserve">PAGE BREAK</w:t>
      </w:r>
      <w:bookmarkEnd w:id="73"/>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74" w:name="page-break-11"/>
      <w:r>
        <w:t xml:space="preserve">PAGE BREAK</w:t>
      </w:r>
      <w:bookmarkEnd w:id="74"/>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75" w:name="page-break-12"/>
      <w:r>
        <w:t xml:space="preserve">PAGE BREAK</w:t>
      </w:r>
      <w:bookmarkEnd w:id="75"/>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-13·28</w:t>
            </w:r>
          </w:p>
        </w:tc>
        <w:tc>
          <w:p/>
        </w:tc>
        <w:tc>
          <w:p/>
        </w:tc>
      </w:tr>
      <w:tr>
        <w:tc>
          <w:p>
            <w:pPr>
              <w:pStyle w:val="Compact"/>
              <w:jc w:val="left"/>
            </w:pPr>
            <w:r>
              <w:t xml:space="preserve">Cancer</w:t>
            </w:r>
          </w:p>
        </w:tc>
        <w:tc>
          <w:p>
            <w:pPr>
              <w:pStyle w:val="Compact"/>
              <w:jc w:val="lef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left"/>
            </w:pPr>
            <w:r>
              <w:t xml:space="preserve">0·9</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lef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lef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lef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lef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lef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lef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76" w:name="page-break-13"/>
      <w:r>
        <w:t xml:space="preserve">PAGE BREAK</w:t>
      </w:r>
      <w:bookmarkEnd w:id="76"/>
    </w:p>
    <w:p>
      <w:pPr>
        <w:pStyle w:val="Heading1"/>
      </w:pPr>
      <w:bookmarkStart w:id="77" w:name="bibliography"/>
      <w:r>
        <w:t xml:space="preserve">Bibliography</w:t>
      </w:r>
      <w:bookmarkEnd w:id="77"/>
    </w:p>
    <w:bookmarkStart w:id="110" w:name="refs"/>
    <w:bookmarkStart w:id="78" w:name="ref-Garland2017"/>
    <w:p>
      <w:pPr>
        <w:pStyle w:val="Bibliography"/>
      </w:pPr>
      <w:r>
        <w:t xml:space="preserve">1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78"/>
    <w:bookmarkStart w:id="79" w:name="ref-Inacio2015"/>
    <w:p>
      <w:pPr>
        <w:pStyle w:val="Bibliography"/>
      </w:pPr>
      <w:r>
        <w:t xml:space="preserve">2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9"/>
    <w:bookmarkStart w:id="80" w:name="ref-Gordon2013"/>
    <w:p>
      <w:pPr>
        <w:pStyle w:val="Bibliography"/>
      </w:pPr>
      <w:r>
        <w:t xml:space="preserve">3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80"/>
    <w:bookmarkStart w:id="81" w:name="ref-Hofstede2016"/>
    <w:p>
      <w:pPr>
        <w:pStyle w:val="Bibliography"/>
      </w:pPr>
      <w:r>
        <w:t xml:space="preserve">4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81"/>
    <w:bookmarkStart w:id="82" w:name="ref-Bulow2017"/>
    <w:p>
      <w:pPr>
        <w:pStyle w:val="Bibliography"/>
      </w:pPr>
      <w:r>
        <w:t xml:space="preserve">5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82"/>
    <w:bookmarkStart w:id="83" w:name="ref-Brusselaers2017"/>
    <w:p>
      <w:pPr>
        <w:pStyle w:val="Bibliography"/>
      </w:pPr>
      <w:r>
        <w:t xml:space="preserve">6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83"/>
    <w:bookmarkStart w:id="84" w:name="ref-Bozic2013a"/>
    <w:p>
      <w:pPr>
        <w:pStyle w:val="Bibliography"/>
      </w:pPr>
      <w:r>
        <w:t xml:space="preserve">7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4"/>
    <w:bookmarkStart w:id="85" w:name="ref-Bozic2013b"/>
    <w:p>
      <w:pPr>
        <w:pStyle w:val="Bibliography"/>
      </w:pPr>
      <w:r>
        <w:t xml:space="preserve">8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85"/>
    <w:bookmarkStart w:id="86" w:name="ref-Harris2018"/>
    <w:p>
      <w:pPr>
        <w:pStyle w:val="Bibliography"/>
      </w:pPr>
      <w:r>
        <w:t xml:space="preserve">9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86"/>
    <w:bookmarkStart w:id="87" w:name="ref-Harris2018a"/>
    <w:p>
      <w:pPr>
        <w:pStyle w:val="Bibliography"/>
      </w:pPr>
      <w:r>
        <w:t xml:space="preserve">10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87"/>
    <w:bookmarkStart w:id="88" w:name="ref-Inacio2016"/>
    <w:p>
      <w:pPr>
        <w:pStyle w:val="Bibliography"/>
      </w:pPr>
      <w:r>
        <w:t xml:space="preserve">11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8"/>
    <w:bookmarkStart w:id="89" w:name="ref-Price2019"/>
    <w:p>
      <w:pPr>
        <w:pStyle w:val="Bibliography"/>
      </w:pPr>
      <w:r>
        <w:t xml:space="preserve">12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9"/>
    <w:bookmarkStart w:id="90" w:name="ref-Harris2019"/>
    <w:p>
      <w:pPr>
        <w:pStyle w:val="Bibliography"/>
      </w:pPr>
      <w:r>
        <w:t xml:space="preserve">13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90"/>
    <w:bookmarkStart w:id="91" w:name="ref-Manning2016"/>
    <w:p>
      <w:pPr>
        <w:pStyle w:val="Bibliography"/>
      </w:pPr>
      <w:r>
        <w:t xml:space="preserve">14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91"/>
    <w:bookmarkStart w:id="92" w:name="ref-Bulow2020"/>
    <w:p>
      <w:pPr>
        <w:pStyle w:val="Bibliography"/>
      </w:pPr>
      <w:r>
        <w:t xml:space="preserve">15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92"/>
    <w:bookmarkStart w:id="93" w:name="ref-Cnudde2016"/>
    <w:p>
      <w:pPr>
        <w:pStyle w:val="Bibliography"/>
      </w:pPr>
      <w:r>
        <w:t xml:space="preserve">16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3"/>
    <w:bookmarkStart w:id="95" w:name="ref-Karrholm2018"/>
    <w:p>
      <w:pPr>
        <w:pStyle w:val="Bibliography"/>
      </w:pPr>
      <w:r>
        <w:t xml:space="preserve">17 Kärrholm J, Mohaddes M, Odin D, Vinblad J, Rogmark C, Rolfson O. Svenska höftprotesregistret årsrapport 2017. 2018</w:t>
      </w:r>
      <w:r>
        <w:t xml:space="preserve"> </w:t>
      </w:r>
      <w:hyperlink r:id="rId94">
        <w:r>
          <w:rPr>
            <w:rStyle w:val="Hyperlink"/>
          </w:rPr>
          <w:t xml:space="preserve">https://registercentrum.blob.core.windows.net/shpr/r/-rsrapport-2016-SJirXXUsb.pdf</w:t>
        </w:r>
      </w:hyperlink>
      <w:r>
        <w:t xml:space="preserve">.</w:t>
      </w:r>
    </w:p>
    <w:bookmarkEnd w:id="95"/>
    <w:bookmarkStart w:id="96" w:name="ref-Ludvigsson2019"/>
    <w:p>
      <w:pPr>
        <w:pStyle w:val="Bibliography"/>
      </w:pPr>
      <w:r>
        <w:t xml:space="preserve">18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96"/>
    <w:bookmarkStart w:id="97" w:name="ref-Ludvigsson2011"/>
    <w:p>
      <w:pPr>
        <w:pStyle w:val="Bibliography"/>
      </w:pPr>
      <w:r>
        <w:t xml:space="preserve">19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7"/>
    <w:bookmarkStart w:id="98" w:name="ref-Thorn2016"/>
    <w:p>
      <w:pPr>
        <w:pStyle w:val="Bibliography"/>
      </w:pPr>
      <w:r>
        <w:t xml:space="preserve">20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8"/>
    <w:bookmarkStart w:id="99" w:name="ref-Sayers2016"/>
    <w:p>
      <w:pPr>
        <w:pStyle w:val="Bibliography"/>
      </w:pPr>
      <w:r>
        <w:t xml:space="preserve">21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9"/>
    <w:bookmarkStart w:id="100" w:name="ref-Quan2005"/>
    <w:p>
      <w:pPr>
        <w:pStyle w:val="Bibliography"/>
      </w:pPr>
      <w:r>
        <w:t xml:space="preserve">22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100"/>
    <w:bookmarkStart w:id="101" w:name="ref-Guo2015"/>
    <w:p>
      <w:pPr>
        <w:pStyle w:val="Bibliography"/>
      </w:pPr>
      <w:r>
        <w:t xml:space="preserve">23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101"/>
    <w:bookmarkStart w:id="102" w:name="ref-Miller1991"/>
    <w:p>
      <w:pPr>
        <w:pStyle w:val="Bibliography"/>
      </w:pPr>
      <w:r>
        <w:t xml:space="preserve">24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02"/>
    <w:bookmarkStart w:id="103" w:name="ref-Nattino2016"/>
    <w:p>
      <w:pPr>
        <w:pStyle w:val="Bibliography"/>
      </w:pPr>
      <w:r>
        <w:t xml:space="preserve">25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3"/>
    <w:bookmarkStart w:id="104" w:name="ref-Steyerberg2004"/>
    <w:p>
      <w:pPr>
        <w:pStyle w:val="Bibliography"/>
      </w:pPr>
      <w:r>
        <w:t xml:space="preserve">26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04"/>
    <w:bookmarkStart w:id="105" w:name="ref-Haynes1995"/>
    <w:p>
      <w:pPr>
        <w:pStyle w:val="Bibliography"/>
      </w:pPr>
      <w:r>
        <w:t xml:space="preserve">27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05"/>
    <w:bookmarkStart w:id="106" w:name="ref-Burns2012"/>
    <w:p>
      <w:pPr>
        <w:pStyle w:val="Bibliography"/>
      </w:pPr>
      <w:r>
        <w:t xml:space="preserve">28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106"/>
    <w:bookmarkStart w:id="108" w:name="ref-Smith2012"/>
    <w:p>
      <w:pPr>
        <w:pStyle w:val="Bibliography"/>
      </w:pPr>
      <w:r>
        <w:t xml:space="preserve">29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07">
        <w:r>
          <w:rPr>
            <w:rStyle w:val="Hyperlink"/>
          </w:rPr>
          <w:t xml:space="preserve">10.1136/bmj.e2383</w:t>
        </w:r>
      </w:hyperlink>
      <w:r>
        <w:t xml:space="preserve">.</w:t>
      </w:r>
    </w:p>
    <w:bookmarkEnd w:id="108"/>
    <w:bookmarkStart w:id="109" w:name="ref-Mouchti2018"/>
    <w:p>
      <w:pPr>
        <w:pStyle w:val="Bibliography"/>
      </w:pPr>
      <w:r>
        <w:t xml:space="preserve">30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09"/>
    <w:bookmarkEnd w:id="110"/>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47" Target="http://doi.org/10.5281/zenodo.3732852" TargetMode="External" /><Relationship Type="http://schemas.openxmlformats.org/officeDocument/2006/relationships/hyperlink" Id="rId30" Target="https://2dsearch.com" TargetMode="External" /><Relationship Type="http://schemas.openxmlformats.org/officeDocument/2006/relationships/hyperlink" Id="rId107" Target="https://doi.org/10.1136/bmj.e2383" TargetMode="External" /><Relationship Type="http://schemas.openxmlformats.org/officeDocument/2006/relationships/hyperlink" Id="rId34" Target="https://epistemonikos.org" TargetMode="External" /><Relationship Type="http://schemas.openxmlformats.org/officeDocument/2006/relationships/hyperlink" Id="rId39" Target="https://jointcalc.shef.ac.uk/" TargetMode="External" /><Relationship Type="http://schemas.openxmlformats.org/officeDocument/2006/relationships/hyperlink" Id="rId33" Target="https://opengrey.eu" TargetMode="External" /><Relationship Type="http://schemas.openxmlformats.org/officeDocument/2006/relationships/hyperlink" Id="rId31" Target="https://pubmed.gov" TargetMode="External" /><Relationship Type="http://schemas.openxmlformats.org/officeDocument/2006/relationships/hyperlink" Id="rId32" Target="https://rayyan.qcri.org/" TargetMode="External" /><Relationship Type="http://schemas.openxmlformats.org/officeDocument/2006/relationships/hyperlink" Id="rId94"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10.5281/zenodo.3732852" TargetMode="External" /><Relationship Type="http://schemas.openxmlformats.org/officeDocument/2006/relationships/hyperlink" Id="rId30" Target="https://2dsearch.com" TargetMode="External" /><Relationship Type="http://schemas.openxmlformats.org/officeDocument/2006/relationships/hyperlink" Id="rId107" Target="https://doi.org/10.1136/bmj.e2383" TargetMode="External" /><Relationship Type="http://schemas.openxmlformats.org/officeDocument/2006/relationships/hyperlink" Id="rId34" Target="https://epistemonikos.org" TargetMode="External" /><Relationship Type="http://schemas.openxmlformats.org/officeDocument/2006/relationships/hyperlink" Id="rId39" Target="https://jointcalc.shef.ac.uk/" TargetMode="External" /><Relationship Type="http://schemas.openxmlformats.org/officeDocument/2006/relationships/hyperlink" Id="rId33" Target="https://opengrey.eu" TargetMode="External" /><Relationship Type="http://schemas.openxmlformats.org/officeDocument/2006/relationships/hyperlink" Id="rId31" Target="https://pubmed.gov" TargetMode="External" /><Relationship Type="http://schemas.openxmlformats.org/officeDocument/2006/relationships/hyperlink" Id="rId32" Target="https://rayyan.qcri.org/" TargetMode="External" /><Relationship Type="http://schemas.openxmlformats.org/officeDocument/2006/relationships/hyperlink" Id="rId94"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MD1,2</dc:creator>
  <cp:keywords/>
  <dcterms:created xsi:type="dcterms:W3CDTF">2020-05-13T11:27:14Z</dcterms:created>
  <dcterms:modified xsi:type="dcterms:W3CDTF">2020-05-13T11:27:14Z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2020-05-13</vt:lpwstr>
  </property>
  <property fmtid="{D5CDD505-2E9C-101B-9397-08002B2CF9AE}" pid="5" name="output">
    <vt:lpwstr/>
  </property>
</Properties>
</file>