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0.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 </w:t>
      </w:r>
      <w:r>
        <w:t xml:space="preserve">Erik</w:t>
      </w:r>
      <w:r>
        <w:t xml:space="preserve"> </w:t>
      </w:r>
      <w:r>
        <w:t xml:space="preserve">Lenguerrand,</w:t>
      </w:r>
      <w:r>
        <w:rPr>
          <w:vertAlign w:val="superscript"/>
        </w:rPr>
        <w:t xml:space="preserve">5</w:t>
      </w:r>
      <w:r>
        <w:t xml:space="preserve"> </w:t>
      </w:r>
      <w:r>
        <w:t xml:space="preserve">Ashley</w:t>
      </w:r>
      <w:r>
        <w:t xml:space="preserve"> </w:t>
      </w:r>
      <w:r>
        <w:t xml:space="preserve">Blom,</w:t>
      </w:r>
      <w:r>
        <w:rPr>
          <w:vertAlign w:val="superscript"/>
        </w:rPr>
        <w:t xml:space="preserve">5,6</w:t>
      </w:r>
      <w:r>
        <w:t xml:space="preserve"> </w:t>
      </w:r>
      <w:r>
        <w:t xml:space="preserve">J.</w:t>
      </w:r>
      <w:r>
        <w:t xml:space="preserve"> </w:t>
      </w:r>
      <w:r>
        <w:t xml:space="preserve">Mark</w:t>
      </w:r>
      <w:r>
        <w:t xml:space="preserve"> </w:t>
      </w:r>
      <w:r>
        <w:t xml:space="preserve">Wilkinson,</w:t>
      </w:r>
      <w:r>
        <w:rPr>
          <w:vertAlign w:val="superscript"/>
        </w:rPr>
        <w:t xml:space="preserve">7</w:t>
      </w:r>
      <w:r>
        <w:t xml:space="preserve"> </w:t>
      </w:r>
      <w:r>
        <w:t xml:space="preserve">Adrian</w:t>
      </w:r>
      <w:r>
        <w:t xml:space="preserve"> </w:t>
      </w:r>
      <w:r>
        <w:t xml:space="preserve">Sayers,</w:t>
      </w:r>
      <w:r>
        <w:rPr>
          <w:vertAlign w:val="superscript"/>
        </w:rPr>
        <w:t xml:space="preserve">5</w:t>
      </w:r>
      <w:r>
        <w:t xml:space="preserve"> </w:t>
      </w:r>
      <w:r>
        <w:t xml:space="preserve">Ola</w:t>
      </w:r>
      <w:r>
        <w:t xml:space="preserve"> </w:t>
      </w:r>
      <w:r>
        <w:t xml:space="preserve">Rolfson,</w:t>
      </w:r>
      <w:r>
        <w:rPr>
          <w:vertAlign w:val="superscript"/>
        </w:rPr>
        <w:t xml:space="preserve">2,4</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2020-09-05</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Surgical sciences/Orthopaedics, Institute of Surgical Sciences, Uppsala University Hospital, Uppsala, Sweden</w:t>
      </w:r>
      <w:r>
        <w:t xml:space="preserve"> </w:t>
      </w:r>
      <w:r>
        <w:rPr>
          <w:i/>
        </w:rPr>
        <w:t xml:space="preserve">(postal: Akademiska sjukhuset, ingång 61, 6 tr, SE-751 85 Uppsala, Sweden)</w:t>
      </w:r>
    </w:p>
    <w:p>
      <w:pPr>
        <w:pStyle w:val="Compact"/>
        <w:numPr>
          <w:numId w:val="1001"/>
          <w:ilvl w:val="0"/>
        </w:numPr>
      </w:pPr>
      <w:r>
        <w:t xml:space="preserve">The Swedish Hip Arthroplasty Register, Gothenburg, Sweden</w:t>
      </w:r>
      <w:r>
        <w:t xml:space="preserve"> </w:t>
      </w:r>
      <w:r>
        <w:rPr>
          <w:i/>
        </w:rPr>
        <w:t xml:space="preserve">(postal: Registercentrum Västra Götaland, SE-413 45 Gothenburg, Sweden)</w:t>
      </w:r>
    </w:p>
    <w:p>
      <w:pPr>
        <w:pStyle w:val="Compact"/>
        <w:numPr>
          <w:numId w:val="1001"/>
          <w:ilvl w:val="0"/>
        </w:numPr>
      </w:pPr>
      <w:r>
        <w:t xml:space="preserve">Department of Orthopaedics, Visby Hospital, Visby, Sweden</w:t>
      </w:r>
      <w:r>
        <w:t xml:space="preserve"> </w:t>
      </w:r>
      <w:r>
        <w:rPr>
          <w:i/>
        </w:rPr>
        <w:t xml:space="preserve">(postal: S:t Göransgatan 5, SE-621 55 Visby, Sweden)</w:t>
      </w:r>
    </w:p>
    <w:p>
      <w:pPr>
        <w:pStyle w:val="Compact"/>
        <w:numPr>
          <w:numId w:val="1001"/>
          <w:ilvl w:val="0"/>
        </w:numPr>
      </w:pPr>
      <w:r>
        <w:t xml:space="preserve">Department of Orthopaedics, Institute of Clinical Sciences, The Sahlgrenska Academy, University of Gothenburg, Gothenburg, Sweden</w:t>
      </w:r>
      <w:r>
        <w:t xml:space="preserve"> </w:t>
      </w:r>
      <w:r>
        <w:rPr>
          <w:i/>
        </w:rPr>
        <w:t xml:space="preserve">(postal: Avdelningen för ortopedi, Mölndals sjukhus, Göteborgsvägen 31, SE-431 80 Mölndal, Sweden)</w:t>
      </w:r>
    </w:p>
    <w:p>
      <w:pPr>
        <w:pStyle w:val="Compact"/>
        <w:numPr>
          <w:numId w:val="1001"/>
          <w:ilvl w:val="0"/>
        </w:numPr>
      </w:pPr>
      <w:r>
        <w:t xml:space="preserve">Translational Health Sciences, Bristol Medical School, University of Bristol, UK</w:t>
      </w:r>
      <w:r>
        <w:t xml:space="preserve"> </w:t>
      </w:r>
      <w:r>
        <w:rPr>
          <w:i/>
        </w:rPr>
        <w:t xml:space="preserve">(postal: Bristol Medical School, University of Bristol, First Floor, 5 Tyndall Avenue, Bristol, BS8 1UD, United Kingdom)</w:t>
      </w:r>
      <w:r>
        <w:t xml:space="preserve">.</w:t>
      </w:r>
    </w:p>
    <w:p>
      <w:pPr>
        <w:pStyle w:val="Compact"/>
        <w:numPr>
          <w:numId w:val="1001"/>
          <w:ilvl w:val="0"/>
        </w:numPr>
      </w:pPr>
      <w:r>
        <w:t xml:space="preserve">The National Institute of Health Research Biomedical Research Centre Bristol</w:t>
      </w:r>
      <w:r>
        <w:t xml:space="preserve"> </w:t>
      </w:r>
      <w:r>
        <w:rPr>
          <w:i/>
        </w:rPr>
        <w:t xml:space="preserve">(postal: NIHR Biomedical Research Centre Bristol, University Hospitals Bristol and Weston NHS Foundation Trust, University of Bristol, Oakfield House, Oakfield Grove, Bristol BS8 2BN, United Kingdom)</w:t>
      </w:r>
    </w:p>
    <w:p>
      <w:pPr>
        <w:pStyle w:val="Compact"/>
        <w:numPr>
          <w:numId w:val="1001"/>
          <w:ilvl w:val="0"/>
        </w:numPr>
      </w:pPr>
      <w:r>
        <w:t xml:space="preserve">Department of Oncology and Metabolism, University of Sheffield, Sheffield, UK.</w:t>
      </w:r>
      <w:r>
        <w:t xml:space="preserve"> </w:t>
      </w:r>
      <w:r>
        <w:rPr>
          <w:i/>
        </w:rPr>
        <w:t xml:space="preserve">(postal: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Bülow. + 46 70 08 234 28.</w:t>
      </w:r>
      <w:r>
        <w:t xml:space="preserve"> </w:t>
      </w:r>
      <w:hyperlink r:id="rId22">
        <w:r>
          <w:rPr>
            <w:rStyle w:val="Hyperlink"/>
          </w:rPr>
          <w:t xml:space="preserve">erik.bulow@gu.se</w:t>
        </w:r>
      </w:hyperlink>
      <w:r>
        <w:t xml:space="preserve">. Postal: Svenska Höftprotesregistret, Registercentrum Västra Götaland,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(will be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consultant orthopaedic surgeon</w:t>
      </w:r>
      <w:r>
        <w:br/>
      </w:r>
      <w:r>
        <w:rPr>
          <w:b/>
        </w:rPr>
        <w:t xml:space="preserve">MJW:</w:t>
      </w:r>
      <w:r>
        <w:t xml:space="preserve"> </w:t>
      </w:r>
      <w:r>
        <w:t xml:space="preserve">MB, ChB, MD,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consultant orthopaedic surgeon, professor of orthopaedics, head of department, registry director of the Swedish Hip Arthroplasty Register</w:t>
      </w:r>
      <w:r>
        <w:br/>
      </w:r>
      <w:r>
        <w:rPr>
          <w:b/>
        </w:rPr>
        <w:t xml:space="preserve">NPH:</w:t>
      </w:r>
      <w:r>
        <w:t xml:space="preserve"> </w:t>
      </w:r>
      <w:r>
        <w:t xml:space="preserve">MD, PhD, consultant orthopaedic surgeon, professor of orthopaedics, head of department</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to assess model calibration.</w:t>
      </w:r>
    </w:p>
    <w:p>
      <w:pPr>
        <w:pStyle w:val="BodyText"/>
      </w:pPr>
      <w:r>
        <w:rPr>
          <w:b/>
        </w:rPr>
        <w:t xml:space="preserve">Results:</w:t>
      </w:r>
      <w:r>
        <w:rPr>
          <w:b/>
        </w:rPr>
        <w:t xml:space="preserve"> </w:t>
      </w:r>
      <w:r>
        <w:t xml:space="preserve"> </w:t>
      </w:r>
      <w:r>
        <w:t xml:space="preserve">A main effects model combining age, sex, American Society for Anaesthesiologists (ASA) class, the presence of cancer, diseases of the central nervous system, kidney disease, and</w:t>
      </w:r>
      <w:r>
        <w:t xml:space="preserve"> </w:t>
      </w:r>
      <w:r>
        <w:rPr>
          <w:strike/>
        </w:rPr>
        <w:t xml:space="preserve">diagnosed</w:t>
      </w:r>
      <w:r>
        <w:t xml:space="preserve"> </w:t>
      </w:r>
      <w:r>
        <w:t xml:space="preserve">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Conclusion: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w:t>
      </w:r>
      <w:r>
        <w:t xml:space="preserve"> </w:t>
      </w:r>
      <w:r>
        <w:rPr>
          <w:strike/>
        </w:rPr>
        <w:t xml:space="preserve">diagnosed</w:t>
      </w:r>
      <w:r>
        <w:t xml:space="preserve"> </w:t>
      </w:r>
      <w:r>
        <w:t xml:space="preserve">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w:t>
      </w:r>
      <w:r>
        <w:t xml:space="preserve"> </w:t>
      </w:r>
      <w:r>
        <w:rPr>
          <w:strike/>
        </w:rPr>
        <w:t xml:space="preserve">since</w:t>
      </w:r>
      <w:r>
        <w:t xml:space="preserve"> </w:t>
      </w:r>
      <w:r>
        <w:t xml:space="preserve">cementation is the most common fixation technique used in Sweden,</w:t>
      </w:r>
      <w:r>
        <w:t xml:space="preserve"> </w:t>
      </w:r>
      <w:r>
        <w:rPr>
          <w:strike/>
        </w:rPr>
        <w:t xml:space="preserve">and we thus excluded patients where either the femoral stem and/or the acetabular cup were cementless (cementless, hybrids, and reverse hybrids).</w:t>
      </w:r>
      <w:r>
        <w:t xml:space="preserve"> </w:t>
      </w:r>
      <w:r>
        <w:t xml:space="preserve">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rPr>
          <w:strike/>
        </w:rPr>
        <w:t xml:space="preserve">All public and private Swedish hospitals report their THAs to SHAR, yielding a coverage of 100 %, with an individual patient completeness of 98 %.</w:t>
      </w:r>
      <w:r>
        <w:rPr>
          <w:vertAlign w:val="superscript"/>
          <w:strike/>
        </w:rPr>
        <w:t xml:space="preserve">15</w:t>
      </w:r>
      <w:r>
        <w:t xml:space="preserve"> </w:t>
      </w:r>
      <w:r>
        <w:t xml:space="preserve">Our inclusion period started 2008 since the American Society for Anaesthesiologists (ASA) class and Body Mass Index (BMI) were systematically recorded in SHAR from then on. The observation period ended 2015, since we</w:t>
      </w:r>
      <w:r>
        <w:t xml:space="preserve"> </w:t>
      </w:r>
      <w:r>
        <w:rPr>
          <w:strike/>
        </w:rPr>
        <w:t xml:space="preserve">only</w:t>
      </w:r>
      <w:r>
        <w:t xml:space="preserve"> </w:t>
      </w:r>
      <w:r>
        <w:t xml:space="preserve">had access to</w:t>
      </w:r>
      <w:r>
        <w:t xml:space="preserve"> </w:t>
      </w:r>
      <w:r>
        <w:rPr>
          <w:strike/>
        </w:rPr>
        <w:t xml:space="preserve">information on</w:t>
      </w:r>
      <w:r>
        <w:t xml:space="preserve"> </w:t>
      </w:r>
      <w:r>
        <w:t xml:space="preserve">comorbidity from the national patient register up to this point. Deterministic data linkage was performed by 10-digit identity numbers, assigned to all Swedish residents at birth or immigration,</w:t>
      </w:r>
      <w:r>
        <w:t xml:space="preserve"> </w:t>
      </w:r>
      <w:r>
        <w:rPr>
          <w:strike/>
        </w:rPr>
        <w:t xml:space="preserve">which</w:t>
      </w:r>
      <w:r>
        <w:t xml:space="preserve"> </w:t>
      </w:r>
      <w:r>
        <w:t xml:space="preserve">has been described previously.</w:t>
      </w:r>
      <w:r>
        <w:rPr>
          <w:vertAlign w:val="superscript"/>
        </w:rPr>
        <w:t xml:space="preserve">16</w:t>
      </w:r>
      <w:r>
        <w:t xml:space="preserve"> </w:t>
      </w:r>
      <w:r>
        <w:t xml:space="preserve">Age, sex, BMI, ASA class, type of hospital and year of surgery were collected from the SHAR. Data on educational level were recorded for more than 98 % of the population with 85 % accuracy in the longitudinal integration database for health insurance and labour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73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p>
    <w:p>
      <w:pPr>
        <w:pStyle w:val="BodyText"/>
      </w:pPr>
      <w:r>
        <w:rPr>
          <w:strike/>
        </w:rPr>
        <w:t xml:space="preserve">Reporting to NJR is mandatory for all hospitals whether run by the National Health Service (NHS) or privately in England and Wales. Patient participation is based on informed consent. Consent rates vary slightly between years and regions but it was 92.3 % in both England and Wales in 2018.</w:t>
      </w:r>
      <w:r>
        <w:rPr>
          <w:vertAlign w:val="superscript"/>
          <w:strike/>
        </w:rPr>
        <w:t xml:space="preserve">19,20</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21</w:t>
      </w:r>
      <w:r>
        <w:t xml:space="preserve"> </w:t>
      </w:r>
      <w:r>
        <w:t xml:space="preserve">Out-patient deaths were linked from the office of national statistics based on NHS-numbers, as well as patient name, age, sex and address.</w:t>
      </w:r>
      <w:r>
        <w:rPr>
          <w:vertAlign w:val="superscript"/>
        </w:rPr>
        <w:t xml:space="preserve">22</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23</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24</w:t>
      </w:r>
      <w:r>
        <w:t xml:space="preserve"> </w:t>
      </w:r>
      <w:r>
        <w:t xml:space="preserve">Age and BMI were normalized to have mean = 0 and standard deviation = 1. Comorbidities recorded for at least one patient who died within 90 days, and one who did not, were included in the modelling process.</w:t>
      </w:r>
      <w:r>
        <w:t xml:space="preserve"> </w:t>
      </w:r>
      <w:r>
        <w:rPr>
          <w:strike/>
        </w:rPr>
        <w:t xml:space="preserve">One hundred</w:t>
      </w:r>
      <w:r>
        <w:t xml:space="preserve"> </w:t>
      </w:r>
      <w:r>
        <w:t xml:space="preserve">bootstrap samples were drawn from the observed data set. We used</w:t>
      </w:r>
      <w:r>
        <w:t xml:space="preserve"> </w:t>
      </w:r>
      <w:r>
        <w:rPr>
          <w:strike/>
        </w:rPr>
        <w:t xml:space="preserve">ten</w:t>
      </w:r>
      <w:r>
        <w:t xml:space="preserve">-fold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means of the magnitude (absolute values) of those estimates were used as measures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as well as the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25</w:t>
      </w:r>
      <w:r>
        <w:t xml:space="preserve"> </w:t>
      </w:r>
      <w:r>
        <w:t xml:space="preserve">Calibration bands were made to graphically assess model calibration, comparing predicted probabilities and observed proportions.</w:t>
      </w:r>
      <w:r>
        <w:rPr>
          <w:vertAlign w:val="superscript"/>
        </w:rPr>
        <w:t xml:space="preserve">26</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27</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w:t>
      </w:r>
      <w:r>
        <w:t xml:space="preserve"> </w:t>
      </w:r>
      <w:r>
        <w:rPr>
          <w:strike/>
        </w:rPr>
        <w:t xml:space="preserve">are</w:t>
      </w:r>
      <w:r>
        <w:t xml:space="preserve"> </w:t>
      </w:r>
      <w:r>
        <w:t xml:space="preserve">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(95 % CI 0.28 - 0.38)] of the patients from SHAR died within 90 days and no one was censored before that.</w:t>
      </w:r>
      <w:r>
        <w:t xml:space="preserve"> </w:t>
      </w:r>
      <w:r>
        <w:rPr>
          <w:strike/>
        </w:rPr>
        <w:t xml:space="preserve">The median age of patients who died was 79 years (range 57-95; Table</w:t>
      </w:r>
      <w:r>
        <w:rPr>
          <w:strike/>
        </w:rPr>
        <w:t xml:space="preserve"> </w:t>
      </w:r>
      <w:r>
        <w:rPr>
          <w:strike/>
        </w:rPr>
        <w:t xml:space="preserve">2</w:t>
      </w:r>
      <w:r>
        <w:rPr>
          <w:strike/>
        </w:rPr>
        <w:t xml:space="preserve">.</w:t>
      </w:r>
      <w:r>
        <w:t xml:space="preserve"> </w:t>
      </w:r>
      <w:r>
        <w:t xml:space="preserve">Patients from</w:t>
      </w:r>
      <w:r>
        <w:t xml:space="preserve"> </w:t>
      </w:r>
      <w:r>
        <w:rPr>
          <w:strike/>
        </w:rPr>
        <w:t xml:space="preserve">the</w:t>
      </w:r>
      <w:r>
        <w:t xml:space="preserve"> </w:t>
      </w:r>
      <w:r>
        <w:t xml:space="preserve">NJR had an unadjusted risk of 90-day mortality of 0.52 % (95 % CI 0.49 - 0.56). Further cohort characteristics are presented in Table</w:t>
      </w:r>
      <w:r>
        <w:t xml:space="preserve"> </w:t>
      </w:r>
      <w:r>
        <w:t xml:space="preserve">3</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anaemia,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comorbidity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28</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rPr>
          <w:strike/>
        </w:rPr>
        <w:t xml:space="preserve">Diagnosed</w:t>
      </w:r>
      <w:r>
        <w:t xml:space="preserve"> </w:t>
      </w: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w:t>
      </w:r>
      <w:r>
        <w:t xml:space="preserve"> </w:t>
      </w:r>
      <w:r>
        <w:rPr>
          <w:strike/>
        </w:rPr>
        <w:t xml:space="preserve">with only around 5 % missing data,</w:t>
      </w:r>
      <w:r>
        <w:t xml:space="preserve"> </w:t>
      </w:r>
      <w:r>
        <w:t xml:space="preserve">but the diagnosis of obesity</w:t>
      </w:r>
      <w:r>
        <w:t xml:space="preserve"> </w:t>
      </w:r>
      <w:r>
        <w:rPr>
          <w:strike/>
        </w:rPr>
        <w:t xml:space="preserve">in patients registered in the NJR</w:t>
      </w:r>
      <w:r>
        <w:t xml:space="preserve"> </w:t>
      </w:r>
      <w:r>
        <w:t xml:space="preserve">might not have been made during previous contacts with the healthcare system.</w:t>
      </w:r>
    </w:p>
    <w:p>
      <w:pPr>
        <w:pStyle w:val="BodyText"/>
      </w:pPr>
      <w:r>
        <w:rPr>
          <w:strike/>
        </w:rPr>
        <w:t xml:space="preserve">It should be noted that short-term mortality after elective THA is rare and might therefore not be the most important issue for patients making an informed decision on whether to consent to THA surgery. Other important outcomes such as adverse events after surgery, including prosthetic joint infections (PJI) or dislocation, are much more common and have a considerable impact on quality of life and the necessity of subsequent surgeries. Our next step is therefore to extend the web calculator to adverse events such as PJI and dislocation.</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15,18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29</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30</w:t>
      </w:r>
      <w:r>
        <w:t xml:space="preserve"> </w:t>
      </w:r>
      <w:r>
        <w:t xml:space="preserve">where it was noted that</w:t>
      </w:r>
      <w:r>
        <w:t xml:space="preserve"> </w:t>
      </w:r>
      <w:r>
        <w:rPr>
          <w:strike/>
        </w:rPr>
        <w:t xml:space="preserve">patients operated at</w:t>
      </w:r>
      <w:r>
        <w:t xml:space="preserve"> </w:t>
      </w:r>
      <w:r>
        <w:t xml:space="preserve">privately funded</w:t>
      </w:r>
      <w:r>
        <w:t xml:space="preserve"> </w:t>
      </w:r>
      <w:r>
        <w:rPr>
          <w:strike/>
        </w:rPr>
        <w:t xml:space="preserve">units</w:t>
      </w:r>
      <w:r>
        <w:t xml:space="preserve"> </w:t>
      </w:r>
      <w:r>
        <w:t xml:space="preserve">were not included in HES. 17 % of the patients had missing personal data or did not allow linkage, and 6 % were not found in HES although their data were available from the NJR.</w:t>
      </w:r>
    </w:p>
    <w:p>
      <w:pPr>
        <w:pStyle w:val="BodyText"/>
      </w:pPr>
      <w:r>
        <w:rPr>
          <w:strike/>
        </w:rPr>
        <w:t xml:space="preserve">A weakness of our study is that it is restricted to patients operated with cemented THA which impacts generalizability of our findings to countries with a much higher sage of cementless or hybrid techniques.</w:t>
      </w:r>
      <w:r>
        <w:t xml:space="preserve"> </w:t>
      </w:r>
      <w:r>
        <w:t xml:space="preserve">Cementation is</w:t>
      </w:r>
      <w:r>
        <w:t xml:space="preserve"> </w:t>
      </w:r>
      <w:r>
        <w:rPr>
          <w:strike/>
        </w:rPr>
        <w:t xml:space="preserve">the most</w:t>
      </w:r>
      <w:r>
        <w:t xml:space="preserve"> </w:t>
      </w:r>
      <w:r>
        <w:t xml:space="preserve">commonly used</w:t>
      </w:r>
      <w:r>
        <w:t xml:space="preserve"> </w:t>
      </w:r>
      <w:r>
        <w:rPr>
          <w:strike/>
        </w:rPr>
        <w:t xml:space="preserve">mode of THA fixation</w:t>
      </w:r>
      <w:r>
        <w:t xml:space="preserve"> </w:t>
      </w:r>
      <w:r>
        <w:t xml:space="preserve">in Sweden, but not so in England and Wales where</w:t>
      </w:r>
      <w:r>
        <w:t xml:space="preserve"> </w:t>
      </w:r>
      <w:r>
        <w:rPr>
          <w:strike/>
        </w:rPr>
        <w:t xml:space="preserve">especially</w:t>
      </w:r>
      <w:r>
        <w:t xml:space="preserve"> </w:t>
      </w:r>
      <w:r>
        <w:t xml:space="preserve">younger patients are more likely to be operated with cementless implants. To only include cemented THA therefore implies an over-representation of older and frailer patients from England and Wales</w:t>
      </w:r>
      <w:r>
        <w:t xml:space="preserve"> </w:t>
      </w:r>
      <w:r>
        <w:rPr>
          <w:strike/>
        </w:rPr>
        <w:t xml:space="preserve">and such</w:t>
      </w:r>
      <w:r>
        <w:t xml:space="preserve"> </w:t>
      </w:r>
      <w:r>
        <w:t xml:space="preserve">patients</w:t>
      </w:r>
      <w:r>
        <w:t xml:space="preserve"> </w:t>
      </w:r>
      <w:r>
        <w:rPr>
          <w:strike/>
        </w:rPr>
        <w:t xml:space="preserve">are</w:t>
      </w:r>
      <w:r>
        <w:t xml:space="preserve"> </w:t>
      </w:r>
      <w:r>
        <w:t xml:space="preserve">more likely to die within 90 days. This</w:t>
      </w:r>
      <w:r>
        <w:t xml:space="preserve"> </w:t>
      </w:r>
      <w:r>
        <w:rPr>
          <w:strike/>
        </w:rPr>
        <w:t xml:space="preserve">interpretation agrees</w:t>
      </w:r>
      <w:r>
        <w:t xml:space="preserve"> </w:t>
      </w:r>
      <w:r>
        <w:t xml:space="preserve">with the calibration plot where estimated probabilities below 1.5 % underestimated the observed proportion of deaths in the external validation cohort.</w:t>
      </w:r>
    </w:p>
    <w:p>
      <w:pPr>
        <w:pStyle w:val="BodyText"/>
      </w:pPr>
      <w:r>
        <w:rPr>
          <w:strike/>
        </w:rPr>
        <w:t xml:space="preserve">We attempted at developing a similar model on a Swedish cohort of patients with uncemented, hybrid or reverse hybrid THAs. Unfortunately, it was impossible to analyze each mode of fixation separately since too few deaths occurred in each subgroup. It was possible to develop a model for all combined fixation modes other than totally cemented, but the 95 % CI obtained for the estimated AUC was very wide (0.54–0.76) and therefore of little relevance. Possible adaptations of our model to other settings or countries should therefore always be preceded by additional external validation with data from that target population.</w:t>
      </w:r>
    </w:p>
    <w:p>
      <w:pPr>
        <w:pStyle w:val="BodyText"/>
      </w:pPr>
      <w:r>
        <w:t xml:space="preserve">We investigated whether the effect of age on mortality was non-linear using restricted cubic splines</w:t>
      </w:r>
      <w:r>
        <w:t xml:space="preserve"> </w:t>
      </w:r>
      <w:r>
        <w:rPr>
          <w:strike/>
        </w:rPr>
        <w:t xml:space="preserve">and</w:t>
      </w:r>
      <w:r>
        <w:t xml:space="preserve"> </w:t>
      </w:r>
      <w:r>
        <w:t xml:space="preserve">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overweight/obese (above 25 kg/m</w:t>
      </w:r>
      <w:r>
        <w:rPr>
          <w:vertAlign w:val="superscript"/>
        </w:rPr>
        <w:t xml:space="preserve">2</w:t>
      </w:r>
      <w:r>
        <w:t xml:space="preserve">) has been reported.</w:t>
      </w:r>
      <w:r>
        <w:rPr>
          <w:vertAlign w:val="superscript"/>
        </w:rPr>
        <w:t xml:space="preserve">31</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r>
        <w:t xml:space="preserve"> </w:t>
      </w:r>
      <w:r>
        <w:rPr>
          <w:strike/>
        </w:rPr>
        <w:t xml:space="preserve">To not include BMI treated as a continuous variable during external validation was, however, beneficial, since the completeness of this variable has traditionally been low in the NJR; 60 % in 2010 but since then increasing up to 80 % in 2018. Instead, the related ICD-10 code was used to capture diagnosed obesity from the Swedish NPR and the UK HES, respectively.</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r>
        <w:t xml:space="preserve"> </w:t>
      </w:r>
      <w:r>
        <w:rPr>
          <w:strike/>
        </w:rPr>
        <w:t xml:space="preserve">This notion is supported by a study performed by Cnudde et al. who showed that patients selected for elective THA have a reduced one-year mortality risk when compared to the general population of the same age, sex, and year of birth. However, within the first 90 days after cemented THA surgery, the risk of death is increased when compared to the reference population, indicating that the surgery itself is associated with increased short-term mortality.</w:t>
      </w:r>
      <w:r>
        <w:rPr>
          <w:vertAlign w:val="superscript"/>
          <w:strike/>
        </w:rPr>
        <w:t xml:space="preserve">1,32</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hospitals in Sweden, England, Wales and Northern Ireland who have contributed data to the</w:t>
      </w:r>
      <w:r>
        <w:t xml:space="preserve"> </w:t>
      </w:r>
      <w:r>
        <w:rPr>
          <w:strike/>
        </w:rPr>
        <w:t xml:space="preserve">Swedish Hip Arthroplasty Register (SHAR) and the</w:t>
      </w:r>
      <w:r>
        <w:t xml:space="preserve"> </w:t>
      </w:r>
      <w:r>
        <w:t xml:space="preserve">National Joint Registry</w:t>
      </w:r>
      <w:r>
        <w:t xml:space="preserve"> </w:t>
      </w:r>
      <w:r>
        <w:rPr>
          <w:strike/>
        </w:rPr>
        <w:t xml:space="preserve">for England, Wales, Northern Ireland, the Isle of Man and the States of Guernsey (NJR).</w:t>
      </w:r>
      <w:r>
        <w:t xml:space="preserve"> </w:t>
      </w:r>
      <w:r>
        <w:t xml:space="preserve">We are grateful to the Healthcare Quality Improvement Partnership (HQIP), the NJR Research Committee and staff at the NJR Centre for facilitating this work. We also thank all contributors at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r>
        <w:t xml:space="preserve"> </w:t>
      </w:r>
      <w:r>
        <w:rPr>
          <w:strike/>
        </w:rPr>
        <w:t xml:space="preserve">This work was supported by a grant of the Swedish Research Council (VR 2018-02612) to NPH.</w:t>
      </w:r>
    </w:p>
    <w:p>
      <w:pPr>
        <w:pStyle w:val="Heading1"/>
      </w:pPr>
      <w:bookmarkStart w:id="49" w:name="figure-legends"/>
      <w:r>
        <w:t xml:space="preserve">Figure legends</w:t>
      </w:r>
      <w:bookmarkEnd w:id="49"/>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33"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r>
        <w:rPr>
          <w:vertAlign w:val="superscript"/>
          <w:strike/>
        </w:rPr>
        <w:t xml:space="preserve">33</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33"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r>
        <w:rPr>
          <w:vertAlign w:val="superscript"/>
          <w:strike/>
        </w:rPr>
        <w:t xml:space="preserve">33</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50"/>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1"/>
      </w:pPr>
      <w:bookmarkStart w:id="51" w:name="table-headings"/>
      <w:r>
        <w:t xml:space="preserve">Table headings</w:t>
      </w:r>
      <w:bookmarkEnd w:id="51"/>
    </w:p>
    <w:p>
      <w:pPr>
        <w:pStyle w:val="Heading5"/>
      </w:pPr>
      <w:bookmarkStart w:id="52" w:name="page-break-2"/>
      <w:r>
        <w:t xml:space="preserve">PAGE BREAK</w:t>
      </w:r>
      <w:bookmarkEnd w:id="52"/>
    </w:p>
    <w:p>
      <w:pPr>
        <w:pStyle w:val="TableCaption"/>
      </w:pPr>
      <w:r>
        <w:t xml:space="preserve">Table 1: Categorization of comorbidities based on diagnostic groups according to the Charlson and Elixhauser comorbidity indices.</w:t>
      </w:r>
      <w:r>
        <w:t xml:space="preserve"> </w:t>
      </w:r>
      <w:r>
        <w:rPr>
          <w:strike/>
        </w:rPr>
        <w:t xml:space="preserve">Each main comorbidity category was first defined based on comorbidity data from the Swedish National patient register and from the Hospital Episodes statistics registry in England and Wales, coded along the International Classification of Diseases version 10 (ICD-10) and categorized according to Quan et al.</w:t>
      </w:r>
      <w:r>
        <w:rPr>
          <w:vertAlign w:val="superscript"/>
          <w:strike/>
        </w:rPr>
        <w:t xml:space="preserve">23</w:t>
      </w:r>
      <w:r>
        <w:t xml:space="preserve"> </w:t>
      </w:r>
      <w:r>
        <w:t xml:space="preserve">(CNS = central nervous system.)</w:t>
      </w:r>
    </w:p>
    <w:tbl>
      <w:tblPr>
        <w:tblStyle w:val="Table"/>
        <w:tblW w:type="pct" w:w="5000.0"/>
        <w:tblLook w:firstRow="1"/>
        <w:tblCaption w:val="Table 1: Categorization of comorbidities based on diagnostic groups according to the Charlson and Elixhauser comorbidity indices. Each main comorbidity category was first defined based on comorbidity data from the Swedish National patient register and from the Hospital Episodes statistics registry in England and Wales, coded along the International Classification of Diseases version 10 (ICD-10) and categorized according to Quan et al.23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Anaemia</w:t>
            </w:r>
          </w:p>
        </w:tc>
        <w:tc>
          <w:p/>
        </w:tc>
        <w:tc>
          <w:p>
            <w:pPr>
              <w:pStyle w:val="Compact"/>
              <w:jc w:val="left"/>
            </w:pPr>
            <w:r>
              <w:t xml:space="preserve">Blood loss anaemia, Deficiency anaemia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tumour</w:t>
            </w:r>
          </w:p>
        </w:tc>
        <w:tc>
          <w:p>
            <w:pPr>
              <w:pStyle w:val="Compact"/>
              <w:jc w:val="left"/>
            </w:pPr>
            <w:r>
              <w:t xml:space="preserve">Lymphoma, Metastatic cancer, Solid tumour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rPr>
                <w:strike/>
              </w:rPr>
              <w:t xml:space="preserve">Diagnosed</w:t>
            </w:r>
            <w:r>
              <w:t xml:space="preserve"> </w:t>
            </w: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3" w:name="page-break-3"/>
      <w:r>
        <w:t xml:space="preserve">PAGE BREAK</w:t>
      </w:r>
      <w:bookmarkEnd w:id="53"/>
    </w:p>
    <w:p>
      <w:pPr>
        <w:pStyle w:val="TableCaption"/>
      </w:pPr>
      <w:r>
        <w:t xml:space="preserve">Table 2:</w:t>
      </w:r>
      <w:r>
        <w:t xml:space="preserve"> </w:t>
      </w:r>
      <w:r>
        <w:rPr>
          <w:strike/>
        </w:rPr>
        <w:t xml:space="preserve">Age distribution among patients who died in the Swedish derivation cohort (range 57-95years).</w:t>
      </w:r>
    </w:p>
    <w:tbl>
      <w:tblPr>
        <w:tblStyle w:val="Table"/>
        <w:tblW w:type="pct" w:w="0.0"/>
        <w:tblLook w:firstRow="1"/>
        <w:tblCaption w:val="Table 2: Age distribution among patients who died in the Swedish derivation cohort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4" w:name="page-break-4"/>
      <w:r>
        <w:t xml:space="preserve">PAGE BREAK</w:t>
      </w:r>
      <w:bookmarkEnd w:id="54"/>
    </w:p>
    <w:p>
      <w:pPr>
        <w:pStyle w:val="TableCaption"/>
      </w:pPr>
      <w:r>
        <w:t xml:space="preserve">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w:t>
      </w:r>
    </w:p>
    <w:tbl>
      <w:tblPr>
        <w:tblStyle w:val="Table"/>
        <w:tblW w:type="pct" w:w="0.0"/>
        <w:tblLook w:firstRow="1"/>
        <w:tblCaption w:val="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Anaemia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rPr>
                <w:strike/>
              </w:rPr>
              <w:t xml:space="preserve">Diagnosed</w:t>
            </w:r>
            <w:r>
              <w:t xml:space="preserve"> </w:t>
            </w: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5" w:name="page-break-5"/>
      <w:r>
        <w:t xml:space="preserve">PAGE BREAK</w:t>
      </w:r>
      <w:bookmarkEnd w:id="55"/>
    </w:p>
    <w:p>
      <w:pPr>
        <w:pStyle w:val="TableCaption"/>
      </w:pPr>
      <w:r>
        <w:t xml:space="preserve">Table 4: Variables selected by the bootstrap ranking procedure, and therefore kept in the main model. Only variables chosen at least 33 times out of 100 were kept in the reduced model. ASA classes II and III were, however, kept in both models. Variables chosen more frequently are likely to be more important predictors. (CNS = central nervous system.)</w:t>
      </w:r>
    </w:p>
    <w:tbl>
      <w:tblPr>
        <w:tblStyle w:val="Table"/>
        <w:tblW w:type="pct" w:w="0.0"/>
        <w:tblLook w:firstRow="1"/>
        <w:tblCaption w:val="Table 4: Variables selected by the bootstrap ranking procedure, and therefore kept in the main model. Only variables chosen at least 33 times out of 100 were kept in the reduced model. ASA classes II and III were, however, kept in both models. Variables chosen more frequently are likely to be more important predictors.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rPr>
                <w:strike/>
              </w:rPr>
              <w:t xml:space="preserve">Diagnosed</w:t>
            </w:r>
            <w:r>
              <w:t xml:space="preserve"> </w:t>
            </w: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Anaemia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6" w:name="page-break-6"/>
      <w:r>
        <w:t xml:space="preserve">PAGE BREAK</w:t>
      </w:r>
      <w:bookmarkEnd w:id="56"/>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rPr>
                <w:strike/>
              </w:rPr>
              <w:t xml:space="preserve">Diagnosed</w:t>
            </w:r>
            <w:r>
              <w:t xml:space="preserve"> </w:t>
            </w: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7" w:name="page-break-7"/>
      <w:r>
        <w:t xml:space="preserve">PAGE BREAK</w:t>
      </w:r>
      <w:bookmarkEnd w:id="57"/>
    </w:p>
    <w:p>
      <w:pPr>
        <w:pStyle w:val="Heading1"/>
      </w:pPr>
      <w:bookmarkStart w:id="58" w:name="bibliography"/>
      <w:r>
        <w:t xml:space="preserve">Bibliography</w:t>
      </w:r>
      <w:bookmarkEnd w:id="58"/>
    </w:p>
    <w:bookmarkStart w:id="92" w:name="refs"/>
    <w:bookmarkStart w:id="59"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2017;99-B(1):37–43.</w:t>
      </w:r>
      <w:r>
        <w:t xml:space="preserve"> </w:t>
      </w:r>
    </w:p>
    <w:bookmarkEnd w:id="59"/>
    <w:bookmarkStart w:id="60"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60"/>
    <w:bookmarkStart w:id="61"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2013;95-B(9):1184–91.</w:t>
      </w:r>
      <w:r>
        <w:t xml:space="preserve"> </w:t>
      </w:r>
    </w:p>
    <w:bookmarkEnd w:id="61"/>
    <w:bookmarkStart w:id="62"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2016;17:212.</w:t>
      </w:r>
      <w:r>
        <w:t xml:space="preserve"> </w:t>
      </w:r>
    </w:p>
    <w:bookmarkEnd w:id="62"/>
    <w:bookmarkStart w:id="63"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2017;88(July):1–6.</w:t>
      </w:r>
      <w:r>
        <w:t xml:space="preserve"> </w:t>
      </w:r>
    </w:p>
    <w:bookmarkEnd w:id="63"/>
    <w:bookmarkStart w:id="64"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2013;471(2):574–583.</w:t>
      </w:r>
      <w:r>
        <w:t xml:space="preserve"> </w:t>
      </w:r>
    </w:p>
    <w:bookmarkEnd w:id="64"/>
    <w:bookmarkStart w:id="65"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2013;471(5):1412–1414.</w:t>
      </w:r>
      <w:r>
        <w:t xml:space="preserve"> </w:t>
      </w:r>
    </w:p>
    <w:bookmarkEnd w:id="65"/>
    <w:bookmarkStart w:id="66"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2018;476(9):1869–1875.</w:t>
      </w:r>
      <w:r>
        <w:t xml:space="preserve"> </w:t>
      </w:r>
    </w:p>
    <w:bookmarkEnd w:id="66"/>
    <w:bookmarkStart w:id="67"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2018;33(5):1539–1545.</w:t>
      </w:r>
      <w:r>
        <w:t xml:space="preserve"> </w:t>
      </w:r>
    </w:p>
    <w:bookmarkEnd w:id="67"/>
    <w:bookmarkStart w:id="68"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2016;24(10):1718–1726.</w:t>
      </w:r>
      <w:r>
        <w:t xml:space="preserve"> </w:t>
      </w:r>
    </w:p>
    <w:bookmarkEnd w:id="68"/>
    <w:bookmarkStart w:id="69"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2019;23(32):1–216.</w:t>
      </w:r>
      <w:r>
        <w:t xml:space="preserve"> </w:t>
      </w:r>
    </w:p>
    <w:bookmarkEnd w:id="69"/>
    <w:bookmarkStart w:id="70"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2019;477(2):452–460.</w:t>
      </w:r>
      <w:r>
        <w:t xml:space="preserve"> </w:t>
      </w:r>
    </w:p>
    <w:bookmarkEnd w:id="70"/>
    <w:bookmarkStart w:id="71"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71"/>
    <w:bookmarkStart w:id="72"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2020;2020(478):11262–1270.</w:t>
      </w:r>
      <w:r>
        <w:t xml:space="preserve"> </w:t>
      </w:r>
    </w:p>
    <w:bookmarkEnd w:id="72"/>
    <w:bookmarkStart w:id="73" w:name="ref-Karrholm2018"/>
    <w:p>
      <w:pPr>
        <w:pStyle w:val="Bibliography"/>
      </w:pPr>
      <w:r>
        <w:t xml:space="preserve">15.</w:t>
      </w:r>
      <w:r>
        <w:t xml:space="preserve"> </w:t>
      </w:r>
      <w:r>
        <w:rPr>
          <w:b/>
        </w:rPr>
        <w:t xml:space="preserve">Kärrholm J, Mohaddes M, Odin D, Vinblad J, Rogmark C, Rolfson O</w:t>
      </w:r>
      <w:r>
        <w:t xml:space="preserve">. Svenska höftprotesregistret årsrapport 2017. 2018.</w:t>
      </w:r>
      <w:r>
        <w:t xml:space="preserve"> </w:t>
      </w:r>
    </w:p>
    <w:bookmarkEnd w:id="73"/>
    <w:bookmarkStart w:id="74"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2016;17(1):414.</w:t>
      </w:r>
      <w:r>
        <w:t xml:space="preserve"> </w:t>
      </w:r>
    </w:p>
    <w:bookmarkEnd w:id="74"/>
    <w:bookmarkStart w:id="75"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2019;34(4):423–437.</w:t>
      </w:r>
      <w:r>
        <w:t xml:space="preserve"> </w:t>
      </w:r>
    </w:p>
    <w:bookmarkEnd w:id="75"/>
    <w:bookmarkStart w:id="76"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2011;11(1):450.</w:t>
      </w:r>
      <w:r>
        <w:t xml:space="preserve"> </w:t>
      </w:r>
    </w:p>
    <w:bookmarkEnd w:id="76"/>
    <w:bookmarkStart w:id="77" w:name="ref-TheNJREditorialBoard"/>
    <w:p>
      <w:pPr>
        <w:pStyle w:val="Bibliography"/>
      </w:pPr>
      <w:r>
        <w:t xml:space="preserve">19.</w:t>
      </w:r>
      <w:r>
        <w:t xml:space="preserve"> </w:t>
      </w:r>
      <w:r>
        <w:rPr>
          <w:b/>
        </w:rPr>
        <w:t xml:space="preserve">The NJR Editorial Board</w:t>
      </w:r>
      <w:r>
        <w:t xml:space="preserve">. NJR 16th Annual Report 2019.Pdf.</w:t>
      </w:r>
      <w:r>
        <w:t xml:space="preserve"> </w:t>
      </w:r>
    </w:p>
    <w:bookmarkEnd w:id="77"/>
    <w:bookmarkStart w:id="78" w:name="ref-NationalJointRegistryNJR"/>
    <w:p>
      <w:pPr>
        <w:pStyle w:val="Bibliography"/>
      </w:pPr>
      <w:r>
        <w:t xml:space="preserve">20.</w:t>
      </w:r>
      <w:r>
        <w:t xml:space="preserve"> </w:t>
      </w:r>
      <w:r>
        <w:rPr>
          <w:b/>
        </w:rPr>
        <w:t xml:space="preserve">National Joint Registry (NJR)</w:t>
      </w:r>
      <w:r>
        <w:t xml:space="preserve">. Data-Completeness-and-quality. (date last accessed 2 August 2020).</w:t>
      </w:r>
      <w:r>
        <w:t xml:space="preserve"> </w:t>
      </w:r>
    </w:p>
    <w:bookmarkEnd w:id="78"/>
    <w:bookmarkStart w:id="79" w:name="ref-Thorn2016"/>
    <w:p>
      <w:pPr>
        <w:pStyle w:val="Bibliography"/>
      </w:pPr>
      <w:r>
        <w:t xml:space="preserve">21.</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2016;34(2):161–168.</w:t>
      </w:r>
      <w:r>
        <w:t xml:space="preserve"> </w:t>
      </w:r>
    </w:p>
    <w:bookmarkEnd w:id="79"/>
    <w:bookmarkStart w:id="80" w:name="ref-Sayers2016"/>
    <w:p>
      <w:pPr>
        <w:pStyle w:val="Bibliography"/>
      </w:pPr>
      <w:r>
        <w:t xml:space="preserve">22.</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2016;45(3):954–964.</w:t>
      </w:r>
      <w:r>
        <w:t xml:space="preserve"> </w:t>
      </w:r>
    </w:p>
    <w:bookmarkEnd w:id="80"/>
    <w:bookmarkStart w:id="81" w:name="ref-Quan2005"/>
    <w:p>
      <w:pPr>
        <w:pStyle w:val="Bibliography"/>
      </w:pPr>
      <w:r>
        <w:t xml:space="preserve">23.</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1"/>
    <w:bookmarkStart w:id="82" w:name="ref-Guo2015"/>
    <w:p>
      <w:pPr>
        <w:pStyle w:val="Bibliography"/>
      </w:pPr>
      <w:r>
        <w:t xml:space="preserve">24.</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2015;10(7):e0134151.</w:t>
      </w:r>
      <w:r>
        <w:t xml:space="preserve"> </w:t>
      </w:r>
    </w:p>
    <w:bookmarkEnd w:id="82"/>
    <w:bookmarkStart w:id="83" w:name="ref-Miller1991"/>
    <w:p>
      <w:pPr>
        <w:pStyle w:val="Bibliography"/>
      </w:pPr>
      <w:r>
        <w:t xml:space="preserve">25.</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1991;10(8):1213–1226.</w:t>
      </w:r>
      <w:r>
        <w:t xml:space="preserve"> </w:t>
      </w:r>
    </w:p>
    <w:bookmarkEnd w:id="83"/>
    <w:bookmarkStart w:id="84" w:name="ref-Nattino2016"/>
    <w:p>
      <w:pPr>
        <w:pStyle w:val="Bibliography"/>
      </w:pPr>
      <w:r>
        <w:t xml:space="preserve">26.</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2016;35(5):709–720.</w:t>
      </w:r>
      <w:r>
        <w:t xml:space="preserve"> </w:t>
      </w:r>
    </w:p>
    <w:bookmarkEnd w:id="84"/>
    <w:bookmarkStart w:id="85" w:name="ref-Steyerberg2004"/>
    <w:p>
      <w:pPr>
        <w:pStyle w:val="Bibliography"/>
      </w:pPr>
      <w:r>
        <w:t xml:space="preserve">27.</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2004;23(16):2567–2586.</w:t>
      </w:r>
      <w:r>
        <w:t xml:space="preserve"> </w:t>
      </w:r>
    </w:p>
    <w:bookmarkEnd w:id="85"/>
    <w:bookmarkStart w:id="86" w:name="ref-Gibbs2020"/>
    <w:p>
      <w:pPr>
        <w:pStyle w:val="Bibliography"/>
      </w:pPr>
      <w:r>
        <w:t xml:space="preserve">28.</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2020 [cited 24 Aug 2020];102-B(5):580–585.</w:t>
      </w:r>
      <w:r>
        <w:t xml:space="preserve"> </w:t>
      </w:r>
    </w:p>
    <w:bookmarkEnd w:id="86"/>
    <w:bookmarkStart w:id="87" w:name="ref-Burns2012"/>
    <w:p>
      <w:pPr>
        <w:pStyle w:val="Bibliography"/>
      </w:pPr>
      <w:r>
        <w:t xml:space="preserve">29.</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2012;34(1):138–148.</w:t>
      </w:r>
      <w:r>
        <w:t xml:space="preserve"> </w:t>
      </w:r>
    </w:p>
    <w:bookmarkEnd w:id="87"/>
    <w:bookmarkStart w:id="88" w:name="ref-Smith2012"/>
    <w:p>
      <w:pPr>
        <w:pStyle w:val="Bibliography"/>
      </w:pPr>
      <w:r>
        <w:t xml:space="preserve">30.</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8"/>
    <w:bookmarkStart w:id="89" w:name="ref-Mouchti2018"/>
    <w:p>
      <w:pPr>
        <w:pStyle w:val="Bibliography"/>
      </w:pPr>
      <w:r>
        <w:t xml:space="preserve">31.</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2018;100(24):2140–2152.</w:t>
      </w:r>
      <w:r>
        <w:t xml:space="preserve"> </w:t>
      </w:r>
    </w:p>
    <w:bookmarkEnd w:id="89"/>
    <w:bookmarkStart w:id="90" w:name="ref-Cnudde2018b"/>
    <w:p>
      <w:pPr>
        <w:pStyle w:val="Bibliography"/>
      </w:pPr>
      <w:r>
        <w:t xml:space="preserve">32.</w:t>
      </w:r>
      <w:r>
        <w:t xml:space="preserve"> </w:t>
      </w:r>
      <w:r>
        <w:rPr>
          <w:b/>
        </w:rPr>
        <w:t xml:space="preserve">Cnudde P</w:t>
      </w:r>
      <w:r>
        <w:t xml:space="preserve">. Longitudinal outcomes following total hip replacement: Time trends, sequence of events and study of factors influencing implant survival and mortality [PhD thesis]. 2018. [cited 27 Aug 2020].</w:t>
      </w:r>
      <w:r>
        <w:t xml:space="preserve"> </w:t>
      </w:r>
    </w:p>
    <w:bookmarkEnd w:id="90"/>
    <w:bookmarkStart w:id="91" w:name="ref-Bulow2020a"/>
    <w:p>
      <w:pPr>
        <w:pStyle w:val="Bibliography"/>
      </w:pPr>
      <w:r>
        <w:t xml:space="preserve">33.</w:t>
      </w:r>
      <w:r>
        <w:t xml:space="preserve"> </w:t>
      </w:r>
      <w:r>
        <w:rPr>
          <w:b/>
        </w:rPr>
        <w:t xml:space="preserve">Bülow E</w:t>
      </w:r>
      <w:r>
        <w:t xml:space="preserve">. Predicting mortality by comorbidity for patients with hip arthroplasty: Prospective observational register studies of a nationwide Swedish cohort [PhD thesis]. 2020. [cited 27 Aug 2020].</w:t>
      </w:r>
      <w:r>
        <w:t xml:space="preserve"> </w:t>
      </w:r>
    </w:p>
    <w:bookmarkEnd w:id="91"/>
    <w:bookmarkEnd w:id="92"/>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0" Target="media/rId50.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gu.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g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2020-09-05T08:03:51Z</dcterms:created>
  <dcterms:modified xsi:type="dcterms:W3CDTF">2020-09-05T08:03:51Z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2020-09-05</vt:lpwstr>
  </property>
  <property fmtid="{D5CDD505-2E9C-101B-9397-08002B2CF9AE}" pid="5" name="output">
    <vt:lpwstr/>
  </property>
</Properties>
</file>