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610" w:rsidRDefault="0057247F" w:rsidP="001A200B">
      <w:pPr>
        <w:pStyle w:val="Title"/>
        <w:suppressLineNumbers/>
      </w:pPr>
      <w:r>
        <w:t>Prediction of 90-day mortality after Total Hip Arthroplasty: a simplified and externally validated model based on observational registry data from Sweden, England and Wales</w:t>
      </w:r>
    </w:p>
    <w:p w:rsidR="00923610" w:rsidRDefault="0057247F" w:rsidP="001A200B">
      <w:pPr>
        <w:pStyle w:val="Author"/>
        <w:suppressLineNumbers/>
      </w:pPr>
      <w:r>
        <w:t>Anne Garland</w:t>
      </w:r>
      <w:r>
        <w:rPr>
          <w:rStyle w:val="VerbatimChar"/>
        </w:rPr>
        <w:t>*</w:t>
      </w:r>
      <w:r>
        <w:rPr>
          <w:vertAlign w:val="superscript"/>
        </w:rPr>
        <w:t>1</w:t>
      </w:r>
      <w:proofErr w:type="gramStart"/>
      <w:r>
        <w:rPr>
          <w:vertAlign w:val="superscript"/>
        </w:rPr>
        <w:t>,2,3</w:t>
      </w:r>
      <w:proofErr w:type="gramEnd"/>
      <w:r>
        <w:t xml:space="preserve">, Erik </w:t>
      </w:r>
      <w:proofErr w:type="spellStart"/>
      <w:r>
        <w:t>Bülow</w:t>
      </w:r>
      <w:proofErr w:type="spellEnd"/>
      <w:r>
        <w:rPr>
          <w:rStyle w:val="VerbatimChar"/>
        </w:rPr>
        <w:t>*</w:t>
      </w:r>
      <w:r>
        <w:rPr>
          <w:vertAlign w:val="superscript"/>
        </w:rPr>
        <w:t>2,4</w:t>
      </w:r>
      <w:r>
        <w:t>, Erik Lenguerrand</w:t>
      </w:r>
      <w:r>
        <w:rPr>
          <w:vertAlign w:val="superscript"/>
        </w:rPr>
        <w:t>5</w:t>
      </w:r>
      <w:r>
        <w:t>, Ashley Blom</w:t>
      </w:r>
      <w:r>
        <w:rPr>
          <w:vertAlign w:val="superscript"/>
        </w:rPr>
        <w:t>5</w:t>
      </w:r>
      <w:r>
        <w:t>, Mark Wilkinson</w:t>
      </w:r>
      <w:r>
        <w:rPr>
          <w:vertAlign w:val="superscript"/>
        </w:rPr>
        <w:t>6</w:t>
      </w:r>
      <w:r>
        <w:t>, Adrian Sayers</w:t>
      </w:r>
      <w:r>
        <w:rPr>
          <w:vertAlign w:val="superscript"/>
        </w:rPr>
        <w:t>5</w:t>
      </w:r>
      <w:r>
        <w:t>, Ola Rolfson</w:t>
      </w:r>
      <w:r>
        <w:rPr>
          <w:vertAlign w:val="superscript"/>
        </w:rPr>
        <w:t>2,4</w:t>
      </w:r>
      <w:r>
        <w:t>, Nils P. Hailer</w:t>
      </w:r>
      <w:r>
        <w:rPr>
          <w:vertAlign w:val="superscript"/>
        </w:rPr>
        <w:t>1,2</w:t>
      </w:r>
    </w:p>
    <w:p w:rsidR="00923610" w:rsidRDefault="0057247F" w:rsidP="001A200B">
      <w:pPr>
        <w:pStyle w:val="Date"/>
        <w:suppressLineNumbers/>
      </w:pPr>
      <w:r>
        <w:t>2020-03-25</w:t>
      </w:r>
    </w:p>
    <w:p w:rsidR="00923610" w:rsidRDefault="0057247F" w:rsidP="001A200B">
      <w:pPr>
        <w:pStyle w:val="Heading1"/>
        <w:suppressLineNumbers/>
      </w:pPr>
      <w:bookmarkStart w:id="0" w:name="affiliation-and-contact"/>
      <w:r>
        <w:t>Affiliation and contact</w:t>
      </w:r>
      <w:bookmarkEnd w:id="0"/>
    </w:p>
    <w:p w:rsidR="00923610" w:rsidRDefault="0057247F" w:rsidP="001A200B">
      <w:pPr>
        <w:pStyle w:val="Compact"/>
        <w:numPr>
          <w:ilvl w:val="0"/>
          <w:numId w:val="7"/>
        </w:numPr>
        <w:suppressLineNumbers/>
      </w:pPr>
      <w:r>
        <w:t xml:space="preserve">Department of </w:t>
      </w:r>
      <w:proofErr w:type="spellStart"/>
      <w:r>
        <w:t>Orthopaedics</w:t>
      </w:r>
      <w:proofErr w:type="spellEnd"/>
      <w:r>
        <w:t>, Institute of Surgical Sciences, Uppsala University Hospital, Uppsala, Sweden</w:t>
      </w:r>
    </w:p>
    <w:p w:rsidR="00923610" w:rsidRDefault="0057247F" w:rsidP="001A200B">
      <w:pPr>
        <w:pStyle w:val="Compact"/>
        <w:numPr>
          <w:ilvl w:val="0"/>
          <w:numId w:val="7"/>
        </w:numPr>
        <w:suppressLineNumbers/>
      </w:pPr>
      <w:r>
        <w:t>The Swedish Hip Arthroplasty Register, Gothenburg, Sweden</w:t>
      </w:r>
    </w:p>
    <w:p w:rsidR="00923610" w:rsidRDefault="0057247F" w:rsidP="001A200B">
      <w:pPr>
        <w:pStyle w:val="Compact"/>
        <w:numPr>
          <w:ilvl w:val="0"/>
          <w:numId w:val="7"/>
        </w:numPr>
        <w:suppressLineNumbers/>
      </w:pPr>
      <w:r>
        <w:t xml:space="preserve">Department of </w:t>
      </w:r>
      <w:proofErr w:type="spellStart"/>
      <w:r>
        <w:t>Orthopaedics</w:t>
      </w:r>
      <w:proofErr w:type="spellEnd"/>
      <w:r>
        <w:t>, Visby Hospital, Visby, Sweden</w:t>
      </w:r>
    </w:p>
    <w:p w:rsidR="00923610" w:rsidRDefault="0057247F" w:rsidP="001A200B">
      <w:pPr>
        <w:pStyle w:val="Compact"/>
        <w:numPr>
          <w:ilvl w:val="0"/>
          <w:numId w:val="7"/>
        </w:numPr>
        <w:suppressLineNumbers/>
      </w:pPr>
      <w:r>
        <w:t xml:space="preserve">Department of </w:t>
      </w:r>
      <w:proofErr w:type="spellStart"/>
      <w:r>
        <w:t>Orthopaedics</w:t>
      </w:r>
      <w:proofErr w:type="spellEnd"/>
      <w:r>
        <w:t xml:space="preserve">, Institute of Clinical Sciences, The </w:t>
      </w:r>
      <w:proofErr w:type="spellStart"/>
      <w:r>
        <w:t>Sahlgrenska</w:t>
      </w:r>
      <w:proofErr w:type="spellEnd"/>
      <w:r>
        <w:t xml:space="preserve"> Academy, University of Gothenburg, Gothenburg, Sweden</w:t>
      </w:r>
    </w:p>
    <w:p w:rsidR="00923610" w:rsidRDefault="0057247F" w:rsidP="001A200B">
      <w:pPr>
        <w:pStyle w:val="Compact"/>
        <w:numPr>
          <w:ilvl w:val="0"/>
          <w:numId w:val="7"/>
        </w:numPr>
        <w:suppressLineNumbers/>
      </w:pPr>
      <w:r>
        <w:t>Translational Health Sciences, Bristol Medical School, University of Bristol, UK.</w:t>
      </w:r>
    </w:p>
    <w:p w:rsidR="00923610" w:rsidRDefault="0057247F" w:rsidP="001A200B">
      <w:pPr>
        <w:pStyle w:val="Compact"/>
        <w:numPr>
          <w:ilvl w:val="0"/>
          <w:numId w:val="7"/>
        </w:numPr>
        <w:suppressLineNumbers/>
      </w:pPr>
      <w:r>
        <w:t>Department of Oncology and Metabolism, University of Sheffield, Sheffield, UK.</w:t>
      </w:r>
    </w:p>
    <w:p w:rsidR="00923610" w:rsidRDefault="0057247F" w:rsidP="001A200B">
      <w:pPr>
        <w:pStyle w:val="FirstParagraph"/>
        <w:suppressLineNumbers/>
      </w:pPr>
      <w:r>
        <w:rPr>
          <w:rStyle w:val="VerbatimChar"/>
        </w:rPr>
        <w:t>*</w:t>
      </w:r>
      <w:r>
        <w:t xml:space="preserve"> Authors contributed equally.</w:t>
      </w:r>
    </w:p>
    <w:p w:rsidR="00923610" w:rsidRPr="005E7BDE" w:rsidRDefault="0057247F" w:rsidP="001A200B">
      <w:pPr>
        <w:pStyle w:val="BodyText"/>
        <w:suppressLineNumbers/>
        <w:rPr>
          <w:lang w:val="sv-SE"/>
        </w:rPr>
      </w:pPr>
      <w:r>
        <w:rPr>
          <w:b/>
        </w:rPr>
        <w:t>Correspondence:</w:t>
      </w:r>
      <w:r>
        <w:t xml:space="preserve"> </w:t>
      </w:r>
      <w:hyperlink r:id="rId7">
        <w:r>
          <w:rPr>
            <w:rStyle w:val="Hyperlink"/>
          </w:rPr>
          <w:t>erik.bulow@vgregion.se</w:t>
        </w:r>
      </w:hyperlink>
      <w:r>
        <w:t xml:space="preserve">. </w:t>
      </w:r>
      <w:r w:rsidRPr="005E7BDE">
        <w:rPr>
          <w:lang w:val="sv-SE"/>
        </w:rPr>
        <w:t>Postal: Svenska Höftprotesregistret, Registercentrum Västra Götaland, SE-413 45, Sweden</w:t>
      </w:r>
    </w:p>
    <w:p w:rsidR="00923610" w:rsidRPr="005E7BDE" w:rsidRDefault="0057247F">
      <w:pPr>
        <w:pStyle w:val="Heading5"/>
        <w:rPr>
          <w:lang w:val="sv-SE"/>
        </w:rPr>
      </w:pPr>
      <w:bookmarkStart w:id="1" w:name="page-break"/>
      <w:r w:rsidRPr="005E7BDE">
        <w:rPr>
          <w:lang w:val="sv-SE"/>
        </w:rPr>
        <w:lastRenderedPageBreak/>
        <w:t>PAGE BREAK</w:t>
      </w:r>
      <w:bookmarkEnd w:id="1"/>
    </w:p>
    <w:p w:rsidR="00923610" w:rsidRPr="005E7BDE" w:rsidRDefault="0057247F">
      <w:pPr>
        <w:pStyle w:val="Heading1"/>
        <w:rPr>
          <w:lang w:val="sv-SE"/>
        </w:rPr>
      </w:pPr>
      <w:bookmarkStart w:id="2" w:name="abstract"/>
      <w:r w:rsidRPr="005E7BDE">
        <w:rPr>
          <w:lang w:val="sv-SE"/>
        </w:rPr>
        <w:t>Abstract</w:t>
      </w:r>
      <w:bookmarkEnd w:id="2"/>
    </w:p>
    <w:p w:rsidR="00923610" w:rsidRDefault="0057247F">
      <w:pPr>
        <w:pStyle w:val="FirstParagraph"/>
      </w:pPr>
      <w:r>
        <w:rPr>
          <w:b/>
        </w:rPr>
        <w:t>OBJECTIVE:</w:t>
      </w:r>
      <w:r>
        <w:t xml:space="preserve"> Shared individualized decision making prior to total hip arthroplasty (THA) includes discussions of the risk of mortality. However, diagnosis code-based co-morbidity instruments such as the </w:t>
      </w:r>
      <w:proofErr w:type="spellStart"/>
      <w:r>
        <w:t>Charlson</w:t>
      </w:r>
      <w:proofErr w:type="spellEnd"/>
      <w:r>
        <w:t xml:space="preserve"> index are impossible to use in clinical practice, and the American Society for Anesthesiologists (ASA) classification is imprecise. We thus developed a parsimonious model to predict 90-day mortality after elective THA.</w:t>
      </w:r>
    </w:p>
    <w:p w:rsidR="00923610" w:rsidRDefault="0057247F">
      <w:pPr>
        <w:pStyle w:val="BodyText"/>
      </w:pPr>
      <w:r>
        <w:rPr>
          <w:b/>
        </w:rPr>
        <w:t>PARTICIPANTS AND METHODS:</w:t>
      </w:r>
      <w:r>
        <w:t xml:space="preserve"> We studied 53,099 Swedish patients operated with a cemented THA due to primary osteoarthritis 2008 - 2015 and used personal identity numbers for data linkage. We used a bootstrap ranking procedure together with logistic least absolute shrinkage and selection operator (LASSO) regression to develop a prediction model for death within 90 days after surgery. The model was internally validated by bootstrapping, and externally validated on a cohort of 125,428 patients from the National Joint Registry for England and Wales. Model performance was assessed by the area under the receiver operation characteristics curve (AUC) for discrimination, and by calibration belt plots.</w:t>
      </w:r>
    </w:p>
    <w:p w:rsidR="00923610" w:rsidRDefault="0057247F">
      <w:pPr>
        <w:pStyle w:val="BodyText"/>
      </w:pPr>
      <w:r>
        <w:rPr>
          <w:b/>
        </w:rPr>
        <w:t>RESULTS:</w:t>
      </w:r>
      <w:r>
        <w:t xml:space="preserve"> The unadjusted cumulative 90-day mortality was 0.33 % (95 % CI: 0.28 to 0.38) in Sweden and 0.52 % (95 % CI: 0.49 to 0.56) in England and Wales. We propose a simple main effects model combining age, sex, </w:t>
      </w:r>
      <w:proofErr w:type="gramStart"/>
      <w:r>
        <w:t>ASA</w:t>
      </w:r>
      <w:proofErr w:type="gramEnd"/>
      <w:r>
        <w:t xml:space="preserve"> class, the presence of cancer, diseases of the central nervous system, kidney disease, and diagnosed obesity. This model had good discriminatory ability both internally (AUC = 0.78, 95 % CI: 0.75 to 0.81) and externally (AUC = 0.75, 95 % CI: 0.73 to 0.76), rendering it superior to traditional models based on the </w:t>
      </w:r>
      <w:proofErr w:type="spellStart"/>
      <w:r>
        <w:t>Charlson</w:t>
      </w:r>
      <w:proofErr w:type="spellEnd"/>
      <w:r>
        <w:t xml:space="preserve"> (AUC = 0.66, 95 % CI: 0.62 to 0.70), and the </w:t>
      </w:r>
      <w:proofErr w:type="spellStart"/>
      <w:r>
        <w:t>Elixhauser</w:t>
      </w:r>
      <w:proofErr w:type="spellEnd"/>
      <w:r>
        <w:t xml:space="preserve"> (AUC = 0.64, 95 % CI: 0.59 to 0.68) co-morbidity indices. Our model was well calibrated for predicted probabilities up to 5 %. A web calculator to </w:t>
      </w:r>
      <w:r>
        <w:lastRenderedPageBreak/>
        <w:t xml:space="preserve">aid clinical usage was published at </w:t>
      </w:r>
      <w:hyperlink r:id="rId8">
        <w:r>
          <w:rPr>
            <w:rStyle w:val="Hyperlink"/>
          </w:rPr>
          <w:t>https://shpr.registercentrum.se/om-registret-1/forskning/prediktion-av-90-dagarsmortalitet/p/SkyeTsTFB</w:t>
        </w:r>
      </w:hyperlink>
      <w:r>
        <w:t>.</w:t>
      </w:r>
    </w:p>
    <w:p w:rsidR="00923610" w:rsidRDefault="0057247F">
      <w:pPr>
        <w:pStyle w:val="BodyText"/>
      </w:pPr>
      <w:r>
        <w:rPr>
          <w:b/>
        </w:rPr>
        <w:t>CONCLUSION:</w:t>
      </w:r>
      <w:r>
        <w:t xml:space="preserve"> 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w:t>
      </w:r>
    </w:p>
    <w:p w:rsidR="00923610" w:rsidRDefault="0057247F">
      <w:pPr>
        <w:pStyle w:val="Heading5"/>
      </w:pPr>
      <w:bookmarkStart w:id="3" w:name="page-break-1"/>
      <w:r>
        <w:lastRenderedPageBreak/>
        <w:t>PAGE BREAK</w:t>
      </w:r>
      <w:bookmarkEnd w:id="3"/>
    </w:p>
    <w:p w:rsidR="00923610" w:rsidRDefault="0057247F">
      <w:pPr>
        <w:pStyle w:val="Heading1"/>
      </w:pPr>
      <w:bookmarkStart w:id="4" w:name="introduction"/>
      <w:r>
        <w:t>Introduction</w:t>
      </w:r>
      <w:bookmarkEnd w:id="4"/>
    </w:p>
    <w:p w:rsidR="00923610" w:rsidRDefault="0057247F">
      <w:pPr>
        <w:pStyle w:val="FirstParagraph"/>
      </w:pPr>
      <w:r>
        <w:t>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1</w:t>
      </w:r>
      <w:proofErr w:type="gramStart"/>
      <w:r>
        <w:rPr>
          <w:vertAlign w:val="superscript"/>
        </w:rPr>
        <w:t>,2</w:t>
      </w:r>
      <w:proofErr w:type="gramEnd"/>
      <w:r>
        <w:t xml:space="preserve"> The risk of short-term mortality is nevertheless an essential part of preoperative discussions between patients and surgeons.</w:t>
      </w:r>
    </w:p>
    <w:p w:rsidR="00923610" w:rsidRDefault="0057247F">
      <w:pPr>
        <w:pStyle w:val="BodyText"/>
      </w:pPr>
      <w:r>
        <w:t xml:space="preserve">Co-morbidity is associated with a shorter remaining life span, but the </w:t>
      </w:r>
      <w:proofErr w:type="spellStart"/>
      <w:r>
        <w:t>Charlson</w:t>
      </w:r>
      <w:proofErr w:type="spellEnd"/>
      <w:r>
        <w:t xml:space="preserve"> and </w:t>
      </w:r>
      <w:proofErr w:type="spellStart"/>
      <w:r>
        <w:t>Elixhauser</w:t>
      </w:r>
      <w:proofErr w:type="spellEnd"/>
      <w:r>
        <w:t xml:space="preserve"> co-morbidity indices poorly predict mortality after THA.</w:t>
      </w:r>
      <w:r>
        <w:rPr>
          <w:vertAlign w:val="superscript"/>
        </w:rPr>
        <w:t>2</w:t>
      </w:r>
      <w:proofErr w:type="gramStart"/>
      <w:r>
        <w:rPr>
          <w:vertAlign w:val="superscript"/>
        </w:rPr>
        <w:t>,3,3</w:t>
      </w:r>
      <w:proofErr w:type="gramEnd"/>
      <w:r>
        <w:rPr>
          <w:vertAlign w:val="superscript"/>
        </w:rPr>
        <w:t>–6</w:t>
      </w:r>
      <w:r>
        <w:t xml:space="preserve"> 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7</w:t>
      </w:r>
      <w:proofErr w:type="gramStart"/>
      <w:r>
        <w:rPr>
          <w:vertAlign w:val="superscript"/>
        </w:rPr>
        <w:t>,8</w:t>
      </w:r>
      <w:proofErr w:type="gramEnd"/>
      <w:r>
        <w:t xml:space="preserve"> The use of these indices is therefore limited to research settings but they are impossible to use under clinical circumstances.</w:t>
      </w:r>
    </w:p>
    <w:p w:rsidR="00923610" w:rsidRDefault="0057247F">
      <w:pPr>
        <w:pStyle w:val="BodyText"/>
      </w:pPr>
      <w:r>
        <w:t>Pre-operative co-morbidity data have been used to develop clinically applicable prediction models for early mortality and adverse events such as surgical site infection in the context of THA surgery.</w:t>
      </w:r>
      <w:r>
        <w:rPr>
          <w:vertAlign w:val="superscript"/>
        </w:rPr>
        <w:t>9–15</w:t>
      </w:r>
      <w:r>
        <w:t xml:space="preserve"> </w:t>
      </w:r>
      <w:proofErr w:type="gramStart"/>
      <w:r>
        <w:t>The</w:t>
      </w:r>
      <w:proofErr w:type="gramEnd"/>
      <w:r>
        <w:t xml:space="preserve"> first prediction model based on a European cohort was the patient decision support tool for joint </w:t>
      </w:r>
      <w:proofErr w:type="spellStart"/>
      <w:r>
        <w:t>remplacement</w:t>
      </w:r>
      <w:proofErr w:type="spellEnd"/>
      <w:r>
        <w:t xml:space="preserve"> in the UK (</w:t>
      </w:r>
      <w:hyperlink r:id="rId9">
        <w:r>
          <w:rPr>
            <w:rStyle w:val="Hyperlink"/>
          </w:rPr>
          <w:t>https://jointcalc.shef.ac.uk/</w:t>
        </w:r>
      </w:hyperlink>
      <w:r>
        <w:t>), which is in the process of validation. Due to limited, often single-center based samples, a lack of reported calibration abilities, the absence of external validation, and the use of extrapolation, there is an urgent need for improved prediction models of early mortality.</w:t>
      </w:r>
      <w:r>
        <w:rPr>
          <w:vertAlign w:val="superscript"/>
        </w:rPr>
        <w:t>16</w:t>
      </w:r>
    </w:p>
    <w:p w:rsidR="00923610" w:rsidRDefault="0057247F">
      <w:pPr>
        <w:pStyle w:val="BodyText"/>
      </w:pPr>
      <w:r>
        <w:lastRenderedPageBreak/>
        <w:t>We therefore aimed to develop a parsimonious prediction model of 90-day postoperative mortality after THA with internal and external validation of discrimination and calibration, and to compare this to the accuracy of prediction models based on existing co-morbidity measures.</w:t>
      </w:r>
    </w:p>
    <w:p w:rsidR="00923610" w:rsidRDefault="0057247F">
      <w:pPr>
        <w:pStyle w:val="Heading1"/>
      </w:pPr>
      <w:bookmarkStart w:id="5" w:name="participants-and-methods"/>
      <w:r>
        <w:t>Participants and Methods</w:t>
      </w:r>
      <w:bookmarkEnd w:id="5"/>
    </w:p>
    <w:p w:rsidR="00923610" w:rsidRDefault="0057247F">
      <w:pPr>
        <w:pStyle w:val="FirstParagraph"/>
      </w:pPr>
      <w:r>
        <w:t>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 1).</w:t>
      </w:r>
      <w:r>
        <w:rPr>
          <w:vertAlign w:val="superscript"/>
        </w:rPr>
        <w:t>17</w:t>
      </w:r>
    </w:p>
    <w:p w:rsidR="00923610" w:rsidRDefault="0057247F">
      <w:pPr>
        <w:pStyle w:val="Heading2"/>
      </w:pPr>
      <w:bookmarkStart w:id="6" w:name="derivation-cohort-sweden"/>
      <w:r>
        <w:t>Derivation cohort (Sweden)</w:t>
      </w:r>
      <w:bookmarkEnd w:id="6"/>
    </w:p>
    <w:p w:rsidR="00923610" w:rsidRDefault="0057247F">
      <w:pPr>
        <w:pStyle w:val="FirstParagraph"/>
      </w:pPr>
      <w:r>
        <w:t>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18</w:t>
      </w:r>
      <w:r>
        <w:t xml:space="preserve"> We used data from a variety of sources, as previously described.</w:t>
      </w:r>
      <w:r>
        <w:rPr>
          <w:vertAlign w:val="superscript"/>
        </w:rPr>
        <w:t>19</w:t>
      </w:r>
      <w:r>
        <w:t xml:space="preserve"> Age, sex, BMI, ASA class, type of hospital (university/county/rural/private) and year of surgery were collected from the SHAR, with a completeness of 96-98 %.</w:t>
      </w:r>
      <w:r>
        <w:rPr>
          <w:vertAlign w:val="superscript"/>
        </w:rPr>
        <w:t>20</w:t>
      </w:r>
      <w:r>
        <w:t xml:space="preserve"> Data on educational level (low = up to 9 years/middle = 10-12 years/high = at least 12 years) was recorded for more than 98 % of the </w:t>
      </w:r>
      <w:r>
        <w:lastRenderedPageBreak/>
        <w:t>population with 85 % accuracy in the longitudinal integration database for health insurance and labor market studies (LISA) from Statistics Sweden.</w:t>
      </w:r>
      <w:r>
        <w:rPr>
          <w:vertAlign w:val="superscript"/>
        </w:rPr>
        <w:t>21</w:t>
      </w:r>
      <w:r>
        <w:t xml:space="preserve"> Civil status (married/un-married/divorced/widow[</w:t>
      </w:r>
      <w:proofErr w:type="spellStart"/>
      <w:r>
        <w:t>er</w:t>
      </w:r>
      <w:proofErr w:type="spellEnd"/>
      <w:r>
        <w:t>]),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22</w:t>
      </w:r>
      <w:r>
        <w:t xml:space="preserve"> Death dates were linked from the national population register.</w:t>
      </w:r>
    </w:p>
    <w:p w:rsidR="00923610" w:rsidRDefault="0057247F">
      <w:pPr>
        <w:pStyle w:val="BodyText"/>
      </w:pPr>
      <w:r>
        <w:t>Patients with missing information on BMI or a measurement above 50 were excluded, as were patients with missing information on ASA class or class IV and above, as well as patients with unknown educational level or type of hospital.</w:t>
      </w:r>
    </w:p>
    <w:p w:rsidR="00923610" w:rsidRDefault="0057247F">
      <w:pPr>
        <w:pStyle w:val="Heading2"/>
      </w:pPr>
      <w:bookmarkStart w:id="7" w:name="X607666395c53d4d7bffb9fa48f5a07f249542af"/>
      <w:r>
        <w:t>External validation cohort (England and Wales)</w:t>
      </w:r>
      <w:bookmarkEnd w:id="7"/>
    </w:p>
    <w:p w:rsidR="00923610" w:rsidRDefault="0057247F">
      <w:pPr>
        <w:pStyle w:val="FirstParagraph"/>
      </w:pPr>
      <w:r>
        <w:t>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23–27</w:t>
      </w:r>
      <w:r>
        <w:t xml:space="preserve"> Out-patient deaths were linked from the office of national statistics. Data linkage used NHS-numbers, as well as patient name, age, sex and address.</w:t>
      </w:r>
      <w:r>
        <w:rPr>
          <w:vertAlign w:val="superscript"/>
        </w:rPr>
        <w:t>28</w:t>
      </w:r>
    </w:p>
    <w:p w:rsidR="00923610" w:rsidRDefault="0057247F">
      <w:pPr>
        <w:pStyle w:val="Heading2"/>
      </w:pPr>
      <w:bookmarkStart w:id="8" w:name="defining-co-morbidity"/>
      <w:r>
        <w:t>Defining co-morbidity</w:t>
      </w:r>
      <w:bookmarkEnd w:id="8"/>
    </w:p>
    <w:p w:rsidR="00923610" w:rsidRDefault="0057247F">
      <w:pPr>
        <w:pStyle w:val="FirstParagraph"/>
      </w:pPr>
      <w:r>
        <w:t>Co-morbidity was defined by individual ICD-10 codes grouped into 17 categories according to Charlson</w:t>
      </w:r>
      <w:r>
        <w:rPr>
          <w:vertAlign w:val="superscript"/>
        </w:rPr>
        <w:t>29–31</w:t>
      </w:r>
      <w:r>
        <w:t xml:space="preserve"> and 31 categories according to Elixhauser.</w:t>
      </w:r>
      <w:r>
        <w:rPr>
          <w:vertAlign w:val="superscript"/>
        </w:rPr>
        <w:t>31,32</w:t>
      </w:r>
      <w:r>
        <w:t xml:space="preserve"> Some co-morbidities were identified </w:t>
      </w:r>
      <w:r>
        <w:lastRenderedPageBreak/>
        <w:t>in both indices, and some distinct co-morbidities were closely related (such as hypertension with and without complications, or abuse of either drugs or alcohol). We combined individual diagnostic groups to establish 21 broader categories of co-morbidity (Table 1). Conditions were merged according to clinical relevance as to be recognized in a patient-physician meeting without access to external register data.</w:t>
      </w:r>
    </w:p>
    <w:p w:rsidR="00923610" w:rsidRDefault="0057247F">
      <w:pPr>
        <w:pStyle w:val="Heading2"/>
      </w:pPr>
      <w:bookmarkStart w:id="9" w:name="X3dfb8ce663a1fc2d82d471b5d62397660058101"/>
      <w:r>
        <w:t>Statistical analysis for model development</w:t>
      </w:r>
      <w:bookmarkEnd w:id="9"/>
    </w:p>
    <w:p w:rsidR="00923610" w:rsidRDefault="0057247F">
      <w:pPr>
        <w:pStyle w:val="FirstParagraph"/>
      </w:pPr>
      <w:r>
        <w:t>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33</w:t>
      </w:r>
      <w:proofErr w:type="gramStart"/>
      <w:r>
        <w:rPr>
          <w:vertAlign w:val="superscript"/>
        </w:rPr>
        <w:t>,34</w:t>
      </w:r>
      <w:proofErr w:type="gramEnd"/>
      <w:r>
        <w:t xml:space="preserve"> 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35</w:t>
      </w:r>
      <w:r>
        <w:t xml:space="preserve"> We used 10-fold cross validation for every bootstrap sample with a broad range of potential penalty values (</w:t>
      </w:r>
      <m:oMath>
        <m:r>
          <w:rPr>
            <w:rFonts w:ascii="Cambria Math" w:hAnsi="Cambria Math"/>
          </w:rPr>
          <m:t>λ</m:t>
        </m:r>
      </m:oMath>
      <w:proofErr w:type="gramStart"/>
      <w:r>
        <w:t>:s</w:t>
      </w:r>
      <w:proofErr w:type="gramEnd"/>
      <w:r>
        <w:t xml:space="preserve">) in a logistic LASSO model. We then only </w:t>
      </w:r>
      <w:proofErr w:type="gramStart"/>
      <w:r>
        <w:t xml:space="preserve">kept </w:t>
      </w:r>
      <m:oMath>
        <m:r>
          <w:rPr>
            <w:rFonts w:ascii="Cambria Math" w:hAnsi="Cambria Math"/>
          </w:rPr>
          <m:t>λ</m:t>
        </m:r>
      </m:oMath>
      <w:r>
        <w:t>:s</w:t>
      </w:r>
      <w:proofErr w:type="gramEnd"/>
      <w:r>
        <w:t xml:space="preserve"> minimizing the mean cross-validated deviances in each sample. </w:t>
      </w:r>
      <w:proofErr w:type="gramStart"/>
      <w:r>
        <w:t xml:space="preserve">Those </w:t>
      </w:r>
      <m:oMath>
        <m:r>
          <w:rPr>
            <w:rFonts w:ascii="Cambria Math" w:hAnsi="Cambria Math"/>
          </w:rPr>
          <m:t>λ</m:t>
        </m:r>
      </m:oMath>
      <w:r>
        <w:t>:s</w:t>
      </w:r>
      <w:proofErr w:type="gramEnd"/>
      <w:r>
        <w:t xml:space="preserv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w:t>
      </w:r>
      <w:r>
        <w:lastRenderedPageBreak/>
        <w:t xml:space="preserve">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w:t>
      </w:r>
      <w:proofErr w:type="spellStart"/>
      <w:r>
        <w:t>Univariable</w:t>
      </w:r>
      <w:proofErr w:type="spellEnd"/>
      <w:r>
        <w:t xml:space="preserve"> models with the ASA class, </w:t>
      </w:r>
      <w:proofErr w:type="spellStart"/>
      <w:r>
        <w:t>Charlson</w:t>
      </w:r>
      <w:proofErr w:type="spellEnd"/>
      <w:r>
        <w:t xml:space="preserve"> or </w:t>
      </w:r>
      <w:proofErr w:type="spellStart"/>
      <w:r>
        <w:t>Elixhauser</w:t>
      </w:r>
      <w:proofErr w:type="spellEnd"/>
      <w:r>
        <w:t xml:space="preserve">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36</w:t>
      </w:r>
    </w:p>
    <w:p w:rsidR="00923610" w:rsidRDefault="0057247F">
      <w:pPr>
        <w:pStyle w:val="Heading2"/>
      </w:pPr>
      <w:bookmarkStart w:id="10" w:name="Xff1047e633f212e7c4888ec1ef4e1c3504bdbf7"/>
      <w:r>
        <w:t>Statistical analysis for model validation</w:t>
      </w:r>
      <w:bookmarkEnd w:id="10"/>
    </w:p>
    <w:p w:rsidR="00923610" w:rsidRDefault="0057247F">
      <w:pPr>
        <w:pStyle w:val="FirstParagraph"/>
      </w:pPr>
      <w:r>
        <w:t>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37</w:t>
      </w:r>
      <w:r>
        <w:t xml:space="preserve"> Models with a lower 95 % confidence limit above 0.7, were considered good. Those intervals were based on percentiles from 2,000 non-parametric bootstrap samples.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w:t>
      </w:r>
      <w:proofErr w:type="spellStart"/>
      <w:r>
        <w:t>lation</w:t>
      </w:r>
      <w:proofErr w:type="spellEnd"/>
      <w:r>
        <w:t xml:space="preserve"> based on 100 resamples to adjust for optimism.</w:t>
      </w:r>
      <w:r>
        <w:rPr>
          <w:vertAlign w:val="superscript"/>
        </w:rPr>
        <w:t>38</w:t>
      </w:r>
      <w:r>
        <w:t xml:space="preserve"> Calibration bands were made to graphically assess model calibration, comparing predicted probabilities and observed proportions.</w:t>
      </w:r>
      <w:r>
        <w:rPr>
          <w:vertAlign w:val="superscript"/>
        </w:rPr>
        <w:t>39</w:t>
      </w:r>
      <w:r>
        <w:t xml:space="preserve"> 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w:t>
      </w:r>
      <w:r>
        <w:lastRenderedPageBreak/>
        <w:t>account for country-specific treatment differences.</w:t>
      </w:r>
      <w:r>
        <w:rPr>
          <w:vertAlign w:val="superscript"/>
        </w:rPr>
        <w:t>40</w:t>
      </w:r>
      <w:r>
        <w:t xml:space="preserve"> Calibration for this re-calibrated model was illustrated in the same calibration belt plot as for the internal calibration.</w:t>
      </w:r>
    </w:p>
    <w:p w:rsidR="00923610" w:rsidRDefault="0057247F">
      <w:pPr>
        <w:pStyle w:val="Heading2"/>
      </w:pPr>
      <w:bookmarkStart w:id="11" w:name="statistical-tools"/>
      <w:r>
        <w:t>Statistical tools</w:t>
      </w:r>
      <w:bookmarkEnd w:id="11"/>
    </w:p>
    <w:p w:rsidR="00923610" w:rsidRDefault="0057247F">
      <w:pPr>
        <w:pStyle w:val="FirstParagraph"/>
      </w:pPr>
      <w:r>
        <w:t xml:space="preserve">We built an online web calculator available at </w:t>
      </w:r>
      <w:hyperlink r:id="rId10">
        <w:r>
          <w:rPr>
            <w:rStyle w:val="Hyperlink"/>
          </w:rPr>
          <w:t>https://shpr.registercentrum.se/om-registret-1/forskning/prediktion-av-90-dagarsmortalitet/p/SkyeTsTFB</w:t>
        </w:r>
      </w:hyperlink>
      <w:r>
        <w:t xml:space="preserve"> to be used in clinical practice.</w:t>
      </w:r>
    </w:p>
    <w:p w:rsidR="00923610" w:rsidRDefault="0057247F">
      <w:pPr>
        <w:pStyle w:val="BodyText"/>
      </w:pPr>
      <w:r>
        <w:t xml:space="preserve">We used R version 3.6.1 (R Foundation for Statistical Computing, Vienna, Austria) with significant packages </w:t>
      </w:r>
      <w:proofErr w:type="spellStart"/>
      <w:r>
        <w:t>tidyverse</w:t>
      </w:r>
      <w:proofErr w:type="spellEnd"/>
      <w:r>
        <w:t xml:space="preserve">, </w:t>
      </w:r>
      <w:proofErr w:type="spellStart"/>
      <w:r>
        <w:t>tidymodels</w:t>
      </w:r>
      <w:proofErr w:type="spellEnd"/>
      <w:r>
        <w:t xml:space="preserve">, </w:t>
      </w:r>
      <w:proofErr w:type="spellStart"/>
      <w:r>
        <w:t>furrr</w:t>
      </w:r>
      <w:proofErr w:type="spellEnd"/>
      <w:r>
        <w:t xml:space="preserve">, </w:t>
      </w:r>
      <w:proofErr w:type="spellStart"/>
      <w:r>
        <w:t>pROC</w:t>
      </w:r>
      <w:proofErr w:type="spellEnd"/>
      <w:r>
        <w:t xml:space="preserve"> and shiny. All R-scripts and necessary configurations (but no personal data) is available at zenodo.org/XXX </w:t>
      </w:r>
      <w:r>
        <w:rPr>
          <w:b/>
        </w:rPr>
        <w:t>[Add!]</w:t>
      </w:r>
      <w:r>
        <w:t>. A linked Binder environment is also available for interactive usage.</w:t>
      </w:r>
    </w:p>
    <w:p w:rsidR="00923610" w:rsidRDefault="0057247F">
      <w:pPr>
        <w:pStyle w:val="Heading2"/>
      </w:pPr>
      <w:bookmarkStart w:id="12" w:name="ethical-approval"/>
      <w:r>
        <w:t>Ethical approval</w:t>
      </w:r>
      <w:bookmarkEnd w:id="12"/>
    </w:p>
    <w:p w:rsidR="00923610" w:rsidRDefault="0057247F">
      <w:pPr>
        <w:pStyle w:val="FirstParagraph"/>
      </w:pPr>
      <w:r>
        <w:t xml:space="preserve">Ethical approval for this study was obtained from the Regional Ethical Review Board in Gothenburg (360-13) and </w:t>
      </w:r>
      <w:r>
        <w:rPr>
          <w:b/>
        </w:rPr>
        <w:t>XXXX in the UK (RSC2017/</w:t>
      </w:r>
      <w:proofErr w:type="gramStart"/>
      <w:r>
        <w:rPr>
          <w:b/>
        </w:rPr>
        <w:t>21 ???</w:t>
      </w:r>
      <w:proofErr w:type="gramEnd"/>
      <w:r>
        <w:rPr>
          <w:b/>
        </w:rPr>
        <w:t>)</w:t>
      </w:r>
      <w:r>
        <w:t>. Informed consent was not mandatory according to the Swedish patient data law from 2009.</w:t>
      </w:r>
    </w:p>
    <w:p w:rsidR="00923610" w:rsidRDefault="0057247F">
      <w:pPr>
        <w:pStyle w:val="Heading1"/>
      </w:pPr>
      <w:bookmarkStart w:id="13" w:name="results"/>
      <w:r>
        <w:t>Results</w:t>
      </w:r>
      <w:bookmarkEnd w:id="13"/>
    </w:p>
    <w:p w:rsidR="00923610" w:rsidRDefault="0057247F">
      <w:pPr>
        <w:pStyle w:val="Heading2"/>
      </w:pPr>
      <w:bookmarkStart w:id="14" w:name="study-participants"/>
      <w:r>
        <w:t>Study participants</w:t>
      </w:r>
      <w:bookmarkEnd w:id="14"/>
    </w:p>
    <w:p w:rsidR="00923610" w:rsidRDefault="0057247F">
      <w:pPr>
        <w:pStyle w:val="FirstParagraph"/>
      </w:pPr>
      <w:r>
        <w:t xml:space="preserve">53,099 patients (age 35 - 99, 61 % females) were included in the derivation cohort from SHAR (Figure 1 left panel). 175 (0.33 %) of those patients died within 90 days and no one was censored before that. The unadjusted risk of 90-day mortality was therefore 0.33 % (95 % CI: 0.28 to 0.38). Further characteristics of the study population are presented in Table 2. 26 % and 48 % of the Swedish patients had at least one pre-surgery co-morbidity according to </w:t>
      </w:r>
      <w:proofErr w:type="spellStart"/>
      <w:r>
        <w:t>Charlson</w:t>
      </w:r>
      <w:proofErr w:type="spellEnd"/>
      <w:r>
        <w:t xml:space="preserve"> and </w:t>
      </w:r>
      <w:proofErr w:type="spellStart"/>
      <w:r>
        <w:t>Elixhauser</w:t>
      </w:r>
      <w:proofErr w:type="spellEnd"/>
      <w:r>
        <w:t>. The proportion of patients with ASA class III was 18 %.</w:t>
      </w:r>
    </w:p>
    <w:p w:rsidR="00923610" w:rsidRDefault="0057247F">
      <w:pPr>
        <w:pStyle w:val="BodyText"/>
      </w:pPr>
      <w:r>
        <w:lastRenderedPageBreak/>
        <w:t>In addition, 125,428 patients were included for the external validation cohort from England and Wales (Figure 1 right panel). Their unadjusted risk of 90 day mortality was 0.52 % (95 % CI: 0.49 to 0.56), which was higher compared to the derivation cohort from Sweden.</w:t>
      </w:r>
    </w:p>
    <w:p w:rsidR="00923610" w:rsidRDefault="0057247F">
      <w:pPr>
        <w:pStyle w:val="Heading2"/>
      </w:pPr>
      <w:bookmarkStart w:id="15" w:name="X97f55da61655794c4500bb5dee5b0e7e0a00da4"/>
      <w:r>
        <w:t>Model development and internal validation</w:t>
      </w:r>
      <w:bookmarkEnd w:id="15"/>
    </w:p>
    <w:p w:rsidR="00923610" w:rsidRDefault="0057247F">
      <w:pPr>
        <w:pStyle w:val="FirstParagraph"/>
      </w:pPr>
      <w:r>
        <w:t>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 3).</w:t>
      </w:r>
    </w:p>
    <w:p w:rsidR="00923610" w:rsidRDefault="0057247F">
      <w:pPr>
        <w:pStyle w:val="BodyText"/>
      </w:pPr>
      <w:r>
        <w:t>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rsidR="00923610" w:rsidRDefault="0057247F">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w:t>
      </w:r>
      <w:proofErr w:type="spellStart"/>
      <w:r>
        <w:t>Charlson</w:t>
      </w:r>
      <w:proofErr w:type="spellEnd"/>
      <w:r>
        <w:t xml:space="preserve"> co-</w:t>
      </w:r>
      <w:proofErr w:type="spellStart"/>
      <w:r>
        <w:t>morbitiy</w:t>
      </w:r>
      <w:proofErr w:type="spellEnd"/>
      <w:r>
        <w:t xml:space="preserve"> index had an AUC of 0.66 (95 % </w:t>
      </w:r>
      <w:r>
        <w:lastRenderedPageBreak/>
        <w:t xml:space="preserve">CI: 0.62 to 0.70) and the </w:t>
      </w:r>
      <w:proofErr w:type="spellStart"/>
      <w:r>
        <w:t>Elixhauser</w:t>
      </w:r>
      <w:proofErr w:type="spellEnd"/>
      <w:r>
        <w:t xml:space="preserve"> co-morbidity an AUC of 0.64 (95 % CI: 0.59 to 0.68; Figure 2 left panel and Figure 3).</w:t>
      </w:r>
    </w:p>
    <w:p w:rsidR="00923610" w:rsidRDefault="0057247F">
      <w:pPr>
        <w:pStyle w:val="BodyText"/>
      </w:pPr>
      <w:r>
        <w:t>The ability of the reduced model to estimate probabilities of death within 90 days is further illustrated in Figure 4. Model calibration was good for estimated probabilities up to 3 % and acceptable up to 5 %, although with predicted probabilities usually higher than observed proportions (Figure 5).</w:t>
      </w:r>
    </w:p>
    <w:p w:rsidR="00923610" w:rsidRDefault="0057247F">
      <w:pPr>
        <w:pStyle w:val="BodyText"/>
      </w:pPr>
      <w:r>
        <w:t>Estimated model coefficients and corresponding odds ratios for the reduced model are presented in Table 4.</w:t>
      </w:r>
    </w:p>
    <w:p w:rsidR="00923610" w:rsidRDefault="0057247F">
      <w:pPr>
        <w:pStyle w:val="BodyText"/>
      </w:pPr>
      <w:r>
        <w:t>Omitting cancer from the reduced model did not affect the AUC or calibration for estimated probabilities below 3 %, but calibration outside this range deteriorated, and we thus retained cancer as an important predictor.</w:t>
      </w:r>
    </w:p>
    <w:p w:rsidR="00923610" w:rsidRDefault="0057247F">
      <w:pPr>
        <w:pStyle w:val="Heading2"/>
      </w:pPr>
      <w:bookmarkStart w:id="16" w:name="external-validation"/>
      <w:r>
        <w:t>External validation</w:t>
      </w:r>
      <w:bookmarkEnd w:id="16"/>
    </w:p>
    <w:p w:rsidR="00923610" w:rsidRDefault="0057247F">
      <w:pPr>
        <w:pStyle w:val="FirstParagraph"/>
      </w:pPr>
      <w:r>
        <w:t>The discriminative ability for the reduced model was not statistically significantly different when applied to the external validation cohort (AUC = 0.75, 95 % CI: 0.73 to 0.76) compared to the internal validation (AUC = 0.78, 95 % CI: 0.75 to 0.81) (Figure 2 right panel and Figure 3).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 5).</w:t>
      </w:r>
    </w:p>
    <w:p w:rsidR="00923610" w:rsidRDefault="0057247F">
      <w:pPr>
        <w:pStyle w:val="Heading1"/>
      </w:pPr>
      <w:bookmarkStart w:id="17" w:name="discussion"/>
      <w:r>
        <w:lastRenderedPageBreak/>
        <w:t>Discussion</w:t>
      </w:r>
      <w:bookmarkEnd w:id="17"/>
    </w:p>
    <w:p w:rsidR="00923610" w:rsidRDefault="0057247F">
      <w:pPr>
        <w:pStyle w:val="Heading2"/>
      </w:pPr>
      <w:bookmarkStart w:id="18" w:name="principal-findings"/>
      <w:r>
        <w:t>Principal findings</w:t>
      </w:r>
      <w:bookmarkEnd w:id="18"/>
    </w:p>
    <w:p w:rsidR="00923610" w:rsidRDefault="0057247F">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w:t>
      </w:r>
      <w:proofErr w:type="spellStart"/>
      <w:r>
        <w:t>Charlson</w:t>
      </w:r>
      <w:proofErr w:type="spellEnd"/>
      <w:r>
        <w:t xml:space="preserve"> or </w:t>
      </w:r>
      <w:proofErr w:type="spellStart"/>
      <w:r>
        <w:t>Elixhauser</w:t>
      </w:r>
      <w:proofErr w:type="spellEnd"/>
      <w:r>
        <w:t xml:space="preserve"> co-morbidity indices.</w:t>
      </w:r>
    </w:p>
    <w:p w:rsidR="00923610" w:rsidRDefault="0057247F">
      <w:pPr>
        <w:pStyle w:val="BodyText"/>
      </w:pPr>
      <w:r>
        <w:t xml:space="preserve">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t xml:space="preserve"> where </w:t>
      </w:r>
      <m:oMath>
        <m:acc>
          <m:accPr>
            <m:ctrlPr>
              <w:rPr>
                <w:rFonts w:ascii="Cambria Math" w:hAnsi="Cambria Math"/>
              </w:rPr>
            </m:ctrlPr>
          </m:accPr>
          <m:e>
            <m:r>
              <w:rPr>
                <w:rFonts w:ascii="Cambria Math" w:hAnsi="Cambria Math"/>
              </w:rPr>
              <m:t>β</m:t>
            </m:r>
          </m:e>
        </m:acc>
      </m:oMath>
      <w:r>
        <w:t xml:space="preserve"> is the vector of estimated coefficients presented in table 4. This formula is considered valid for patients aged 35 - 99 years and for predicted probabilities up to 5 %.</w:t>
      </w:r>
    </w:p>
    <w:p w:rsidR="00923610" w:rsidRDefault="0057247F">
      <w:pPr>
        <w:pStyle w:val="Heading2"/>
      </w:pPr>
      <w:bookmarkStart w:id="19" w:name="clinical-usage"/>
      <w:r>
        <w:t>Clinical usage</w:t>
      </w:r>
      <w:bookmarkEnd w:id="19"/>
    </w:p>
    <w:p w:rsidR="00923610" w:rsidRDefault="0057247F">
      <w:pPr>
        <w:pStyle w:val="FirstParagraph"/>
      </w:pPr>
      <w:r>
        <w:t>Our model could be used in clinical practice, either by the formula above, or by accessing a simple web calculator online (</w:t>
      </w:r>
      <w:hyperlink r:id="rId11">
        <w:r>
          <w:rPr>
            <w:rStyle w:val="Hyperlink"/>
          </w:rPr>
          <w:t>https://shpr.registercentrum.se/om-registret-1/forskning/prediktion-av-90-dagarsmortalitet/p/SkyeTsTFB</w:t>
        </w:r>
      </w:hyperlink>
      <w:r>
        <w:t>).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 5). Some risk calculators ignore this problem</w:t>
      </w:r>
      <w:proofErr w:type="gramStart"/>
      <w:r>
        <w:t>,</w:t>
      </w:r>
      <w:r>
        <w:rPr>
          <w:vertAlign w:val="superscript"/>
        </w:rPr>
        <w:t>9,15</w:t>
      </w:r>
      <w:proofErr w:type="gramEnd"/>
      <w:r>
        <w:t xml:space="preserve"> but we think this should be acknowledged.</w:t>
      </w:r>
    </w:p>
    <w:p w:rsidR="00923610" w:rsidRDefault="0057247F">
      <w:pPr>
        <w:pStyle w:val="BodyText"/>
      </w:pPr>
      <w:r>
        <w:lastRenderedPageBreak/>
        <w:t>Variables in our model were chosen based on statistical properties and not due to clinical relevance. Variables and estimated coefficients should therefore not be assigned any exact epidemiological and/or causal meaning per se.</w:t>
      </w:r>
      <w:r>
        <w:rPr>
          <w:vertAlign w:val="superscript"/>
        </w:rPr>
        <w:t>41</w:t>
      </w:r>
    </w:p>
    <w:p w:rsidR="00923610" w:rsidRDefault="0057247F">
      <w:pPr>
        <w:pStyle w:val="BodyText"/>
      </w:pPr>
      <w:r>
        <w:t>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 “severe systemic disease” should be based on a relevant patient assessment prior to surgery. ASA class is nevertheless known to have a high degree of internal variability.</w:t>
      </w:r>
      <w:r>
        <w:rPr>
          <w:vertAlign w:val="superscript"/>
        </w:rPr>
        <w:t>42</w:t>
      </w:r>
      <w:r>
        <w:t xml:space="preserve"> It has previously been compared to the </w:t>
      </w:r>
      <w:proofErr w:type="spellStart"/>
      <w:r>
        <w:t>Charlson</w:t>
      </w:r>
      <w:proofErr w:type="spellEnd"/>
      <w:r>
        <w:t xml:space="preserve"> co-morbidity index, but not with respect to mortality after THA.</w:t>
      </w:r>
      <w:r>
        <w:rPr>
          <w:vertAlign w:val="superscript"/>
        </w:rPr>
        <w:t>43</w:t>
      </w:r>
      <w:proofErr w:type="gramStart"/>
      <w:r>
        <w:rPr>
          <w:vertAlign w:val="superscript"/>
        </w:rPr>
        <w:t>,44</w:t>
      </w:r>
      <w:proofErr w:type="gramEnd"/>
      <w:r>
        <w:t xml:space="preserve"> Patients with ASA class IV-VI were excluded since those categories describe severe disease, moribund and brain-dead individuals. We suspect that patients with such conditions might have been misclassified.</w:t>
      </w:r>
    </w:p>
    <w:p w:rsidR="00923610" w:rsidRDefault="0057247F">
      <w:pPr>
        <w:pStyle w:val="BodyText"/>
      </w:pPr>
      <w:r>
        <w:t>Obesity was not statistically significant by itself (</w:t>
      </w:r>
      <m:oMath>
        <m:r>
          <w:rPr>
            <w:rFonts w:ascii="Cambria Math" w:hAnsi="Cambria Math"/>
          </w:rPr>
          <m:t>p=</m:t>
        </m:r>
      </m:oMath>
      <w:r>
        <w:t xml:space="preserve"> 0.05) but was still relevant as a predictor due to unobserved heterogeneity.</w:t>
      </w:r>
      <w:r>
        <w:rPr>
          <w:vertAlign w:val="superscript"/>
        </w:rPr>
        <w:t>45</w:t>
      </w:r>
      <w:r>
        <w:t xml:space="preserve"> 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rsidR="00923610" w:rsidRDefault="0057247F">
      <w:pPr>
        <w:pStyle w:val="Heading2"/>
      </w:pPr>
      <w:bookmarkStart w:id="20" w:name="strengths-and-limitations"/>
      <w:r>
        <w:t>Strengths and limitations</w:t>
      </w:r>
      <w:bookmarkEnd w:id="20"/>
    </w:p>
    <w:p w:rsidR="00923610" w:rsidRDefault="0057247F">
      <w:pPr>
        <w:pStyle w:val="FirstParagraph"/>
      </w:pPr>
      <w:r>
        <w:t>A strength of this study is its nationwide design with data from both Sweden, England and Wales. The Swedish registers are valid with low proportions of missing data.</w:t>
      </w:r>
      <w:r>
        <w:rPr>
          <w:vertAlign w:val="superscript"/>
        </w:rPr>
        <w:t>20</w:t>
      </w:r>
      <w:proofErr w:type="gramStart"/>
      <w:r>
        <w:rPr>
          <w:vertAlign w:val="superscript"/>
        </w:rPr>
        <w:t>,22,46,47</w:t>
      </w:r>
      <w:proofErr w:type="gramEnd"/>
      <w:r>
        <w:t xml:space="preserve"> Some concerns </w:t>
      </w:r>
      <w:r>
        <w:lastRenderedPageBreak/>
        <w:t>have been raised regarding validity of the hospital episodes statistics (HES) database from England and Wales however.</w:t>
      </w:r>
      <w:r>
        <w:rPr>
          <w:vertAlign w:val="superscript"/>
        </w:rPr>
        <w:t>48–50</w:t>
      </w:r>
      <w:r>
        <w:t xml:space="preserve"> A systematic review found that the overall median diagnostic accuracy (comparing ICD-codes from HES to individual case notes) was 80 %.</w:t>
      </w:r>
      <w:r>
        <w:rPr>
          <w:vertAlign w:val="superscript"/>
        </w:rPr>
        <w:t>24</w:t>
      </w:r>
      <w:r>
        <w:t xml:space="preserve"> Both in- and outpatient co-morbidity data were available for Sweden, but only in-patient data for England and Wales. We did not have access to any data from primary care or nursing homes in any of the counties.</w:t>
      </w:r>
    </w:p>
    <w:p w:rsidR="00923610" w:rsidRDefault="0057247F">
      <w:pPr>
        <w:pStyle w:val="BodyText"/>
      </w:pPr>
      <w:r>
        <w:t>The linkage procedure between NJR and HES has been previously described</w:t>
      </w:r>
      <w:proofErr w:type="gramStart"/>
      <w:r>
        <w:t>,</w:t>
      </w:r>
      <w:r>
        <w:rPr>
          <w:vertAlign w:val="superscript"/>
        </w:rPr>
        <w:t>51</w:t>
      </w:r>
      <w:proofErr w:type="gramEnd"/>
      <w:r>
        <w:t xml:space="preserve"> where it was noted that privately funded patients were not included in HES. 17 % of the patients had missing personal data or did not allow linkage, and 6 % were not found in HES although their data were available from the NJR.</w:t>
      </w:r>
    </w:p>
    <w:p w:rsidR="00923610" w:rsidRDefault="0057247F">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w:t>
      </w:r>
      <w:proofErr w:type="spellStart"/>
      <w:r>
        <w:t>cementless</w:t>
      </w:r>
      <w:proofErr w:type="spellEnd"/>
      <w:r>
        <w:t xml:space="preserve">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rsidR="00923610" w:rsidRDefault="0057247F">
      <w:pPr>
        <w:pStyle w:val="BodyText"/>
      </w:pPr>
      <w:r>
        <w:t>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2</w:t>
      </w:r>
      <w:r>
        <w:t>), normal (18.5 to 25 kg/m</w:t>
      </w:r>
      <w:r>
        <w:rPr>
          <w:vertAlign w:val="superscript"/>
        </w:rPr>
        <w:t>2</w:t>
      </w:r>
      <w:r>
        <w:t>), or obese (above 25 kg/m</w:t>
      </w:r>
      <w:r>
        <w:rPr>
          <w:vertAlign w:val="superscript"/>
        </w:rPr>
        <w:t>2</w:t>
      </w:r>
      <w:r>
        <w:t>) has been found for example in England and Wales.</w:t>
      </w:r>
      <w:r>
        <w:rPr>
          <w:vertAlign w:val="superscript"/>
        </w:rPr>
        <w:t>52</w:t>
      </w:r>
      <w:r>
        <w:t xml:space="preserve"> Our recordings of BMI might be imprecise however.</w:t>
      </w:r>
      <w:r>
        <w:rPr>
          <w:vertAlign w:val="superscript"/>
        </w:rPr>
        <w:t>53</w:t>
      </w:r>
      <w:r>
        <w:t xml:space="preserve"> Some hospitals </w:t>
      </w:r>
      <w:r>
        <w:lastRenderedPageBreak/>
        <w:t>might report actual measurements but it is unknown to what extent those data are self-estimated by the patients or estimated by health care personnel. Therefore, we aimed to avoid overfitting BMI based on too elaborate transformations.</w:t>
      </w:r>
    </w:p>
    <w:p w:rsidR="00923610" w:rsidRDefault="0057247F">
      <w:pPr>
        <w:pStyle w:val="BodyText"/>
      </w:pPr>
      <w:r>
        <w:t>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rsidR="00923610" w:rsidRDefault="0057247F">
      <w:pPr>
        <w:pStyle w:val="Heading2"/>
      </w:pPr>
      <w:bookmarkStart w:id="21" w:name="conclusion"/>
      <w:r>
        <w:t>Conclusion</w:t>
      </w:r>
      <w:bookmarkEnd w:id="21"/>
    </w:p>
    <w:p w:rsidR="00923610" w:rsidRDefault="0057247F">
      <w:pPr>
        <w:pStyle w:val="FirstParagraph"/>
      </w:pPr>
      <w:r>
        <w:t>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rsidR="00923610" w:rsidRDefault="0057247F">
      <w:pPr>
        <w:pStyle w:val="Heading1"/>
      </w:pPr>
      <w:bookmarkStart w:id="22" w:name="contribution-of-authors"/>
      <w:r>
        <w:t>Contribution of authors</w:t>
      </w:r>
      <w:bookmarkEnd w:id="22"/>
    </w:p>
    <w:p w:rsidR="00923610" w:rsidRDefault="0057247F">
      <w:pPr>
        <w:pStyle w:val="FirstParagraph"/>
      </w:pPr>
      <w:r>
        <w:rPr>
          <w:b/>
        </w:rPr>
        <w:t>[ARE THOSE CORRECT?]</w:t>
      </w:r>
      <w:r>
        <w:t xml:space="preserve"> AG and NH initiated the study and managed the ethical review board application in Sweden. AB and MW conceptualized the external validation and managed the ethical review board application in the UK. EB developed the statistical model. EL and AS performed external validation with data from NJR. AG and EB drafted, and all authors edited and finalized the manuscript.</w:t>
      </w:r>
    </w:p>
    <w:p w:rsidR="00923610" w:rsidRDefault="0057247F">
      <w:pPr>
        <w:pStyle w:val="Heading1"/>
      </w:pPr>
      <w:bookmarkStart w:id="23" w:name="competing-interests-statement"/>
      <w:r>
        <w:lastRenderedPageBreak/>
        <w:t>Competing interests statement</w:t>
      </w:r>
      <w:bookmarkEnd w:id="23"/>
    </w:p>
    <w:p w:rsidR="00923610" w:rsidRDefault="0057247F">
      <w:pPr>
        <w:pStyle w:val="FirstParagraph"/>
      </w:pPr>
      <w:r>
        <w:t xml:space="preserve">All authors have completed the ICMJE uniform disclosure form at www.icmje.org/coi_disclosure.pdf and declare </w:t>
      </w:r>
      <w:r>
        <w:rPr>
          <w:b/>
        </w:rPr>
        <w:t>[… SUMMARIZE STATEMANT AFTER ALL COI</w:t>
      </w:r>
      <w:proofErr w:type="gramStart"/>
      <w:r>
        <w:rPr>
          <w:b/>
        </w:rPr>
        <w:t>:s</w:t>
      </w:r>
      <w:proofErr w:type="gramEnd"/>
      <w:r>
        <w:rPr>
          <w:b/>
        </w:rPr>
        <w:t xml:space="preserve"> RETURNED]</w:t>
      </w:r>
    </w:p>
    <w:p w:rsidR="00923610" w:rsidRDefault="0057247F">
      <w:pPr>
        <w:pStyle w:val="Heading1"/>
      </w:pPr>
      <w:bookmarkStart w:id="24" w:name="transparency-statement"/>
      <w:r>
        <w:t>Transparency Statement</w:t>
      </w:r>
      <w:bookmarkEnd w:id="24"/>
    </w:p>
    <w:p w:rsidR="00923610" w:rsidRDefault="0057247F">
      <w:pPr>
        <w:pStyle w:val="FirstParagraph"/>
      </w:pPr>
      <w:r>
        <w:t>NH, the principal investigator of this study, affirms that this is an accurate report with no relevant data or aspects omitted.</w:t>
      </w:r>
    </w:p>
    <w:p w:rsidR="00923610" w:rsidRDefault="0057247F">
      <w:pPr>
        <w:pStyle w:val="Heading1"/>
      </w:pPr>
      <w:bookmarkStart w:id="25" w:name="public-and-patient-involvement-statement"/>
      <w:r>
        <w:t>Public and patient involvement statement</w:t>
      </w:r>
      <w:bookmarkEnd w:id="25"/>
    </w:p>
    <w:p w:rsidR="00923610" w:rsidRDefault="0057247F">
      <w:pPr>
        <w:pStyle w:val="FirstParagraph"/>
      </w:pPr>
      <w:r>
        <w:t>There is a patient representative at SHAR to ensure the patients’ interests are respected in planned research.</w:t>
      </w:r>
    </w:p>
    <w:p w:rsidR="00923610" w:rsidRDefault="0057247F">
      <w:pPr>
        <w:pStyle w:val="Heading1"/>
      </w:pPr>
      <w:bookmarkStart w:id="26" w:name="data-sharing-statement"/>
      <w:r>
        <w:t>Data sharing statement</w:t>
      </w:r>
      <w:bookmarkEnd w:id="26"/>
    </w:p>
    <w:p w:rsidR="00923610" w:rsidRDefault="0057247F">
      <w:pPr>
        <w:pStyle w:val="FirstParagraph"/>
      </w:pPr>
      <w:r>
        <w:t>Data is available upon request to the principal investigator.</w:t>
      </w:r>
    </w:p>
    <w:p w:rsidR="00923610" w:rsidRDefault="0057247F">
      <w:pPr>
        <w:pStyle w:val="Heading1"/>
      </w:pPr>
      <w:bookmarkStart w:id="27" w:name="acknowledgement"/>
      <w:r>
        <w:t>Acknowledgement</w:t>
      </w:r>
      <w:bookmarkEnd w:id="27"/>
    </w:p>
    <w:p w:rsidR="00923610" w:rsidRDefault="0057247F">
      <w:pPr>
        <w:pStyle w:val="FirstParagraph"/>
      </w:pPr>
      <w:r>
        <w:t xml:space="preserve">We would like to thank Szilard </w:t>
      </w:r>
      <w:proofErr w:type="spellStart"/>
      <w:r>
        <w:t>Nemes</w:t>
      </w:r>
      <w:proofErr w:type="spellEnd"/>
      <w:r>
        <w:t>, previous senior statistician at the Swedish Hip Arthroplasty Register, for involvement in planning and interpreting the study.</w:t>
      </w:r>
    </w:p>
    <w:p w:rsidR="00923610" w:rsidRDefault="0057247F">
      <w:pPr>
        <w:pStyle w:val="Heading1"/>
      </w:pPr>
      <w:bookmarkStart w:id="28" w:name="summary-box"/>
      <w:r>
        <w:t>Summary box</w:t>
      </w:r>
      <w:bookmarkEnd w:id="28"/>
    </w:p>
    <w:p w:rsidR="00923610" w:rsidRDefault="0057247F">
      <w:pPr>
        <w:pStyle w:val="FirstParagraph"/>
      </w:pPr>
      <w:r>
        <w:t xml:space="preserve">What is already </w:t>
      </w:r>
      <w:proofErr w:type="gramStart"/>
      <w:r>
        <w:t>known:</w:t>
      </w:r>
      <w:proofErr w:type="gramEnd"/>
    </w:p>
    <w:p w:rsidR="00923610" w:rsidRDefault="0057247F">
      <w:pPr>
        <w:pStyle w:val="Compact"/>
        <w:numPr>
          <w:ilvl w:val="0"/>
          <w:numId w:val="8"/>
        </w:numPr>
      </w:pPr>
      <w:r>
        <w:t>Shared individualized decision making prior to total hip arthroplasty (THA) includes discussions of the risk of mortality.</w:t>
      </w:r>
    </w:p>
    <w:p w:rsidR="00923610" w:rsidRDefault="0057247F">
      <w:pPr>
        <w:pStyle w:val="Compact"/>
        <w:numPr>
          <w:ilvl w:val="0"/>
          <w:numId w:val="8"/>
        </w:numPr>
      </w:pPr>
      <w:r>
        <w:lastRenderedPageBreak/>
        <w:t>Available diagnosis code-based co-morbidity instruments are impossible to use in clinical practice, and the American Society for Anesthesiologists (ASA) classification is imprecise.</w:t>
      </w:r>
    </w:p>
    <w:p w:rsidR="00923610" w:rsidRDefault="0057247F">
      <w:pPr>
        <w:pStyle w:val="FirstParagraph"/>
      </w:pPr>
      <w:r>
        <w:t>What this study adds:</w:t>
      </w:r>
    </w:p>
    <w:p w:rsidR="00923610" w:rsidRDefault="0057247F">
      <w:pPr>
        <w:pStyle w:val="Compact"/>
        <w:numPr>
          <w:ilvl w:val="0"/>
          <w:numId w:val="9"/>
        </w:numPr>
      </w:pPr>
      <w:r>
        <w:t>Our results indicate that the risk of early postoperative mortality after cemented THA can be pre-operatively assessed by a parsimonious prediction model.</w:t>
      </w:r>
    </w:p>
    <w:p w:rsidR="00923610" w:rsidRDefault="0057247F">
      <w:pPr>
        <w:pStyle w:val="Compact"/>
        <w:numPr>
          <w:ilvl w:val="0"/>
          <w:numId w:val="9"/>
        </w:numPr>
      </w:pPr>
      <w:r>
        <w:t>The presented model, with its accompanying web calculator, could facilitate a shared decision-making between physicians and their patients in need of THA.</w:t>
      </w:r>
    </w:p>
    <w:p w:rsidR="00923610" w:rsidRDefault="0057247F">
      <w:pPr>
        <w:pStyle w:val="Heading5"/>
      </w:pPr>
      <w:bookmarkStart w:id="29" w:name="page-break-7"/>
      <w:bookmarkStart w:id="30" w:name="_GoBack"/>
      <w:bookmarkEnd w:id="30"/>
      <w:r>
        <w:lastRenderedPageBreak/>
        <w:t>PAGE BREAK</w:t>
      </w:r>
      <w:bookmarkEnd w:id="29"/>
    </w:p>
    <w:p w:rsidR="00923610" w:rsidRDefault="0057247F">
      <w:pPr>
        <w:pStyle w:val="TableCaption"/>
      </w:pPr>
      <w:r>
        <w:t xml:space="preserve">Table 1: Categorization of co-morbidities based on diagnostic groups according to </w:t>
      </w:r>
      <w:proofErr w:type="spellStart"/>
      <w:r>
        <w:t>Charlson</w:t>
      </w:r>
      <w:proofErr w:type="spellEnd"/>
      <w:r>
        <w:t xml:space="preserve"> and </w:t>
      </w:r>
      <w:proofErr w:type="spellStart"/>
      <w:r>
        <w:t>Elixhauser</w:t>
      </w:r>
      <w:proofErr w:type="spellEnd"/>
      <w:r>
        <w:t>. (CNS = central nervous system.)</w:t>
      </w:r>
    </w:p>
    <w:tbl>
      <w:tblPr>
        <w:tblStyle w:val="Table"/>
        <w:tblW w:w="0" w:type="pct"/>
        <w:tblLook w:val="07E0" w:firstRow="1" w:lastRow="1" w:firstColumn="1" w:lastColumn="1" w:noHBand="1" w:noVBand="1"/>
        <w:tblCaption w:val="Table 1: Categorization of co-morbidities based on diagnostic groups according to Charlson and Elixhauser. (CNS = central nervous system.)"/>
      </w:tblPr>
      <w:tblGrid>
        <w:gridCol w:w="2032"/>
        <w:gridCol w:w="3468"/>
        <w:gridCol w:w="3906"/>
      </w:tblGrid>
      <w:tr w:rsidR="00923610">
        <w:tc>
          <w:tcPr>
            <w:tcW w:w="0" w:type="auto"/>
            <w:tcBorders>
              <w:bottom w:val="single" w:sz="0" w:space="0" w:color="auto"/>
            </w:tcBorders>
            <w:vAlign w:val="bottom"/>
          </w:tcPr>
          <w:p w:rsidR="00923610" w:rsidRDefault="0057247F">
            <w:pPr>
              <w:pStyle w:val="Compact"/>
            </w:pPr>
            <w:r>
              <w:t>Comorbidities by groups</w:t>
            </w:r>
          </w:p>
        </w:tc>
        <w:tc>
          <w:tcPr>
            <w:tcW w:w="0" w:type="auto"/>
            <w:tcBorders>
              <w:bottom w:val="single" w:sz="0" w:space="0" w:color="auto"/>
            </w:tcBorders>
            <w:vAlign w:val="bottom"/>
          </w:tcPr>
          <w:p w:rsidR="00923610" w:rsidRDefault="0057247F">
            <w:pPr>
              <w:pStyle w:val="Compact"/>
            </w:pPr>
            <w:proofErr w:type="spellStart"/>
            <w:r>
              <w:t>Charlson</w:t>
            </w:r>
            <w:proofErr w:type="spellEnd"/>
          </w:p>
        </w:tc>
        <w:tc>
          <w:tcPr>
            <w:tcW w:w="0" w:type="auto"/>
            <w:tcBorders>
              <w:bottom w:val="single" w:sz="0" w:space="0" w:color="auto"/>
            </w:tcBorders>
            <w:vAlign w:val="bottom"/>
          </w:tcPr>
          <w:p w:rsidR="00923610" w:rsidRDefault="0057247F">
            <w:pPr>
              <w:pStyle w:val="Compact"/>
            </w:pPr>
            <w:proofErr w:type="spellStart"/>
            <w:r>
              <w:t>Elixhauser</w:t>
            </w:r>
            <w:proofErr w:type="spellEnd"/>
          </w:p>
        </w:tc>
      </w:tr>
      <w:tr w:rsidR="00923610">
        <w:tc>
          <w:tcPr>
            <w:tcW w:w="0" w:type="auto"/>
          </w:tcPr>
          <w:p w:rsidR="00923610" w:rsidRDefault="0057247F">
            <w:pPr>
              <w:pStyle w:val="Compact"/>
            </w:pPr>
            <w:r>
              <w:t>AIDS/HIV</w:t>
            </w:r>
          </w:p>
        </w:tc>
        <w:tc>
          <w:tcPr>
            <w:tcW w:w="0" w:type="auto"/>
          </w:tcPr>
          <w:p w:rsidR="00923610" w:rsidRDefault="0057247F">
            <w:pPr>
              <w:pStyle w:val="Compact"/>
            </w:pPr>
            <w:r>
              <w:t>AIDS/HIV</w:t>
            </w:r>
          </w:p>
        </w:tc>
        <w:tc>
          <w:tcPr>
            <w:tcW w:w="0" w:type="auto"/>
          </w:tcPr>
          <w:p w:rsidR="00923610" w:rsidRDefault="0057247F">
            <w:pPr>
              <w:pStyle w:val="Compact"/>
            </w:pPr>
            <w:r>
              <w:t>AIDS/HIV</w:t>
            </w:r>
          </w:p>
        </w:tc>
      </w:tr>
      <w:tr w:rsidR="00923610">
        <w:tc>
          <w:tcPr>
            <w:tcW w:w="0" w:type="auto"/>
          </w:tcPr>
          <w:p w:rsidR="00923610" w:rsidRDefault="0057247F">
            <w:pPr>
              <w:pStyle w:val="Compact"/>
            </w:pPr>
            <w:r>
              <w:t>Anemia</w:t>
            </w:r>
          </w:p>
        </w:tc>
        <w:tc>
          <w:tcPr>
            <w:tcW w:w="0" w:type="auto"/>
          </w:tcPr>
          <w:p w:rsidR="00923610" w:rsidRDefault="00923610"/>
        </w:tc>
        <w:tc>
          <w:tcPr>
            <w:tcW w:w="0" w:type="auto"/>
          </w:tcPr>
          <w:p w:rsidR="00923610" w:rsidRDefault="0057247F">
            <w:pPr>
              <w:pStyle w:val="Compact"/>
            </w:pPr>
            <w:r>
              <w:t>Blood loss anemia, Deficiency anemia</w:t>
            </w:r>
          </w:p>
        </w:tc>
      </w:tr>
      <w:tr w:rsidR="00923610">
        <w:tc>
          <w:tcPr>
            <w:tcW w:w="0" w:type="auto"/>
          </w:tcPr>
          <w:p w:rsidR="00923610" w:rsidRDefault="0057247F">
            <w:pPr>
              <w:pStyle w:val="Compact"/>
            </w:pPr>
            <w:r>
              <w:t>Arrhythmia</w:t>
            </w:r>
          </w:p>
        </w:tc>
        <w:tc>
          <w:tcPr>
            <w:tcW w:w="0" w:type="auto"/>
          </w:tcPr>
          <w:p w:rsidR="00923610" w:rsidRDefault="00923610"/>
        </w:tc>
        <w:tc>
          <w:tcPr>
            <w:tcW w:w="0" w:type="auto"/>
          </w:tcPr>
          <w:p w:rsidR="00923610" w:rsidRDefault="0057247F">
            <w:pPr>
              <w:pStyle w:val="Compact"/>
            </w:pPr>
            <w:r>
              <w:t>Cardiac arrhythmias</w:t>
            </w:r>
          </w:p>
        </w:tc>
      </w:tr>
      <w:tr w:rsidR="00923610">
        <w:tc>
          <w:tcPr>
            <w:tcW w:w="0" w:type="auto"/>
          </w:tcPr>
          <w:p w:rsidR="00923610" w:rsidRDefault="0057247F">
            <w:pPr>
              <w:pStyle w:val="Compact"/>
            </w:pPr>
            <w:r>
              <w:t>Arterial hypertension</w:t>
            </w:r>
          </w:p>
        </w:tc>
        <w:tc>
          <w:tcPr>
            <w:tcW w:w="0" w:type="auto"/>
          </w:tcPr>
          <w:p w:rsidR="00923610" w:rsidRDefault="00923610"/>
        </w:tc>
        <w:tc>
          <w:tcPr>
            <w:tcW w:w="0" w:type="auto"/>
          </w:tcPr>
          <w:p w:rsidR="00923610" w:rsidRDefault="0057247F">
            <w:pPr>
              <w:pStyle w:val="Compact"/>
            </w:pPr>
            <w:r>
              <w:t>Hypertension uncomplicated, Hypertension complicated</w:t>
            </w:r>
          </w:p>
        </w:tc>
      </w:tr>
      <w:tr w:rsidR="00923610">
        <w:tc>
          <w:tcPr>
            <w:tcW w:w="0" w:type="auto"/>
          </w:tcPr>
          <w:p w:rsidR="00923610" w:rsidRDefault="0057247F">
            <w:pPr>
              <w:pStyle w:val="Compact"/>
            </w:pPr>
            <w:r>
              <w:t>Cancer</w:t>
            </w:r>
          </w:p>
        </w:tc>
        <w:tc>
          <w:tcPr>
            <w:tcW w:w="0" w:type="auto"/>
          </w:tcPr>
          <w:p w:rsidR="00923610" w:rsidRDefault="0057247F">
            <w:pPr>
              <w:pStyle w:val="Compact"/>
            </w:pPr>
            <w:r>
              <w:t>Malignancy, Metastatic solid tumor</w:t>
            </w:r>
          </w:p>
        </w:tc>
        <w:tc>
          <w:tcPr>
            <w:tcW w:w="0" w:type="auto"/>
          </w:tcPr>
          <w:p w:rsidR="00923610" w:rsidRDefault="0057247F">
            <w:pPr>
              <w:pStyle w:val="Compact"/>
            </w:pPr>
            <w:r>
              <w:t>Lymphoma, Metastatic cancer, Solid tumor</w:t>
            </w:r>
          </w:p>
        </w:tc>
      </w:tr>
      <w:tr w:rsidR="00923610">
        <w:tc>
          <w:tcPr>
            <w:tcW w:w="0" w:type="auto"/>
          </w:tcPr>
          <w:p w:rsidR="00923610" w:rsidRDefault="0057247F">
            <w:pPr>
              <w:pStyle w:val="Compact"/>
            </w:pPr>
            <w:r>
              <w:t>CNS diseases</w:t>
            </w:r>
          </w:p>
        </w:tc>
        <w:tc>
          <w:tcPr>
            <w:tcW w:w="0" w:type="auto"/>
          </w:tcPr>
          <w:p w:rsidR="00923610" w:rsidRDefault="0057247F">
            <w:pPr>
              <w:pStyle w:val="Compact"/>
            </w:pPr>
            <w:r>
              <w:t>Dementia, Hemiplegia or paraplegia</w:t>
            </w:r>
          </w:p>
        </w:tc>
        <w:tc>
          <w:tcPr>
            <w:tcW w:w="0" w:type="auto"/>
          </w:tcPr>
          <w:p w:rsidR="00923610" w:rsidRDefault="0057247F">
            <w:pPr>
              <w:pStyle w:val="Compact"/>
            </w:pPr>
            <w:r>
              <w:t>Depression, Paralysis, Other neurological disorders, Psychoses</w:t>
            </w:r>
          </w:p>
        </w:tc>
      </w:tr>
      <w:tr w:rsidR="00923610">
        <w:tc>
          <w:tcPr>
            <w:tcW w:w="0" w:type="auto"/>
          </w:tcPr>
          <w:p w:rsidR="00923610" w:rsidRDefault="0057247F">
            <w:pPr>
              <w:pStyle w:val="Compact"/>
            </w:pPr>
            <w:r>
              <w:t>Coagulopathy</w:t>
            </w:r>
          </w:p>
        </w:tc>
        <w:tc>
          <w:tcPr>
            <w:tcW w:w="0" w:type="auto"/>
          </w:tcPr>
          <w:p w:rsidR="00923610" w:rsidRDefault="00923610"/>
        </w:tc>
        <w:tc>
          <w:tcPr>
            <w:tcW w:w="0" w:type="auto"/>
          </w:tcPr>
          <w:p w:rsidR="00923610" w:rsidRDefault="0057247F">
            <w:pPr>
              <w:pStyle w:val="Compact"/>
            </w:pPr>
            <w:r>
              <w:t>Coagulopathy</w:t>
            </w:r>
          </w:p>
        </w:tc>
      </w:tr>
      <w:tr w:rsidR="00923610">
        <w:tc>
          <w:tcPr>
            <w:tcW w:w="0" w:type="auto"/>
          </w:tcPr>
          <w:p w:rsidR="00923610" w:rsidRDefault="0057247F">
            <w:pPr>
              <w:pStyle w:val="Compact"/>
            </w:pPr>
            <w:r>
              <w:t>Diabetes</w:t>
            </w:r>
          </w:p>
        </w:tc>
        <w:tc>
          <w:tcPr>
            <w:tcW w:w="0" w:type="auto"/>
          </w:tcPr>
          <w:p w:rsidR="00923610" w:rsidRDefault="0057247F">
            <w:pPr>
              <w:pStyle w:val="Compact"/>
            </w:pPr>
            <w:r>
              <w:t>Diabetes without complication, Diabetes complication</w:t>
            </w:r>
          </w:p>
        </w:tc>
        <w:tc>
          <w:tcPr>
            <w:tcW w:w="0" w:type="auto"/>
          </w:tcPr>
          <w:p w:rsidR="00923610" w:rsidRDefault="0057247F">
            <w:pPr>
              <w:pStyle w:val="Compact"/>
            </w:pPr>
            <w:r>
              <w:t>Diabetes uncomplicated, Diabetes complicated</w:t>
            </w:r>
          </w:p>
        </w:tc>
      </w:tr>
      <w:tr w:rsidR="00923610">
        <w:tc>
          <w:tcPr>
            <w:tcW w:w="0" w:type="auto"/>
          </w:tcPr>
          <w:p w:rsidR="00923610" w:rsidRDefault="0057247F">
            <w:pPr>
              <w:pStyle w:val="Compact"/>
            </w:pPr>
            <w:r>
              <w:t>Drug alcohol abuse</w:t>
            </w:r>
          </w:p>
        </w:tc>
        <w:tc>
          <w:tcPr>
            <w:tcW w:w="0" w:type="auto"/>
          </w:tcPr>
          <w:p w:rsidR="00923610" w:rsidRDefault="00923610"/>
        </w:tc>
        <w:tc>
          <w:tcPr>
            <w:tcW w:w="0" w:type="auto"/>
          </w:tcPr>
          <w:p w:rsidR="00923610" w:rsidRDefault="0057247F">
            <w:pPr>
              <w:pStyle w:val="Compact"/>
            </w:pPr>
            <w:r>
              <w:t>Alcohol abuse, Drug abuse</w:t>
            </w:r>
          </w:p>
        </w:tc>
      </w:tr>
      <w:tr w:rsidR="00923610">
        <w:tc>
          <w:tcPr>
            <w:tcW w:w="0" w:type="auto"/>
          </w:tcPr>
          <w:p w:rsidR="00923610" w:rsidRDefault="0057247F">
            <w:pPr>
              <w:pStyle w:val="Compact"/>
            </w:pPr>
            <w:r>
              <w:t>Fluid electrolyte disorders</w:t>
            </w:r>
          </w:p>
        </w:tc>
        <w:tc>
          <w:tcPr>
            <w:tcW w:w="0" w:type="auto"/>
          </w:tcPr>
          <w:p w:rsidR="00923610" w:rsidRDefault="00923610"/>
        </w:tc>
        <w:tc>
          <w:tcPr>
            <w:tcW w:w="0" w:type="auto"/>
          </w:tcPr>
          <w:p w:rsidR="00923610" w:rsidRDefault="0057247F">
            <w:pPr>
              <w:pStyle w:val="Compact"/>
            </w:pPr>
            <w:r>
              <w:t>Fluid electrolyte disorders</w:t>
            </w:r>
          </w:p>
        </w:tc>
      </w:tr>
      <w:tr w:rsidR="00923610">
        <w:tc>
          <w:tcPr>
            <w:tcW w:w="0" w:type="auto"/>
          </w:tcPr>
          <w:p w:rsidR="00923610" w:rsidRDefault="0057247F">
            <w:pPr>
              <w:pStyle w:val="Compact"/>
            </w:pPr>
            <w:r>
              <w:t>Heart condition</w:t>
            </w:r>
          </w:p>
        </w:tc>
        <w:tc>
          <w:tcPr>
            <w:tcW w:w="0" w:type="auto"/>
          </w:tcPr>
          <w:p w:rsidR="00923610" w:rsidRDefault="0057247F">
            <w:pPr>
              <w:pStyle w:val="Compact"/>
            </w:pPr>
            <w:r>
              <w:t>Congestive heart failure</w:t>
            </w:r>
          </w:p>
        </w:tc>
        <w:tc>
          <w:tcPr>
            <w:tcW w:w="0" w:type="auto"/>
          </w:tcPr>
          <w:p w:rsidR="00923610" w:rsidRDefault="0057247F">
            <w:pPr>
              <w:pStyle w:val="Compact"/>
            </w:pPr>
            <w:r>
              <w:t xml:space="preserve">Congestive heart failure, </w:t>
            </w:r>
            <w:proofErr w:type="spellStart"/>
            <w:r>
              <w:t>Valvular</w:t>
            </w:r>
            <w:proofErr w:type="spellEnd"/>
            <w:r>
              <w:t xml:space="preserve"> disease</w:t>
            </w:r>
          </w:p>
        </w:tc>
      </w:tr>
      <w:tr w:rsidR="00923610">
        <w:tc>
          <w:tcPr>
            <w:tcW w:w="0" w:type="auto"/>
          </w:tcPr>
          <w:p w:rsidR="00923610" w:rsidRDefault="0057247F">
            <w:pPr>
              <w:pStyle w:val="Compact"/>
            </w:pPr>
            <w:r>
              <w:t>Myocardial infarction</w:t>
            </w:r>
          </w:p>
        </w:tc>
        <w:tc>
          <w:tcPr>
            <w:tcW w:w="0" w:type="auto"/>
          </w:tcPr>
          <w:p w:rsidR="00923610" w:rsidRDefault="0057247F">
            <w:pPr>
              <w:pStyle w:val="Compact"/>
            </w:pPr>
            <w:r>
              <w:t>Myocardial infarction</w:t>
            </w:r>
          </w:p>
        </w:tc>
        <w:tc>
          <w:tcPr>
            <w:tcW w:w="0" w:type="auto"/>
          </w:tcPr>
          <w:p w:rsidR="00923610" w:rsidRDefault="00923610"/>
        </w:tc>
      </w:tr>
      <w:tr w:rsidR="00923610">
        <w:tc>
          <w:tcPr>
            <w:tcW w:w="0" w:type="auto"/>
          </w:tcPr>
          <w:p w:rsidR="00923610" w:rsidRDefault="0057247F">
            <w:pPr>
              <w:pStyle w:val="Compact"/>
            </w:pPr>
            <w:r>
              <w:t>Hypothyroidism</w:t>
            </w:r>
          </w:p>
        </w:tc>
        <w:tc>
          <w:tcPr>
            <w:tcW w:w="0" w:type="auto"/>
          </w:tcPr>
          <w:p w:rsidR="00923610" w:rsidRDefault="00923610"/>
        </w:tc>
        <w:tc>
          <w:tcPr>
            <w:tcW w:w="0" w:type="auto"/>
          </w:tcPr>
          <w:p w:rsidR="00923610" w:rsidRDefault="0057247F">
            <w:pPr>
              <w:pStyle w:val="Compact"/>
            </w:pPr>
            <w:r>
              <w:t>Hypothyroidism</w:t>
            </w:r>
          </w:p>
        </w:tc>
      </w:tr>
      <w:tr w:rsidR="00923610">
        <w:tc>
          <w:tcPr>
            <w:tcW w:w="0" w:type="auto"/>
          </w:tcPr>
          <w:p w:rsidR="00923610" w:rsidRDefault="0057247F">
            <w:pPr>
              <w:pStyle w:val="Compact"/>
            </w:pPr>
            <w:r>
              <w:t>Kidney disease</w:t>
            </w:r>
          </w:p>
        </w:tc>
        <w:tc>
          <w:tcPr>
            <w:tcW w:w="0" w:type="auto"/>
          </w:tcPr>
          <w:p w:rsidR="00923610" w:rsidRDefault="0057247F">
            <w:pPr>
              <w:pStyle w:val="Compact"/>
            </w:pPr>
            <w:r>
              <w:t>Renal disease</w:t>
            </w:r>
          </w:p>
        </w:tc>
        <w:tc>
          <w:tcPr>
            <w:tcW w:w="0" w:type="auto"/>
          </w:tcPr>
          <w:p w:rsidR="00923610" w:rsidRDefault="0057247F">
            <w:pPr>
              <w:pStyle w:val="Compact"/>
            </w:pPr>
            <w:r>
              <w:t>Renal failure</w:t>
            </w:r>
          </w:p>
        </w:tc>
      </w:tr>
      <w:tr w:rsidR="00923610">
        <w:tc>
          <w:tcPr>
            <w:tcW w:w="0" w:type="auto"/>
          </w:tcPr>
          <w:p w:rsidR="00923610" w:rsidRDefault="0057247F">
            <w:pPr>
              <w:pStyle w:val="Compact"/>
            </w:pPr>
            <w:r>
              <w:t>Liver disease</w:t>
            </w:r>
          </w:p>
        </w:tc>
        <w:tc>
          <w:tcPr>
            <w:tcW w:w="0" w:type="auto"/>
          </w:tcPr>
          <w:p w:rsidR="00923610" w:rsidRDefault="0057247F">
            <w:pPr>
              <w:pStyle w:val="Compact"/>
            </w:pPr>
            <w:r>
              <w:t>Mild liver disease, Moderate or severe liver disease</w:t>
            </w:r>
          </w:p>
        </w:tc>
        <w:tc>
          <w:tcPr>
            <w:tcW w:w="0" w:type="auto"/>
          </w:tcPr>
          <w:p w:rsidR="00923610" w:rsidRDefault="0057247F">
            <w:pPr>
              <w:pStyle w:val="Compact"/>
            </w:pPr>
            <w:r>
              <w:t>Liver disease</w:t>
            </w:r>
          </w:p>
        </w:tc>
      </w:tr>
      <w:tr w:rsidR="00923610">
        <w:tc>
          <w:tcPr>
            <w:tcW w:w="0" w:type="auto"/>
          </w:tcPr>
          <w:p w:rsidR="00923610" w:rsidRDefault="0057247F">
            <w:pPr>
              <w:pStyle w:val="Compact"/>
            </w:pPr>
            <w:r>
              <w:t>Lung airways disease</w:t>
            </w:r>
          </w:p>
        </w:tc>
        <w:tc>
          <w:tcPr>
            <w:tcW w:w="0" w:type="auto"/>
          </w:tcPr>
          <w:p w:rsidR="00923610" w:rsidRDefault="0057247F">
            <w:pPr>
              <w:pStyle w:val="Compact"/>
            </w:pPr>
            <w:r>
              <w:t>Chronic pulmonary disease</w:t>
            </w:r>
          </w:p>
        </w:tc>
        <w:tc>
          <w:tcPr>
            <w:tcW w:w="0" w:type="auto"/>
          </w:tcPr>
          <w:p w:rsidR="00923610" w:rsidRDefault="0057247F">
            <w:pPr>
              <w:pStyle w:val="Compact"/>
            </w:pPr>
            <w:r>
              <w:t>Chronic pulmonary disease, Pulmonary circulation disorder</w:t>
            </w:r>
          </w:p>
        </w:tc>
      </w:tr>
      <w:tr w:rsidR="00923610">
        <w:tc>
          <w:tcPr>
            <w:tcW w:w="0" w:type="auto"/>
          </w:tcPr>
          <w:p w:rsidR="00923610" w:rsidRDefault="0057247F">
            <w:pPr>
              <w:pStyle w:val="Compact"/>
            </w:pPr>
            <w:r>
              <w:t>Obesity</w:t>
            </w:r>
          </w:p>
        </w:tc>
        <w:tc>
          <w:tcPr>
            <w:tcW w:w="0" w:type="auto"/>
          </w:tcPr>
          <w:p w:rsidR="00923610" w:rsidRDefault="00923610"/>
        </w:tc>
        <w:tc>
          <w:tcPr>
            <w:tcW w:w="0" w:type="auto"/>
          </w:tcPr>
          <w:p w:rsidR="00923610" w:rsidRDefault="0057247F">
            <w:pPr>
              <w:pStyle w:val="Compact"/>
            </w:pPr>
            <w:r>
              <w:t>Obesity</w:t>
            </w:r>
          </w:p>
        </w:tc>
      </w:tr>
      <w:tr w:rsidR="00923610">
        <w:tc>
          <w:tcPr>
            <w:tcW w:w="0" w:type="auto"/>
          </w:tcPr>
          <w:p w:rsidR="00923610" w:rsidRDefault="0057247F">
            <w:pPr>
              <w:pStyle w:val="Compact"/>
            </w:pPr>
            <w:r>
              <w:t>Peptic ulcer</w:t>
            </w:r>
          </w:p>
        </w:tc>
        <w:tc>
          <w:tcPr>
            <w:tcW w:w="0" w:type="auto"/>
          </w:tcPr>
          <w:p w:rsidR="00923610" w:rsidRDefault="0057247F">
            <w:pPr>
              <w:pStyle w:val="Compact"/>
            </w:pPr>
            <w:r>
              <w:t>Peptic ulcer disease</w:t>
            </w:r>
          </w:p>
        </w:tc>
        <w:tc>
          <w:tcPr>
            <w:tcW w:w="0" w:type="auto"/>
          </w:tcPr>
          <w:p w:rsidR="00923610" w:rsidRDefault="0057247F">
            <w:pPr>
              <w:pStyle w:val="Compact"/>
            </w:pPr>
            <w:r>
              <w:t>Peptic ulcer disease</w:t>
            </w:r>
          </w:p>
        </w:tc>
      </w:tr>
      <w:tr w:rsidR="00923610">
        <w:tc>
          <w:tcPr>
            <w:tcW w:w="0" w:type="auto"/>
          </w:tcPr>
          <w:p w:rsidR="00923610" w:rsidRDefault="0057247F">
            <w:pPr>
              <w:pStyle w:val="Compact"/>
            </w:pPr>
            <w:r>
              <w:t>Rheumatic disease</w:t>
            </w:r>
          </w:p>
        </w:tc>
        <w:tc>
          <w:tcPr>
            <w:tcW w:w="0" w:type="auto"/>
          </w:tcPr>
          <w:p w:rsidR="00923610" w:rsidRDefault="0057247F">
            <w:pPr>
              <w:pStyle w:val="Compact"/>
            </w:pPr>
            <w:r>
              <w:t>Rheumatic disease</w:t>
            </w:r>
          </w:p>
        </w:tc>
        <w:tc>
          <w:tcPr>
            <w:tcW w:w="0" w:type="auto"/>
          </w:tcPr>
          <w:p w:rsidR="00923610" w:rsidRDefault="0057247F">
            <w:pPr>
              <w:pStyle w:val="Compact"/>
            </w:pPr>
            <w:r>
              <w:t>Rheumatoid arthritis</w:t>
            </w:r>
          </w:p>
        </w:tc>
      </w:tr>
      <w:tr w:rsidR="00923610">
        <w:tc>
          <w:tcPr>
            <w:tcW w:w="0" w:type="auto"/>
          </w:tcPr>
          <w:p w:rsidR="00923610" w:rsidRDefault="0057247F">
            <w:pPr>
              <w:pStyle w:val="Compact"/>
            </w:pPr>
            <w:r>
              <w:t>Vascular disease</w:t>
            </w:r>
          </w:p>
        </w:tc>
        <w:tc>
          <w:tcPr>
            <w:tcW w:w="0" w:type="auto"/>
          </w:tcPr>
          <w:p w:rsidR="00923610" w:rsidRDefault="0057247F">
            <w:pPr>
              <w:pStyle w:val="Compact"/>
            </w:pPr>
            <w:r>
              <w:t>Peripheral vascular disease, Cerebrovascular disease</w:t>
            </w:r>
          </w:p>
        </w:tc>
        <w:tc>
          <w:tcPr>
            <w:tcW w:w="0" w:type="auto"/>
          </w:tcPr>
          <w:p w:rsidR="00923610" w:rsidRDefault="0057247F">
            <w:pPr>
              <w:pStyle w:val="Compact"/>
            </w:pPr>
            <w:r>
              <w:t>Peripheral vascular disorder</w:t>
            </w:r>
          </w:p>
        </w:tc>
      </w:tr>
      <w:tr w:rsidR="00923610">
        <w:tc>
          <w:tcPr>
            <w:tcW w:w="0" w:type="auto"/>
          </w:tcPr>
          <w:p w:rsidR="00923610" w:rsidRDefault="0057247F">
            <w:pPr>
              <w:pStyle w:val="Compact"/>
            </w:pPr>
            <w:r>
              <w:t>Weight loss</w:t>
            </w:r>
          </w:p>
        </w:tc>
        <w:tc>
          <w:tcPr>
            <w:tcW w:w="0" w:type="auto"/>
          </w:tcPr>
          <w:p w:rsidR="00923610" w:rsidRDefault="00923610"/>
        </w:tc>
        <w:tc>
          <w:tcPr>
            <w:tcW w:w="0" w:type="auto"/>
          </w:tcPr>
          <w:p w:rsidR="00923610" w:rsidRDefault="0057247F">
            <w:pPr>
              <w:pStyle w:val="Compact"/>
            </w:pPr>
            <w:r>
              <w:t>Weight loss</w:t>
            </w:r>
          </w:p>
        </w:tc>
      </w:tr>
    </w:tbl>
    <w:p w:rsidR="00923610" w:rsidRDefault="0057247F">
      <w:pPr>
        <w:pStyle w:val="Heading5"/>
      </w:pPr>
      <w:bookmarkStart w:id="31" w:name="page-break-8"/>
      <w:r>
        <w:lastRenderedPageBreak/>
        <w:t>PAGE BREAK</w:t>
      </w:r>
      <w:bookmarkEnd w:id="31"/>
    </w:p>
    <w:p w:rsidR="00923610" w:rsidRDefault="0057247F">
      <w:pPr>
        <w:pStyle w:val="TableCaption"/>
      </w:pPr>
      <w:r>
        <w:t>Table 2: Characteristics of the study population. Co-morbidities recorded for at least one patient who survived 90 days, and one who did not, were modeled as potential predictors. Educational levels were classified as low (up to 9 years), middle (10-12 years) and high (at least 12 years). CNS = central nervous system.</w:t>
      </w:r>
    </w:p>
    <w:tbl>
      <w:tblPr>
        <w:tblStyle w:val="Table"/>
        <w:tblW w:w="0" w:type="pct"/>
        <w:tblLook w:val="07E0" w:firstRow="1" w:lastRow="1" w:firstColumn="1" w:lastColumn="1" w:noHBand="1" w:noVBand="1"/>
        <w:tblCaption w:val="Table 2: Characteristics of the study population. Co-morbidities recorded for at least one patient who survived 90 days, and one who did not, were modeled as potential predictors. Educational levels were classified as low (up to 9 years), middle (10-12 years) and high (at least 12 years). CNS = central nervous system."/>
      </w:tblPr>
      <w:tblGrid>
        <w:gridCol w:w="2632"/>
        <w:gridCol w:w="1561"/>
        <w:gridCol w:w="1802"/>
        <w:gridCol w:w="2177"/>
        <w:gridCol w:w="1234"/>
      </w:tblGrid>
      <w:tr w:rsidR="00923610">
        <w:tc>
          <w:tcPr>
            <w:tcW w:w="0" w:type="auto"/>
            <w:tcBorders>
              <w:bottom w:val="single" w:sz="0" w:space="0" w:color="auto"/>
            </w:tcBorders>
            <w:vAlign w:val="bottom"/>
          </w:tcPr>
          <w:p w:rsidR="00923610" w:rsidRDefault="0057247F">
            <w:pPr>
              <w:pStyle w:val="Compact"/>
            </w:pPr>
            <w:r>
              <w:t>what</w:t>
            </w:r>
          </w:p>
        </w:tc>
        <w:tc>
          <w:tcPr>
            <w:tcW w:w="0" w:type="auto"/>
            <w:tcBorders>
              <w:bottom w:val="single" w:sz="0" w:space="0" w:color="auto"/>
            </w:tcBorders>
            <w:vAlign w:val="bottom"/>
          </w:tcPr>
          <w:p w:rsidR="00923610" w:rsidRDefault="0057247F">
            <w:pPr>
              <w:pStyle w:val="Compact"/>
            </w:pPr>
            <w:r>
              <w:t>level</w:t>
            </w:r>
          </w:p>
        </w:tc>
        <w:tc>
          <w:tcPr>
            <w:tcW w:w="0" w:type="auto"/>
            <w:tcBorders>
              <w:bottom w:val="single" w:sz="0" w:space="0" w:color="auto"/>
            </w:tcBorders>
            <w:vAlign w:val="bottom"/>
          </w:tcPr>
          <w:p w:rsidR="00923610" w:rsidRDefault="0057247F">
            <w:pPr>
              <w:pStyle w:val="Compact"/>
            </w:pPr>
            <w:r>
              <w:t>Died within 90 days</w:t>
            </w:r>
          </w:p>
        </w:tc>
        <w:tc>
          <w:tcPr>
            <w:tcW w:w="0" w:type="auto"/>
            <w:tcBorders>
              <w:bottom w:val="single" w:sz="0" w:space="0" w:color="auto"/>
            </w:tcBorders>
            <w:vAlign w:val="bottom"/>
          </w:tcPr>
          <w:p w:rsidR="00923610" w:rsidRDefault="0057247F">
            <w:pPr>
              <w:pStyle w:val="Compact"/>
            </w:pPr>
            <w:r>
              <w:t>Survived at least 90 days</w:t>
            </w:r>
          </w:p>
        </w:tc>
        <w:tc>
          <w:tcPr>
            <w:tcW w:w="0" w:type="auto"/>
            <w:tcBorders>
              <w:bottom w:val="single" w:sz="0" w:space="0" w:color="auto"/>
            </w:tcBorders>
            <w:vAlign w:val="bottom"/>
          </w:tcPr>
          <w:p w:rsidR="00923610" w:rsidRDefault="0057247F">
            <w:pPr>
              <w:pStyle w:val="Compact"/>
            </w:pPr>
            <w:r>
              <w:t>Total</w:t>
            </w:r>
          </w:p>
        </w:tc>
      </w:tr>
      <w:tr w:rsidR="00923610">
        <w:tc>
          <w:tcPr>
            <w:tcW w:w="0" w:type="auto"/>
          </w:tcPr>
          <w:p w:rsidR="00923610" w:rsidRDefault="0057247F">
            <w:pPr>
              <w:pStyle w:val="Compact"/>
            </w:pPr>
            <w:r>
              <w:t>n</w:t>
            </w:r>
          </w:p>
        </w:tc>
        <w:tc>
          <w:tcPr>
            <w:tcW w:w="0" w:type="auto"/>
          </w:tcPr>
          <w:p w:rsidR="00923610" w:rsidRDefault="00923610"/>
        </w:tc>
        <w:tc>
          <w:tcPr>
            <w:tcW w:w="0" w:type="auto"/>
          </w:tcPr>
          <w:p w:rsidR="00923610" w:rsidRDefault="0057247F">
            <w:pPr>
              <w:pStyle w:val="Compact"/>
            </w:pPr>
            <w:r>
              <w:t>175</w:t>
            </w:r>
          </w:p>
        </w:tc>
        <w:tc>
          <w:tcPr>
            <w:tcW w:w="0" w:type="auto"/>
          </w:tcPr>
          <w:p w:rsidR="00923610" w:rsidRDefault="0057247F">
            <w:pPr>
              <w:pStyle w:val="Compact"/>
            </w:pPr>
            <w:r>
              <w:t>52924</w:t>
            </w:r>
          </w:p>
        </w:tc>
        <w:tc>
          <w:tcPr>
            <w:tcW w:w="0" w:type="auto"/>
          </w:tcPr>
          <w:p w:rsidR="00923610" w:rsidRDefault="0057247F">
            <w:pPr>
              <w:pStyle w:val="Compact"/>
            </w:pPr>
            <w:r>
              <w:t>53099</w:t>
            </w:r>
          </w:p>
        </w:tc>
      </w:tr>
      <w:tr w:rsidR="00923610">
        <w:tc>
          <w:tcPr>
            <w:tcW w:w="0" w:type="auto"/>
          </w:tcPr>
          <w:p w:rsidR="00923610" w:rsidRDefault="0057247F">
            <w:pPr>
              <w:pStyle w:val="Compact"/>
            </w:pPr>
            <w:r>
              <w:t>Age (mean (SD))</w:t>
            </w:r>
          </w:p>
        </w:tc>
        <w:tc>
          <w:tcPr>
            <w:tcW w:w="0" w:type="auto"/>
          </w:tcPr>
          <w:p w:rsidR="00923610" w:rsidRDefault="00923610"/>
        </w:tc>
        <w:tc>
          <w:tcPr>
            <w:tcW w:w="0" w:type="auto"/>
          </w:tcPr>
          <w:p w:rsidR="00923610" w:rsidRDefault="0057247F">
            <w:pPr>
              <w:pStyle w:val="Compact"/>
            </w:pPr>
            <w:r>
              <w:t>77.99 (7.89)</w:t>
            </w:r>
          </w:p>
        </w:tc>
        <w:tc>
          <w:tcPr>
            <w:tcW w:w="0" w:type="auto"/>
          </w:tcPr>
          <w:p w:rsidR="00923610" w:rsidRDefault="0057247F">
            <w:pPr>
              <w:pStyle w:val="Compact"/>
            </w:pPr>
            <w:r>
              <w:t>72.66 (7.76)</w:t>
            </w:r>
          </w:p>
        </w:tc>
        <w:tc>
          <w:tcPr>
            <w:tcW w:w="0" w:type="auto"/>
          </w:tcPr>
          <w:p w:rsidR="00923610" w:rsidRDefault="0057247F">
            <w:pPr>
              <w:pStyle w:val="Compact"/>
            </w:pPr>
            <w:r>
              <w:t>72.68 (7.76)</w:t>
            </w:r>
          </w:p>
        </w:tc>
      </w:tr>
      <w:tr w:rsidR="00923610">
        <w:tc>
          <w:tcPr>
            <w:tcW w:w="0" w:type="auto"/>
          </w:tcPr>
          <w:p w:rsidR="00923610" w:rsidRDefault="0057247F">
            <w:pPr>
              <w:pStyle w:val="Compact"/>
            </w:pPr>
            <w:r>
              <w:t>Sex = Female (%)</w:t>
            </w:r>
          </w:p>
        </w:tc>
        <w:tc>
          <w:tcPr>
            <w:tcW w:w="0" w:type="auto"/>
          </w:tcPr>
          <w:p w:rsidR="00923610" w:rsidRDefault="00923610"/>
        </w:tc>
        <w:tc>
          <w:tcPr>
            <w:tcW w:w="0" w:type="auto"/>
          </w:tcPr>
          <w:p w:rsidR="00923610" w:rsidRDefault="0057247F">
            <w:pPr>
              <w:pStyle w:val="Compact"/>
            </w:pPr>
            <w:r>
              <w:t>77 (44.0)</w:t>
            </w:r>
          </w:p>
        </w:tc>
        <w:tc>
          <w:tcPr>
            <w:tcW w:w="0" w:type="auto"/>
          </w:tcPr>
          <w:p w:rsidR="00923610" w:rsidRDefault="0057247F">
            <w:pPr>
              <w:pStyle w:val="Compact"/>
            </w:pPr>
            <w:r>
              <w:t>32363 (61.1)</w:t>
            </w:r>
          </w:p>
        </w:tc>
        <w:tc>
          <w:tcPr>
            <w:tcW w:w="0" w:type="auto"/>
          </w:tcPr>
          <w:p w:rsidR="00923610" w:rsidRDefault="0057247F">
            <w:pPr>
              <w:pStyle w:val="Compact"/>
            </w:pPr>
            <w:r>
              <w:t>32440 (61.1)</w:t>
            </w:r>
          </w:p>
        </w:tc>
      </w:tr>
      <w:tr w:rsidR="00923610">
        <w:tc>
          <w:tcPr>
            <w:tcW w:w="0" w:type="auto"/>
          </w:tcPr>
          <w:p w:rsidR="00923610" w:rsidRDefault="0057247F">
            <w:pPr>
              <w:pStyle w:val="Compact"/>
            </w:pPr>
            <w:r>
              <w:t>BMI (mean (SD))</w:t>
            </w:r>
          </w:p>
        </w:tc>
        <w:tc>
          <w:tcPr>
            <w:tcW w:w="0" w:type="auto"/>
          </w:tcPr>
          <w:p w:rsidR="00923610" w:rsidRDefault="00923610"/>
        </w:tc>
        <w:tc>
          <w:tcPr>
            <w:tcW w:w="0" w:type="auto"/>
          </w:tcPr>
          <w:p w:rsidR="00923610" w:rsidRDefault="0057247F">
            <w:pPr>
              <w:pStyle w:val="Compact"/>
            </w:pPr>
            <w:r>
              <w:t>26.81 (5.18)</w:t>
            </w:r>
          </w:p>
        </w:tc>
        <w:tc>
          <w:tcPr>
            <w:tcW w:w="0" w:type="auto"/>
          </w:tcPr>
          <w:p w:rsidR="00923610" w:rsidRDefault="0057247F">
            <w:pPr>
              <w:pStyle w:val="Compact"/>
            </w:pPr>
            <w:r>
              <w:t>27.19 (4.39)</w:t>
            </w:r>
          </w:p>
        </w:tc>
        <w:tc>
          <w:tcPr>
            <w:tcW w:w="0" w:type="auto"/>
          </w:tcPr>
          <w:p w:rsidR="00923610" w:rsidRDefault="0057247F">
            <w:pPr>
              <w:pStyle w:val="Compact"/>
            </w:pPr>
            <w:r>
              <w:t>27.19 (4.39)</w:t>
            </w:r>
          </w:p>
        </w:tc>
      </w:tr>
      <w:tr w:rsidR="00923610">
        <w:tc>
          <w:tcPr>
            <w:tcW w:w="0" w:type="auto"/>
          </w:tcPr>
          <w:p w:rsidR="00923610" w:rsidRDefault="0057247F">
            <w:pPr>
              <w:pStyle w:val="Compact"/>
            </w:pPr>
            <w:r>
              <w:t>ASA class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I</w:t>
            </w:r>
          </w:p>
        </w:tc>
        <w:tc>
          <w:tcPr>
            <w:tcW w:w="0" w:type="auto"/>
          </w:tcPr>
          <w:p w:rsidR="00923610" w:rsidRDefault="0057247F">
            <w:pPr>
              <w:pStyle w:val="Compact"/>
            </w:pPr>
            <w:r>
              <w:t>7 ( 4.0)</w:t>
            </w:r>
          </w:p>
        </w:tc>
        <w:tc>
          <w:tcPr>
            <w:tcW w:w="0" w:type="auto"/>
          </w:tcPr>
          <w:p w:rsidR="00923610" w:rsidRDefault="0057247F">
            <w:pPr>
              <w:pStyle w:val="Compact"/>
            </w:pPr>
            <w:r>
              <w:t>9582 (18.1)</w:t>
            </w:r>
          </w:p>
        </w:tc>
        <w:tc>
          <w:tcPr>
            <w:tcW w:w="0" w:type="auto"/>
          </w:tcPr>
          <w:p w:rsidR="00923610" w:rsidRDefault="0057247F">
            <w:pPr>
              <w:pStyle w:val="Compact"/>
            </w:pPr>
            <w:r>
              <w:t>9589 (18.1)</w:t>
            </w:r>
          </w:p>
        </w:tc>
      </w:tr>
      <w:tr w:rsidR="00923610">
        <w:tc>
          <w:tcPr>
            <w:tcW w:w="0" w:type="auto"/>
          </w:tcPr>
          <w:p w:rsidR="00923610" w:rsidRDefault="00923610"/>
        </w:tc>
        <w:tc>
          <w:tcPr>
            <w:tcW w:w="0" w:type="auto"/>
          </w:tcPr>
          <w:p w:rsidR="00923610" w:rsidRDefault="0057247F">
            <w:pPr>
              <w:pStyle w:val="Compact"/>
            </w:pPr>
            <w:r>
              <w:t>II</w:t>
            </w:r>
          </w:p>
        </w:tc>
        <w:tc>
          <w:tcPr>
            <w:tcW w:w="0" w:type="auto"/>
          </w:tcPr>
          <w:p w:rsidR="00923610" w:rsidRDefault="0057247F">
            <w:pPr>
              <w:pStyle w:val="Compact"/>
            </w:pPr>
            <w:r>
              <w:t>86 (49.1)</w:t>
            </w:r>
          </w:p>
        </w:tc>
        <w:tc>
          <w:tcPr>
            <w:tcW w:w="0" w:type="auto"/>
          </w:tcPr>
          <w:p w:rsidR="00923610" w:rsidRDefault="0057247F">
            <w:pPr>
              <w:pStyle w:val="Compact"/>
            </w:pPr>
            <w:r>
              <w:t>33795 (63.9)</w:t>
            </w:r>
          </w:p>
        </w:tc>
        <w:tc>
          <w:tcPr>
            <w:tcW w:w="0" w:type="auto"/>
          </w:tcPr>
          <w:p w:rsidR="00923610" w:rsidRDefault="0057247F">
            <w:pPr>
              <w:pStyle w:val="Compact"/>
            </w:pPr>
            <w:r>
              <w:t>33881 (63.8)</w:t>
            </w:r>
          </w:p>
        </w:tc>
      </w:tr>
      <w:tr w:rsidR="00923610">
        <w:tc>
          <w:tcPr>
            <w:tcW w:w="0" w:type="auto"/>
          </w:tcPr>
          <w:p w:rsidR="00923610" w:rsidRDefault="00923610"/>
        </w:tc>
        <w:tc>
          <w:tcPr>
            <w:tcW w:w="0" w:type="auto"/>
          </w:tcPr>
          <w:p w:rsidR="00923610" w:rsidRDefault="0057247F">
            <w:pPr>
              <w:pStyle w:val="Compact"/>
            </w:pPr>
            <w:r>
              <w:t>III</w:t>
            </w:r>
          </w:p>
        </w:tc>
        <w:tc>
          <w:tcPr>
            <w:tcW w:w="0" w:type="auto"/>
          </w:tcPr>
          <w:p w:rsidR="00923610" w:rsidRDefault="0057247F">
            <w:pPr>
              <w:pStyle w:val="Compact"/>
            </w:pPr>
            <w:r>
              <w:t>82 (46.9)</w:t>
            </w:r>
          </w:p>
        </w:tc>
        <w:tc>
          <w:tcPr>
            <w:tcW w:w="0" w:type="auto"/>
          </w:tcPr>
          <w:p w:rsidR="00923610" w:rsidRDefault="0057247F">
            <w:pPr>
              <w:pStyle w:val="Compact"/>
            </w:pPr>
            <w:r>
              <w:t>9547 (18.0)</w:t>
            </w:r>
          </w:p>
        </w:tc>
        <w:tc>
          <w:tcPr>
            <w:tcW w:w="0" w:type="auto"/>
          </w:tcPr>
          <w:p w:rsidR="00923610" w:rsidRDefault="0057247F">
            <w:pPr>
              <w:pStyle w:val="Compact"/>
            </w:pPr>
            <w:r>
              <w:t>9629 (18.1)</w:t>
            </w:r>
          </w:p>
        </w:tc>
      </w:tr>
      <w:tr w:rsidR="00923610">
        <w:tc>
          <w:tcPr>
            <w:tcW w:w="0" w:type="auto"/>
          </w:tcPr>
          <w:p w:rsidR="00923610" w:rsidRDefault="0057247F">
            <w:pPr>
              <w:pStyle w:val="Compact"/>
            </w:pPr>
            <w:r>
              <w:t>Hospital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University</w:t>
            </w:r>
          </w:p>
        </w:tc>
        <w:tc>
          <w:tcPr>
            <w:tcW w:w="0" w:type="auto"/>
          </w:tcPr>
          <w:p w:rsidR="00923610" w:rsidRDefault="0057247F">
            <w:pPr>
              <w:pStyle w:val="Compact"/>
            </w:pPr>
            <w:r>
              <w:t>74 (42.3)</w:t>
            </w:r>
          </w:p>
        </w:tc>
        <w:tc>
          <w:tcPr>
            <w:tcW w:w="0" w:type="auto"/>
          </w:tcPr>
          <w:p w:rsidR="00923610" w:rsidRDefault="0057247F">
            <w:pPr>
              <w:pStyle w:val="Compact"/>
            </w:pPr>
            <w:r>
              <w:t>24386 (46.1)</w:t>
            </w:r>
          </w:p>
        </w:tc>
        <w:tc>
          <w:tcPr>
            <w:tcW w:w="0" w:type="auto"/>
          </w:tcPr>
          <w:p w:rsidR="00923610" w:rsidRDefault="0057247F">
            <w:pPr>
              <w:pStyle w:val="Compact"/>
            </w:pPr>
            <w:r>
              <w:t>24460 (46.1)</w:t>
            </w:r>
          </w:p>
        </w:tc>
      </w:tr>
      <w:tr w:rsidR="00923610">
        <w:tc>
          <w:tcPr>
            <w:tcW w:w="0" w:type="auto"/>
          </w:tcPr>
          <w:p w:rsidR="00923610" w:rsidRDefault="00923610"/>
        </w:tc>
        <w:tc>
          <w:tcPr>
            <w:tcW w:w="0" w:type="auto"/>
          </w:tcPr>
          <w:p w:rsidR="00923610" w:rsidRDefault="0057247F">
            <w:pPr>
              <w:pStyle w:val="Compact"/>
            </w:pPr>
            <w:r>
              <w:t>County</w:t>
            </w:r>
          </w:p>
        </w:tc>
        <w:tc>
          <w:tcPr>
            <w:tcW w:w="0" w:type="auto"/>
          </w:tcPr>
          <w:p w:rsidR="00923610" w:rsidRDefault="0057247F">
            <w:pPr>
              <w:pStyle w:val="Compact"/>
            </w:pPr>
            <w:r>
              <w:t>66 (37.7)</w:t>
            </w:r>
          </w:p>
        </w:tc>
        <w:tc>
          <w:tcPr>
            <w:tcW w:w="0" w:type="auto"/>
          </w:tcPr>
          <w:p w:rsidR="00923610" w:rsidRDefault="0057247F">
            <w:pPr>
              <w:pStyle w:val="Compact"/>
            </w:pPr>
            <w:r>
              <w:t>16441 (31.1)</w:t>
            </w:r>
          </w:p>
        </w:tc>
        <w:tc>
          <w:tcPr>
            <w:tcW w:w="0" w:type="auto"/>
          </w:tcPr>
          <w:p w:rsidR="00923610" w:rsidRDefault="0057247F">
            <w:pPr>
              <w:pStyle w:val="Compact"/>
            </w:pPr>
            <w:r>
              <w:t>16507 (31.1)</w:t>
            </w:r>
          </w:p>
        </w:tc>
      </w:tr>
      <w:tr w:rsidR="00923610">
        <w:tc>
          <w:tcPr>
            <w:tcW w:w="0" w:type="auto"/>
          </w:tcPr>
          <w:p w:rsidR="00923610" w:rsidRDefault="00923610"/>
        </w:tc>
        <w:tc>
          <w:tcPr>
            <w:tcW w:w="0" w:type="auto"/>
          </w:tcPr>
          <w:p w:rsidR="00923610" w:rsidRDefault="0057247F">
            <w:pPr>
              <w:pStyle w:val="Compact"/>
            </w:pPr>
            <w:r>
              <w:t>Rural</w:t>
            </w:r>
          </w:p>
        </w:tc>
        <w:tc>
          <w:tcPr>
            <w:tcW w:w="0" w:type="auto"/>
          </w:tcPr>
          <w:p w:rsidR="00923610" w:rsidRDefault="0057247F">
            <w:pPr>
              <w:pStyle w:val="Compact"/>
            </w:pPr>
            <w:r>
              <w:t>19 (10.9)</w:t>
            </w:r>
          </w:p>
        </w:tc>
        <w:tc>
          <w:tcPr>
            <w:tcW w:w="0" w:type="auto"/>
          </w:tcPr>
          <w:p w:rsidR="00923610" w:rsidRDefault="0057247F">
            <w:pPr>
              <w:pStyle w:val="Compact"/>
            </w:pPr>
            <w:r>
              <w:t>9921 (18.7)</w:t>
            </w:r>
          </w:p>
        </w:tc>
        <w:tc>
          <w:tcPr>
            <w:tcW w:w="0" w:type="auto"/>
          </w:tcPr>
          <w:p w:rsidR="00923610" w:rsidRDefault="0057247F">
            <w:pPr>
              <w:pStyle w:val="Compact"/>
            </w:pPr>
            <w:r>
              <w:t>9940 (18.7)</w:t>
            </w:r>
          </w:p>
        </w:tc>
      </w:tr>
      <w:tr w:rsidR="00923610">
        <w:tc>
          <w:tcPr>
            <w:tcW w:w="0" w:type="auto"/>
          </w:tcPr>
          <w:p w:rsidR="00923610" w:rsidRDefault="00923610"/>
        </w:tc>
        <w:tc>
          <w:tcPr>
            <w:tcW w:w="0" w:type="auto"/>
          </w:tcPr>
          <w:p w:rsidR="00923610" w:rsidRDefault="0057247F">
            <w:pPr>
              <w:pStyle w:val="Compact"/>
            </w:pPr>
            <w:r>
              <w:t>Private</w:t>
            </w:r>
          </w:p>
        </w:tc>
        <w:tc>
          <w:tcPr>
            <w:tcW w:w="0" w:type="auto"/>
          </w:tcPr>
          <w:p w:rsidR="00923610" w:rsidRDefault="0057247F">
            <w:pPr>
              <w:pStyle w:val="Compact"/>
            </w:pPr>
            <w:r>
              <w:t>16 ( 9.1)</w:t>
            </w:r>
          </w:p>
        </w:tc>
        <w:tc>
          <w:tcPr>
            <w:tcW w:w="0" w:type="auto"/>
          </w:tcPr>
          <w:p w:rsidR="00923610" w:rsidRDefault="0057247F">
            <w:pPr>
              <w:pStyle w:val="Compact"/>
            </w:pPr>
            <w:r>
              <w:t>2176 ( 4.1)</w:t>
            </w:r>
          </w:p>
        </w:tc>
        <w:tc>
          <w:tcPr>
            <w:tcW w:w="0" w:type="auto"/>
          </w:tcPr>
          <w:p w:rsidR="00923610" w:rsidRDefault="0057247F">
            <w:pPr>
              <w:pStyle w:val="Compact"/>
            </w:pPr>
            <w:r>
              <w:t>2192 ( 4.1)</w:t>
            </w:r>
          </w:p>
        </w:tc>
      </w:tr>
      <w:tr w:rsidR="00923610">
        <w:tc>
          <w:tcPr>
            <w:tcW w:w="0" w:type="auto"/>
          </w:tcPr>
          <w:p w:rsidR="00923610" w:rsidRDefault="0057247F">
            <w:pPr>
              <w:pStyle w:val="Compact"/>
            </w:pPr>
            <w:r>
              <w:t>Education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Low</w:t>
            </w:r>
          </w:p>
        </w:tc>
        <w:tc>
          <w:tcPr>
            <w:tcW w:w="0" w:type="auto"/>
          </w:tcPr>
          <w:p w:rsidR="00923610" w:rsidRDefault="0057247F">
            <w:pPr>
              <w:pStyle w:val="Compact"/>
            </w:pPr>
            <w:r>
              <w:t>30 (17.1)</w:t>
            </w:r>
          </w:p>
        </w:tc>
        <w:tc>
          <w:tcPr>
            <w:tcW w:w="0" w:type="auto"/>
          </w:tcPr>
          <w:p w:rsidR="00923610" w:rsidRDefault="0057247F">
            <w:pPr>
              <w:pStyle w:val="Compact"/>
            </w:pPr>
            <w:r>
              <w:t>11615 (21.9)</w:t>
            </w:r>
          </w:p>
        </w:tc>
        <w:tc>
          <w:tcPr>
            <w:tcW w:w="0" w:type="auto"/>
          </w:tcPr>
          <w:p w:rsidR="00923610" w:rsidRDefault="0057247F">
            <w:pPr>
              <w:pStyle w:val="Compact"/>
            </w:pPr>
            <w:r>
              <w:t>11645 (21.9)</w:t>
            </w:r>
          </w:p>
        </w:tc>
      </w:tr>
      <w:tr w:rsidR="00923610">
        <w:tc>
          <w:tcPr>
            <w:tcW w:w="0" w:type="auto"/>
          </w:tcPr>
          <w:p w:rsidR="00923610" w:rsidRDefault="00923610"/>
        </w:tc>
        <w:tc>
          <w:tcPr>
            <w:tcW w:w="0" w:type="auto"/>
          </w:tcPr>
          <w:p w:rsidR="00923610" w:rsidRDefault="0057247F">
            <w:pPr>
              <w:pStyle w:val="Compact"/>
            </w:pPr>
            <w:r>
              <w:t>Middle</w:t>
            </w:r>
          </w:p>
        </w:tc>
        <w:tc>
          <w:tcPr>
            <w:tcW w:w="0" w:type="auto"/>
          </w:tcPr>
          <w:p w:rsidR="00923610" w:rsidRDefault="0057247F">
            <w:pPr>
              <w:pStyle w:val="Compact"/>
            </w:pPr>
            <w:r>
              <w:t>82 (46.9)</w:t>
            </w:r>
          </w:p>
        </w:tc>
        <w:tc>
          <w:tcPr>
            <w:tcW w:w="0" w:type="auto"/>
          </w:tcPr>
          <w:p w:rsidR="00923610" w:rsidRDefault="0057247F">
            <w:pPr>
              <w:pStyle w:val="Compact"/>
            </w:pPr>
            <w:r>
              <w:t>20522 (38.8)</w:t>
            </w:r>
          </w:p>
        </w:tc>
        <w:tc>
          <w:tcPr>
            <w:tcW w:w="0" w:type="auto"/>
          </w:tcPr>
          <w:p w:rsidR="00923610" w:rsidRDefault="0057247F">
            <w:pPr>
              <w:pStyle w:val="Compact"/>
            </w:pPr>
            <w:r>
              <w:t>20604 (38.8)</w:t>
            </w:r>
          </w:p>
        </w:tc>
      </w:tr>
      <w:tr w:rsidR="00923610">
        <w:tc>
          <w:tcPr>
            <w:tcW w:w="0" w:type="auto"/>
          </w:tcPr>
          <w:p w:rsidR="00923610" w:rsidRDefault="00923610"/>
        </w:tc>
        <w:tc>
          <w:tcPr>
            <w:tcW w:w="0" w:type="auto"/>
          </w:tcPr>
          <w:p w:rsidR="00923610" w:rsidRDefault="0057247F">
            <w:pPr>
              <w:pStyle w:val="Compact"/>
            </w:pPr>
            <w:r>
              <w:t>High</w:t>
            </w:r>
          </w:p>
        </w:tc>
        <w:tc>
          <w:tcPr>
            <w:tcW w:w="0" w:type="auto"/>
          </w:tcPr>
          <w:p w:rsidR="00923610" w:rsidRDefault="0057247F">
            <w:pPr>
              <w:pStyle w:val="Compact"/>
            </w:pPr>
            <w:r>
              <w:t>63 (36.0)</w:t>
            </w:r>
          </w:p>
        </w:tc>
        <w:tc>
          <w:tcPr>
            <w:tcW w:w="0" w:type="auto"/>
          </w:tcPr>
          <w:p w:rsidR="00923610" w:rsidRDefault="0057247F">
            <w:pPr>
              <w:pStyle w:val="Compact"/>
            </w:pPr>
            <w:r>
              <w:t>20787 (39.3)</w:t>
            </w:r>
          </w:p>
        </w:tc>
        <w:tc>
          <w:tcPr>
            <w:tcW w:w="0" w:type="auto"/>
          </w:tcPr>
          <w:p w:rsidR="00923610" w:rsidRDefault="0057247F">
            <w:pPr>
              <w:pStyle w:val="Compact"/>
            </w:pPr>
            <w:r>
              <w:t>20850 (39.3)</w:t>
            </w:r>
          </w:p>
        </w:tc>
      </w:tr>
      <w:tr w:rsidR="00923610">
        <w:tc>
          <w:tcPr>
            <w:tcW w:w="0" w:type="auto"/>
          </w:tcPr>
          <w:p w:rsidR="00923610" w:rsidRDefault="0057247F">
            <w:pPr>
              <w:pStyle w:val="Compact"/>
            </w:pPr>
            <w:r>
              <w:t>Civil status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Married</w:t>
            </w:r>
          </w:p>
        </w:tc>
        <w:tc>
          <w:tcPr>
            <w:tcW w:w="0" w:type="auto"/>
          </w:tcPr>
          <w:p w:rsidR="00923610" w:rsidRDefault="0057247F">
            <w:pPr>
              <w:pStyle w:val="Compact"/>
            </w:pPr>
            <w:r>
              <w:t>83 (47.4)</w:t>
            </w:r>
          </w:p>
        </w:tc>
        <w:tc>
          <w:tcPr>
            <w:tcW w:w="0" w:type="auto"/>
          </w:tcPr>
          <w:p w:rsidR="00923610" w:rsidRDefault="0057247F">
            <w:pPr>
              <w:pStyle w:val="Compact"/>
            </w:pPr>
            <w:r>
              <w:t>29353 (55.5)</w:t>
            </w:r>
          </w:p>
        </w:tc>
        <w:tc>
          <w:tcPr>
            <w:tcW w:w="0" w:type="auto"/>
          </w:tcPr>
          <w:p w:rsidR="00923610" w:rsidRDefault="0057247F">
            <w:pPr>
              <w:pStyle w:val="Compact"/>
            </w:pPr>
            <w:r>
              <w:t>29436 (55.4)</w:t>
            </w:r>
          </w:p>
        </w:tc>
      </w:tr>
      <w:tr w:rsidR="00923610">
        <w:tc>
          <w:tcPr>
            <w:tcW w:w="0" w:type="auto"/>
          </w:tcPr>
          <w:p w:rsidR="00923610" w:rsidRDefault="00923610"/>
        </w:tc>
        <w:tc>
          <w:tcPr>
            <w:tcW w:w="0" w:type="auto"/>
          </w:tcPr>
          <w:p w:rsidR="00923610" w:rsidRDefault="0057247F">
            <w:pPr>
              <w:pStyle w:val="Compact"/>
            </w:pPr>
            <w:r>
              <w:t>Single</w:t>
            </w:r>
          </w:p>
        </w:tc>
        <w:tc>
          <w:tcPr>
            <w:tcW w:w="0" w:type="auto"/>
          </w:tcPr>
          <w:p w:rsidR="00923610" w:rsidRDefault="0057247F">
            <w:pPr>
              <w:pStyle w:val="Compact"/>
            </w:pPr>
            <w:r>
              <w:t>38 (21.7)</w:t>
            </w:r>
          </w:p>
        </w:tc>
        <w:tc>
          <w:tcPr>
            <w:tcW w:w="0" w:type="auto"/>
          </w:tcPr>
          <w:p w:rsidR="00923610" w:rsidRDefault="0057247F">
            <w:pPr>
              <w:pStyle w:val="Compact"/>
            </w:pPr>
            <w:r>
              <w:t>12850 (24.3)</w:t>
            </w:r>
          </w:p>
        </w:tc>
        <w:tc>
          <w:tcPr>
            <w:tcW w:w="0" w:type="auto"/>
          </w:tcPr>
          <w:p w:rsidR="00923610" w:rsidRDefault="0057247F">
            <w:pPr>
              <w:pStyle w:val="Compact"/>
            </w:pPr>
            <w:r>
              <w:t>12888 (24.3)</w:t>
            </w:r>
          </w:p>
        </w:tc>
      </w:tr>
      <w:tr w:rsidR="00923610">
        <w:tc>
          <w:tcPr>
            <w:tcW w:w="0" w:type="auto"/>
          </w:tcPr>
          <w:p w:rsidR="00923610" w:rsidRDefault="00923610"/>
        </w:tc>
        <w:tc>
          <w:tcPr>
            <w:tcW w:w="0" w:type="auto"/>
          </w:tcPr>
          <w:p w:rsidR="00923610" w:rsidRDefault="0057247F">
            <w:pPr>
              <w:pStyle w:val="Compact"/>
            </w:pPr>
            <w:r>
              <w:t>Widow/widower</w:t>
            </w:r>
          </w:p>
        </w:tc>
        <w:tc>
          <w:tcPr>
            <w:tcW w:w="0" w:type="auto"/>
          </w:tcPr>
          <w:p w:rsidR="00923610" w:rsidRDefault="0057247F">
            <w:pPr>
              <w:pStyle w:val="Compact"/>
            </w:pPr>
            <w:r>
              <w:t>54 (30.9)</w:t>
            </w:r>
          </w:p>
        </w:tc>
        <w:tc>
          <w:tcPr>
            <w:tcW w:w="0" w:type="auto"/>
          </w:tcPr>
          <w:p w:rsidR="00923610" w:rsidRDefault="0057247F">
            <w:pPr>
              <w:pStyle w:val="Compact"/>
            </w:pPr>
            <w:r>
              <w:t>10721 (20.3)</w:t>
            </w:r>
          </w:p>
        </w:tc>
        <w:tc>
          <w:tcPr>
            <w:tcW w:w="0" w:type="auto"/>
          </w:tcPr>
          <w:p w:rsidR="00923610" w:rsidRDefault="0057247F">
            <w:pPr>
              <w:pStyle w:val="Compact"/>
            </w:pPr>
            <w:r>
              <w:t>10775 (20.3)</w:t>
            </w:r>
          </w:p>
        </w:tc>
      </w:tr>
      <w:tr w:rsidR="00923610">
        <w:tc>
          <w:tcPr>
            <w:tcW w:w="0" w:type="auto"/>
          </w:tcPr>
          <w:p w:rsidR="00923610" w:rsidRDefault="0057247F">
            <w:pPr>
              <w:pStyle w:val="Compact"/>
            </w:pPr>
            <w:proofErr w:type="spellStart"/>
            <w:r>
              <w:t>Charlson</w:t>
            </w:r>
            <w:proofErr w:type="spellEnd"/>
            <w:r>
              <w:t xml:space="preserve">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78 (44.6)</w:t>
            </w:r>
          </w:p>
        </w:tc>
        <w:tc>
          <w:tcPr>
            <w:tcW w:w="0" w:type="auto"/>
          </w:tcPr>
          <w:p w:rsidR="00923610" w:rsidRDefault="0057247F">
            <w:pPr>
              <w:pStyle w:val="Compact"/>
            </w:pPr>
            <w:r>
              <w:t>39178 (74.0)</w:t>
            </w:r>
          </w:p>
        </w:tc>
        <w:tc>
          <w:tcPr>
            <w:tcW w:w="0" w:type="auto"/>
          </w:tcPr>
          <w:p w:rsidR="00923610" w:rsidRDefault="0057247F">
            <w:pPr>
              <w:pStyle w:val="Compact"/>
            </w:pPr>
            <w:r>
              <w:t>39256 (73.9)</w:t>
            </w:r>
          </w:p>
        </w:tc>
      </w:tr>
      <w:tr w:rsidR="00923610">
        <w:tc>
          <w:tcPr>
            <w:tcW w:w="0" w:type="auto"/>
          </w:tcPr>
          <w:p w:rsidR="00923610" w:rsidRDefault="00923610"/>
        </w:tc>
        <w:tc>
          <w:tcPr>
            <w:tcW w:w="0" w:type="auto"/>
          </w:tcPr>
          <w:p w:rsidR="00923610" w:rsidRDefault="0057247F">
            <w:pPr>
              <w:pStyle w:val="Compact"/>
            </w:pPr>
            <w:r>
              <w:t>1</w:t>
            </w:r>
          </w:p>
        </w:tc>
        <w:tc>
          <w:tcPr>
            <w:tcW w:w="0" w:type="auto"/>
          </w:tcPr>
          <w:p w:rsidR="00923610" w:rsidRDefault="0057247F">
            <w:pPr>
              <w:pStyle w:val="Compact"/>
            </w:pPr>
            <w:r>
              <w:t>41 (23.4)</w:t>
            </w:r>
          </w:p>
        </w:tc>
        <w:tc>
          <w:tcPr>
            <w:tcW w:w="0" w:type="auto"/>
          </w:tcPr>
          <w:p w:rsidR="00923610" w:rsidRDefault="0057247F">
            <w:pPr>
              <w:pStyle w:val="Compact"/>
            </w:pPr>
            <w:r>
              <w:t>8076 (15.3)</w:t>
            </w:r>
          </w:p>
        </w:tc>
        <w:tc>
          <w:tcPr>
            <w:tcW w:w="0" w:type="auto"/>
          </w:tcPr>
          <w:p w:rsidR="00923610" w:rsidRDefault="0057247F">
            <w:pPr>
              <w:pStyle w:val="Compact"/>
            </w:pPr>
            <w:r>
              <w:t>8117 (15.3)</w:t>
            </w:r>
          </w:p>
        </w:tc>
      </w:tr>
      <w:tr w:rsidR="00923610">
        <w:tc>
          <w:tcPr>
            <w:tcW w:w="0" w:type="auto"/>
          </w:tcPr>
          <w:p w:rsidR="00923610" w:rsidRDefault="00923610"/>
        </w:tc>
        <w:tc>
          <w:tcPr>
            <w:tcW w:w="0" w:type="auto"/>
          </w:tcPr>
          <w:p w:rsidR="00923610" w:rsidRDefault="0057247F">
            <w:pPr>
              <w:pStyle w:val="Compact"/>
            </w:pPr>
            <w:r>
              <w:t>2</w:t>
            </w:r>
          </w:p>
        </w:tc>
        <w:tc>
          <w:tcPr>
            <w:tcW w:w="0" w:type="auto"/>
          </w:tcPr>
          <w:p w:rsidR="00923610" w:rsidRDefault="0057247F">
            <w:pPr>
              <w:pStyle w:val="Compact"/>
            </w:pPr>
            <w:r>
              <w:t>25 (14.3)</w:t>
            </w:r>
          </w:p>
        </w:tc>
        <w:tc>
          <w:tcPr>
            <w:tcW w:w="0" w:type="auto"/>
          </w:tcPr>
          <w:p w:rsidR="00923610" w:rsidRDefault="0057247F">
            <w:pPr>
              <w:pStyle w:val="Compact"/>
            </w:pPr>
            <w:r>
              <w:t>3737 ( 7.1)</w:t>
            </w:r>
          </w:p>
        </w:tc>
        <w:tc>
          <w:tcPr>
            <w:tcW w:w="0" w:type="auto"/>
          </w:tcPr>
          <w:p w:rsidR="00923610" w:rsidRDefault="0057247F">
            <w:pPr>
              <w:pStyle w:val="Compact"/>
            </w:pPr>
            <w:r>
              <w:t>3762 ( 7.1)</w:t>
            </w:r>
          </w:p>
        </w:tc>
      </w:tr>
      <w:tr w:rsidR="00923610">
        <w:tc>
          <w:tcPr>
            <w:tcW w:w="0" w:type="auto"/>
          </w:tcPr>
          <w:p w:rsidR="00923610" w:rsidRDefault="00923610"/>
        </w:tc>
        <w:tc>
          <w:tcPr>
            <w:tcW w:w="0" w:type="auto"/>
          </w:tcPr>
          <w:p w:rsidR="00923610" w:rsidRDefault="0057247F">
            <w:pPr>
              <w:pStyle w:val="Compact"/>
            </w:pPr>
            <w:r>
              <w:t>3</w:t>
            </w:r>
          </w:p>
        </w:tc>
        <w:tc>
          <w:tcPr>
            <w:tcW w:w="0" w:type="auto"/>
          </w:tcPr>
          <w:p w:rsidR="00923610" w:rsidRDefault="0057247F">
            <w:pPr>
              <w:pStyle w:val="Compact"/>
            </w:pPr>
            <w:r>
              <w:t>12 ( 6.9)</w:t>
            </w:r>
          </w:p>
        </w:tc>
        <w:tc>
          <w:tcPr>
            <w:tcW w:w="0" w:type="auto"/>
          </w:tcPr>
          <w:p w:rsidR="00923610" w:rsidRDefault="0057247F">
            <w:pPr>
              <w:pStyle w:val="Compact"/>
            </w:pPr>
            <w:r>
              <w:t>1164 ( 2.2)</w:t>
            </w:r>
          </w:p>
        </w:tc>
        <w:tc>
          <w:tcPr>
            <w:tcW w:w="0" w:type="auto"/>
          </w:tcPr>
          <w:p w:rsidR="00923610" w:rsidRDefault="0057247F">
            <w:pPr>
              <w:pStyle w:val="Compact"/>
            </w:pPr>
            <w:r>
              <w:t>1176 ( 2.2)</w:t>
            </w:r>
          </w:p>
        </w:tc>
      </w:tr>
      <w:tr w:rsidR="00923610">
        <w:tc>
          <w:tcPr>
            <w:tcW w:w="0" w:type="auto"/>
          </w:tcPr>
          <w:p w:rsidR="00923610" w:rsidRDefault="00923610"/>
        </w:tc>
        <w:tc>
          <w:tcPr>
            <w:tcW w:w="0" w:type="auto"/>
          </w:tcPr>
          <w:p w:rsidR="00923610" w:rsidRDefault="0057247F">
            <w:pPr>
              <w:pStyle w:val="Compact"/>
            </w:pPr>
            <w:r>
              <w:t>4+</w:t>
            </w:r>
          </w:p>
        </w:tc>
        <w:tc>
          <w:tcPr>
            <w:tcW w:w="0" w:type="auto"/>
          </w:tcPr>
          <w:p w:rsidR="00923610" w:rsidRDefault="0057247F">
            <w:pPr>
              <w:pStyle w:val="Compact"/>
            </w:pPr>
            <w:r>
              <w:t>19 (10.9)</w:t>
            </w:r>
          </w:p>
        </w:tc>
        <w:tc>
          <w:tcPr>
            <w:tcW w:w="0" w:type="auto"/>
          </w:tcPr>
          <w:p w:rsidR="00923610" w:rsidRDefault="0057247F">
            <w:pPr>
              <w:pStyle w:val="Compact"/>
            </w:pPr>
            <w:r>
              <w:t>769 ( 1.5)</w:t>
            </w:r>
          </w:p>
        </w:tc>
        <w:tc>
          <w:tcPr>
            <w:tcW w:w="0" w:type="auto"/>
          </w:tcPr>
          <w:p w:rsidR="00923610" w:rsidRDefault="0057247F">
            <w:pPr>
              <w:pStyle w:val="Compact"/>
            </w:pPr>
            <w:r>
              <w:t>788 ( 1.5)</w:t>
            </w:r>
          </w:p>
        </w:tc>
      </w:tr>
      <w:tr w:rsidR="00923610">
        <w:tc>
          <w:tcPr>
            <w:tcW w:w="0" w:type="auto"/>
          </w:tcPr>
          <w:p w:rsidR="00923610" w:rsidRDefault="0057247F">
            <w:pPr>
              <w:pStyle w:val="Compact"/>
            </w:pPr>
            <w:proofErr w:type="spellStart"/>
            <w:r>
              <w:t>Elixhauser</w:t>
            </w:r>
            <w:proofErr w:type="spellEnd"/>
            <w:r>
              <w:t xml:space="preserve"> (%)</w:t>
            </w:r>
          </w:p>
        </w:tc>
        <w:tc>
          <w:tcPr>
            <w:tcW w:w="0" w:type="auto"/>
          </w:tcPr>
          <w:p w:rsidR="00923610" w:rsidRDefault="00923610"/>
        </w:tc>
        <w:tc>
          <w:tcPr>
            <w:tcW w:w="0" w:type="auto"/>
          </w:tcPr>
          <w:p w:rsidR="00923610" w:rsidRDefault="00923610"/>
        </w:tc>
        <w:tc>
          <w:tcPr>
            <w:tcW w:w="0" w:type="auto"/>
          </w:tcPr>
          <w:p w:rsidR="00923610" w:rsidRDefault="00923610"/>
        </w:tc>
        <w:tc>
          <w:tcPr>
            <w:tcW w:w="0" w:type="auto"/>
          </w:tcPr>
          <w:p w:rsidR="00923610" w:rsidRDefault="00923610"/>
        </w:tc>
      </w:tr>
      <w:tr w:rsidR="00923610">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56 (32.0)</w:t>
            </w:r>
          </w:p>
        </w:tc>
        <w:tc>
          <w:tcPr>
            <w:tcW w:w="0" w:type="auto"/>
          </w:tcPr>
          <w:p w:rsidR="00923610" w:rsidRDefault="0057247F">
            <w:pPr>
              <w:pStyle w:val="Compact"/>
            </w:pPr>
            <w:r>
              <w:t>27717 (52.4)</w:t>
            </w:r>
          </w:p>
        </w:tc>
        <w:tc>
          <w:tcPr>
            <w:tcW w:w="0" w:type="auto"/>
          </w:tcPr>
          <w:p w:rsidR="00923610" w:rsidRDefault="0057247F">
            <w:pPr>
              <w:pStyle w:val="Compact"/>
            </w:pPr>
            <w:r>
              <w:t>27773 (52.3)</w:t>
            </w:r>
          </w:p>
        </w:tc>
      </w:tr>
      <w:tr w:rsidR="00923610">
        <w:tc>
          <w:tcPr>
            <w:tcW w:w="0" w:type="auto"/>
          </w:tcPr>
          <w:p w:rsidR="00923610" w:rsidRDefault="00923610"/>
        </w:tc>
        <w:tc>
          <w:tcPr>
            <w:tcW w:w="0" w:type="auto"/>
          </w:tcPr>
          <w:p w:rsidR="00923610" w:rsidRDefault="0057247F">
            <w:pPr>
              <w:pStyle w:val="Compact"/>
            </w:pPr>
            <w:r>
              <w:t>1</w:t>
            </w:r>
          </w:p>
        </w:tc>
        <w:tc>
          <w:tcPr>
            <w:tcW w:w="0" w:type="auto"/>
          </w:tcPr>
          <w:p w:rsidR="00923610" w:rsidRDefault="0057247F">
            <w:pPr>
              <w:pStyle w:val="Compact"/>
            </w:pPr>
            <w:r>
              <w:t>46 (26.3)</w:t>
            </w:r>
          </w:p>
        </w:tc>
        <w:tc>
          <w:tcPr>
            <w:tcW w:w="0" w:type="auto"/>
          </w:tcPr>
          <w:p w:rsidR="00923610" w:rsidRDefault="0057247F">
            <w:pPr>
              <w:pStyle w:val="Compact"/>
            </w:pPr>
            <w:r>
              <w:t>13720 (25.9)</w:t>
            </w:r>
          </w:p>
        </w:tc>
        <w:tc>
          <w:tcPr>
            <w:tcW w:w="0" w:type="auto"/>
          </w:tcPr>
          <w:p w:rsidR="00923610" w:rsidRDefault="0057247F">
            <w:pPr>
              <w:pStyle w:val="Compact"/>
            </w:pPr>
            <w:r>
              <w:t>13766 (25.9)</w:t>
            </w:r>
          </w:p>
        </w:tc>
      </w:tr>
      <w:tr w:rsidR="00923610">
        <w:tc>
          <w:tcPr>
            <w:tcW w:w="0" w:type="auto"/>
          </w:tcPr>
          <w:p w:rsidR="00923610" w:rsidRDefault="00923610"/>
        </w:tc>
        <w:tc>
          <w:tcPr>
            <w:tcW w:w="0" w:type="auto"/>
          </w:tcPr>
          <w:p w:rsidR="00923610" w:rsidRDefault="0057247F">
            <w:pPr>
              <w:pStyle w:val="Compact"/>
            </w:pPr>
            <w:r>
              <w:t>2</w:t>
            </w:r>
          </w:p>
        </w:tc>
        <w:tc>
          <w:tcPr>
            <w:tcW w:w="0" w:type="auto"/>
          </w:tcPr>
          <w:p w:rsidR="00923610" w:rsidRDefault="0057247F">
            <w:pPr>
              <w:pStyle w:val="Compact"/>
            </w:pPr>
            <w:r>
              <w:t>31 (17.7)</w:t>
            </w:r>
          </w:p>
        </w:tc>
        <w:tc>
          <w:tcPr>
            <w:tcW w:w="0" w:type="auto"/>
          </w:tcPr>
          <w:p w:rsidR="00923610" w:rsidRDefault="0057247F">
            <w:pPr>
              <w:pStyle w:val="Compact"/>
            </w:pPr>
            <w:r>
              <w:t>7208 (13.6)</w:t>
            </w:r>
          </w:p>
        </w:tc>
        <w:tc>
          <w:tcPr>
            <w:tcW w:w="0" w:type="auto"/>
          </w:tcPr>
          <w:p w:rsidR="00923610" w:rsidRDefault="0057247F">
            <w:pPr>
              <w:pStyle w:val="Compact"/>
            </w:pPr>
            <w:r>
              <w:t>7239 (13.6)</w:t>
            </w:r>
          </w:p>
        </w:tc>
      </w:tr>
      <w:tr w:rsidR="00923610">
        <w:tc>
          <w:tcPr>
            <w:tcW w:w="0" w:type="auto"/>
          </w:tcPr>
          <w:p w:rsidR="00923610" w:rsidRDefault="00923610"/>
        </w:tc>
        <w:tc>
          <w:tcPr>
            <w:tcW w:w="0" w:type="auto"/>
          </w:tcPr>
          <w:p w:rsidR="00923610" w:rsidRDefault="0057247F">
            <w:pPr>
              <w:pStyle w:val="Compact"/>
            </w:pPr>
            <w:r>
              <w:t>3+</w:t>
            </w:r>
          </w:p>
        </w:tc>
        <w:tc>
          <w:tcPr>
            <w:tcW w:w="0" w:type="auto"/>
          </w:tcPr>
          <w:p w:rsidR="00923610" w:rsidRDefault="0057247F">
            <w:pPr>
              <w:pStyle w:val="Compact"/>
            </w:pPr>
            <w:r>
              <w:t>42 (24.0)</w:t>
            </w:r>
          </w:p>
        </w:tc>
        <w:tc>
          <w:tcPr>
            <w:tcW w:w="0" w:type="auto"/>
          </w:tcPr>
          <w:p w:rsidR="00923610" w:rsidRDefault="0057247F">
            <w:pPr>
              <w:pStyle w:val="Compact"/>
            </w:pPr>
            <w:r>
              <w:t>4279 ( 8.1)</w:t>
            </w:r>
          </w:p>
        </w:tc>
        <w:tc>
          <w:tcPr>
            <w:tcW w:w="0" w:type="auto"/>
          </w:tcPr>
          <w:p w:rsidR="00923610" w:rsidRDefault="0057247F">
            <w:pPr>
              <w:pStyle w:val="Compact"/>
            </w:pPr>
            <w:r>
              <w:t>4321 ( 8.1)</w:t>
            </w:r>
          </w:p>
        </w:tc>
      </w:tr>
      <w:tr w:rsidR="00923610">
        <w:tc>
          <w:tcPr>
            <w:tcW w:w="0" w:type="auto"/>
          </w:tcPr>
          <w:p w:rsidR="00923610" w:rsidRDefault="0057247F">
            <w:pPr>
              <w:pStyle w:val="Compact"/>
            </w:pPr>
            <w:r>
              <w:t>AIDS/HIV (%)</w:t>
            </w:r>
          </w:p>
        </w:tc>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5 ( &lt;0.1)</w:t>
            </w:r>
          </w:p>
        </w:tc>
        <w:tc>
          <w:tcPr>
            <w:tcW w:w="0" w:type="auto"/>
          </w:tcPr>
          <w:p w:rsidR="00923610" w:rsidRDefault="0057247F">
            <w:pPr>
              <w:pStyle w:val="Compact"/>
            </w:pPr>
            <w:r>
              <w:t>5 ( 0.0)</w:t>
            </w:r>
          </w:p>
        </w:tc>
      </w:tr>
      <w:tr w:rsidR="00923610">
        <w:tc>
          <w:tcPr>
            <w:tcW w:w="0" w:type="auto"/>
          </w:tcPr>
          <w:p w:rsidR="00923610" w:rsidRDefault="0057247F">
            <w:pPr>
              <w:pStyle w:val="Compact"/>
            </w:pPr>
            <w:r>
              <w:t>Anemia (%)</w:t>
            </w:r>
          </w:p>
        </w:tc>
        <w:tc>
          <w:tcPr>
            <w:tcW w:w="0" w:type="auto"/>
          </w:tcPr>
          <w:p w:rsidR="00923610" w:rsidRDefault="00923610"/>
        </w:tc>
        <w:tc>
          <w:tcPr>
            <w:tcW w:w="0" w:type="auto"/>
          </w:tcPr>
          <w:p w:rsidR="00923610" w:rsidRDefault="0057247F">
            <w:pPr>
              <w:pStyle w:val="Compact"/>
            </w:pPr>
            <w:r>
              <w:t>4 ( 2.3)</w:t>
            </w:r>
          </w:p>
        </w:tc>
        <w:tc>
          <w:tcPr>
            <w:tcW w:w="0" w:type="auto"/>
          </w:tcPr>
          <w:p w:rsidR="00923610" w:rsidRDefault="0057247F">
            <w:pPr>
              <w:pStyle w:val="Compact"/>
            </w:pPr>
            <w:r>
              <w:t>412 ( 0.8)</w:t>
            </w:r>
          </w:p>
        </w:tc>
        <w:tc>
          <w:tcPr>
            <w:tcW w:w="0" w:type="auto"/>
          </w:tcPr>
          <w:p w:rsidR="00923610" w:rsidRDefault="0057247F">
            <w:pPr>
              <w:pStyle w:val="Compact"/>
            </w:pPr>
            <w:r>
              <w:t>416 ( 0.8)</w:t>
            </w:r>
          </w:p>
        </w:tc>
      </w:tr>
      <w:tr w:rsidR="00923610">
        <w:tc>
          <w:tcPr>
            <w:tcW w:w="0" w:type="auto"/>
          </w:tcPr>
          <w:p w:rsidR="00923610" w:rsidRDefault="0057247F">
            <w:pPr>
              <w:pStyle w:val="Compact"/>
            </w:pPr>
            <w:r>
              <w:t>Arrhythmia (%)</w:t>
            </w:r>
          </w:p>
        </w:tc>
        <w:tc>
          <w:tcPr>
            <w:tcW w:w="0" w:type="auto"/>
          </w:tcPr>
          <w:p w:rsidR="00923610" w:rsidRDefault="00923610"/>
        </w:tc>
        <w:tc>
          <w:tcPr>
            <w:tcW w:w="0" w:type="auto"/>
          </w:tcPr>
          <w:p w:rsidR="00923610" w:rsidRDefault="0057247F">
            <w:pPr>
              <w:pStyle w:val="Compact"/>
            </w:pPr>
            <w:r>
              <w:t>32 (18.3)</w:t>
            </w:r>
          </w:p>
        </w:tc>
        <w:tc>
          <w:tcPr>
            <w:tcW w:w="0" w:type="auto"/>
          </w:tcPr>
          <w:p w:rsidR="00923610" w:rsidRDefault="0057247F">
            <w:pPr>
              <w:pStyle w:val="Compact"/>
            </w:pPr>
            <w:r>
              <w:t>4473 ( 8.5)</w:t>
            </w:r>
          </w:p>
        </w:tc>
        <w:tc>
          <w:tcPr>
            <w:tcW w:w="0" w:type="auto"/>
          </w:tcPr>
          <w:p w:rsidR="00923610" w:rsidRDefault="0057247F">
            <w:pPr>
              <w:pStyle w:val="Compact"/>
            </w:pPr>
            <w:r>
              <w:t>4505 ( 8.5)</w:t>
            </w:r>
          </w:p>
        </w:tc>
      </w:tr>
      <w:tr w:rsidR="00923610">
        <w:tc>
          <w:tcPr>
            <w:tcW w:w="0" w:type="auto"/>
          </w:tcPr>
          <w:p w:rsidR="00923610" w:rsidRDefault="0057247F">
            <w:pPr>
              <w:pStyle w:val="Compact"/>
            </w:pPr>
            <w:r>
              <w:t>Arterial hypertension (%)</w:t>
            </w:r>
          </w:p>
        </w:tc>
        <w:tc>
          <w:tcPr>
            <w:tcW w:w="0" w:type="auto"/>
          </w:tcPr>
          <w:p w:rsidR="00923610" w:rsidRDefault="00923610"/>
        </w:tc>
        <w:tc>
          <w:tcPr>
            <w:tcW w:w="0" w:type="auto"/>
          </w:tcPr>
          <w:p w:rsidR="00923610" w:rsidRDefault="0057247F">
            <w:pPr>
              <w:pStyle w:val="Compact"/>
            </w:pPr>
            <w:r>
              <w:t>70 (4&lt;0.1)</w:t>
            </w:r>
          </w:p>
        </w:tc>
        <w:tc>
          <w:tcPr>
            <w:tcW w:w="0" w:type="auto"/>
          </w:tcPr>
          <w:p w:rsidR="00923610" w:rsidRDefault="0057247F">
            <w:pPr>
              <w:pStyle w:val="Compact"/>
            </w:pPr>
            <w:r>
              <w:t>16607 (31.4)</w:t>
            </w:r>
          </w:p>
        </w:tc>
        <w:tc>
          <w:tcPr>
            <w:tcW w:w="0" w:type="auto"/>
          </w:tcPr>
          <w:p w:rsidR="00923610" w:rsidRDefault="0057247F">
            <w:pPr>
              <w:pStyle w:val="Compact"/>
            </w:pPr>
            <w:r>
              <w:t>16677 (31.4)</w:t>
            </w:r>
          </w:p>
        </w:tc>
      </w:tr>
      <w:tr w:rsidR="00923610">
        <w:tc>
          <w:tcPr>
            <w:tcW w:w="0" w:type="auto"/>
          </w:tcPr>
          <w:p w:rsidR="00923610" w:rsidRDefault="0057247F">
            <w:pPr>
              <w:pStyle w:val="Compact"/>
            </w:pPr>
            <w:r>
              <w:t>Cancer (%)</w:t>
            </w:r>
          </w:p>
        </w:tc>
        <w:tc>
          <w:tcPr>
            <w:tcW w:w="0" w:type="auto"/>
          </w:tcPr>
          <w:p w:rsidR="00923610" w:rsidRDefault="00923610"/>
        </w:tc>
        <w:tc>
          <w:tcPr>
            <w:tcW w:w="0" w:type="auto"/>
          </w:tcPr>
          <w:p w:rsidR="00923610" w:rsidRDefault="0057247F">
            <w:pPr>
              <w:pStyle w:val="Compact"/>
            </w:pPr>
            <w:r>
              <w:t>26 (14.9)</w:t>
            </w:r>
          </w:p>
        </w:tc>
        <w:tc>
          <w:tcPr>
            <w:tcW w:w="0" w:type="auto"/>
          </w:tcPr>
          <w:p w:rsidR="00923610" w:rsidRDefault="0057247F">
            <w:pPr>
              <w:pStyle w:val="Compact"/>
            </w:pPr>
            <w:r>
              <w:t>2689 ( 5.1)</w:t>
            </w:r>
          </w:p>
        </w:tc>
        <w:tc>
          <w:tcPr>
            <w:tcW w:w="0" w:type="auto"/>
          </w:tcPr>
          <w:p w:rsidR="00923610" w:rsidRDefault="0057247F">
            <w:pPr>
              <w:pStyle w:val="Compact"/>
            </w:pPr>
            <w:r>
              <w:t>2715 ( 5.1)</w:t>
            </w:r>
          </w:p>
        </w:tc>
      </w:tr>
      <w:tr w:rsidR="00923610">
        <w:tc>
          <w:tcPr>
            <w:tcW w:w="0" w:type="auto"/>
          </w:tcPr>
          <w:p w:rsidR="00923610" w:rsidRDefault="0057247F">
            <w:pPr>
              <w:pStyle w:val="Compact"/>
            </w:pPr>
            <w:r>
              <w:t>CNS disease (%)</w:t>
            </w:r>
          </w:p>
        </w:tc>
        <w:tc>
          <w:tcPr>
            <w:tcW w:w="0" w:type="auto"/>
          </w:tcPr>
          <w:p w:rsidR="00923610" w:rsidRDefault="00923610"/>
        </w:tc>
        <w:tc>
          <w:tcPr>
            <w:tcW w:w="0" w:type="auto"/>
          </w:tcPr>
          <w:p w:rsidR="00923610" w:rsidRDefault="0057247F">
            <w:pPr>
              <w:pStyle w:val="Compact"/>
            </w:pPr>
            <w:r>
              <w:t>14 ( 8.0)</w:t>
            </w:r>
          </w:p>
        </w:tc>
        <w:tc>
          <w:tcPr>
            <w:tcW w:w="0" w:type="auto"/>
          </w:tcPr>
          <w:p w:rsidR="00923610" w:rsidRDefault="0057247F">
            <w:pPr>
              <w:pStyle w:val="Compact"/>
            </w:pPr>
            <w:r>
              <w:t>1668 ( 3.2)</w:t>
            </w:r>
          </w:p>
        </w:tc>
        <w:tc>
          <w:tcPr>
            <w:tcW w:w="0" w:type="auto"/>
          </w:tcPr>
          <w:p w:rsidR="00923610" w:rsidRDefault="0057247F">
            <w:pPr>
              <w:pStyle w:val="Compact"/>
            </w:pPr>
            <w:r>
              <w:t>1682 ( 3.2)</w:t>
            </w:r>
          </w:p>
        </w:tc>
      </w:tr>
      <w:tr w:rsidR="00923610">
        <w:tc>
          <w:tcPr>
            <w:tcW w:w="0" w:type="auto"/>
          </w:tcPr>
          <w:p w:rsidR="00923610" w:rsidRDefault="0057247F">
            <w:pPr>
              <w:pStyle w:val="Compact"/>
            </w:pPr>
            <w:r>
              <w:t>Coagulopathy (%)</w:t>
            </w:r>
          </w:p>
        </w:tc>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192 ( 0.4)</w:t>
            </w:r>
          </w:p>
        </w:tc>
        <w:tc>
          <w:tcPr>
            <w:tcW w:w="0" w:type="auto"/>
          </w:tcPr>
          <w:p w:rsidR="00923610" w:rsidRDefault="0057247F">
            <w:pPr>
              <w:pStyle w:val="Compact"/>
            </w:pPr>
            <w:r>
              <w:t>192 ( 0.4)</w:t>
            </w:r>
          </w:p>
        </w:tc>
      </w:tr>
      <w:tr w:rsidR="00923610">
        <w:tc>
          <w:tcPr>
            <w:tcW w:w="0" w:type="auto"/>
          </w:tcPr>
          <w:p w:rsidR="00923610" w:rsidRDefault="0057247F">
            <w:pPr>
              <w:pStyle w:val="Compact"/>
            </w:pPr>
            <w:r>
              <w:t>Diabetes (%)</w:t>
            </w:r>
          </w:p>
        </w:tc>
        <w:tc>
          <w:tcPr>
            <w:tcW w:w="0" w:type="auto"/>
          </w:tcPr>
          <w:p w:rsidR="00923610" w:rsidRDefault="00923610"/>
        </w:tc>
        <w:tc>
          <w:tcPr>
            <w:tcW w:w="0" w:type="auto"/>
          </w:tcPr>
          <w:p w:rsidR="00923610" w:rsidRDefault="0057247F">
            <w:pPr>
              <w:pStyle w:val="Compact"/>
            </w:pPr>
            <w:r>
              <w:t>26 (14.9)</w:t>
            </w:r>
          </w:p>
        </w:tc>
        <w:tc>
          <w:tcPr>
            <w:tcW w:w="0" w:type="auto"/>
          </w:tcPr>
          <w:p w:rsidR="00923610" w:rsidRDefault="0057247F">
            <w:pPr>
              <w:pStyle w:val="Compact"/>
            </w:pPr>
            <w:r>
              <w:t>4051 ( 7.7)</w:t>
            </w:r>
          </w:p>
        </w:tc>
        <w:tc>
          <w:tcPr>
            <w:tcW w:w="0" w:type="auto"/>
          </w:tcPr>
          <w:p w:rsidR="00923610" w:rsidRDefault="0057247F">
            <w:pPr>
              <w:pStyle w:val="Compact"/>
            </w:pPr>
            <w:r>
              <w:t>4077 ( 7.7)</w:t>
            </w:r>
          </w:p>
        </w:tc>
      </w:tr>
      <w:tr w:rsidR="00923610">
        <w:tc>
          <w:tcPr>
            <w:tcW w:w="0" w:type="auto"/>
          </w:tcPr>
          <w:p w:rsidR="00923610" w:rsidRDefault="0057247F">
            <w:pPr>
              <w:pStyle w:val="Compact"/>
            </w:pPr>
            <w:r>
              <w:t>Drug alcohol abuse (%)</w:t>
            </w:r>
          </w:p>
        </w:tc>
        <w:tc>
          <w:tcPr>
            <w:tcW w:w="0" w:type="auto"/>
          </w:tcPr>
          <w:p w:rsidR="00923610" w:rsidRDefault="00923610"/>
        </w:tc>
        <w:tc>
          <w:tcPr>
            <w:tcW w:w="0" w:type="auto"/>
          </w:tcPr>
          <w:p w:rsidR="00923610" w:rsidRDefault="0057247F">
            <w:pPr>
              <w:pStyle w:val="Compact"/>
            </w:pPr>
            <w:r>
              <w:t>1 ( 0.6)</w:t>
            </w:r>
          </w:p>
        </w:tc>
        <w:tc>
          <w:tcPr>
            <w:tcW w:w="0" w:type="auto"/>
          </w:tcPr>
          <w:p w:rsidR="00923610" w:rsidRDefault="0057247F">
            <w:pPr>
              <w:pStyle w:val="Compact"/>
            </w:pPr>
            <w:r>
              <w:t>222 ( 0.4)</w:t>
            </w:r>
          </w:p>
        </w:tc>
        <w:tc>
          <w:tcPr>
            <w:tcW w:w="0" w:type="auto"/>
          </w:tcPr>
          <w:p w:rsidR="00923610" w:rsidRDefault="0057247F">
            <w:pPr>
              <w:pStyle w:val="Compact"/>
            </w:pPr>
            <w:r>
              <w:t>223 ( 0.4)</w:t>
            </w:r>
          </w:p>
        </w:tc>
      </w:tr>
      <w:tr w:rsidR="00923610">
        <w:tc>
          <w:tcPr>
            <w:tcW w:w="0" w:type="auto"/>
          </w:tcPr>
          <w:p w:rsidR="00923610" w:rsidRDefault="0057247F">
            <w:pPr>
              <w:pStyle w:val="Compact"/>
            </w:pPr>
            <w:r>
              <w:t>Fluid electrolyte disorders (%)</w:t>
            </w:r>
          </w:p>
        </w:tc>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304 ( 0.6)</w:t>
            </w:r>
          </w:p>
        </w:tc>
        <w:tc>
          <w:tcPr>
            <w:tcW w:w="0" w:type="auto"/>
          </w:tcPr>
          <w:p w:rsidR="00923610" w:rsidRDefault="0057247F">
            <w:pPr>
              <w:pStyle w:val="Compact"/>
            </w:pPr>
            <w:r>
              <w:t>304 ( 0.6)</w:t>
            </w:r>
          </w:p>
        </w:tc>
      </w:tr>
      <w:tr w:rsidR="00923610">
        <w:tc>
          <w:tcPr>
            <w:tcW w:w="0" w:type="auto"/>
          </w:tcPr>
          <w:p w:rsidR="00923610" w:rsidRDefault="0057247F">
            <w:pPr>
              <w:pStyle w:val="Compact"/>
            </w:pPr>
            <w:r>
              <w:t>Heart condition (%)</w:t>
            </w:r>
          </w:p>
        </w:tc>
        <w:tc>
          <w:tcPr>
            <w:tcW w:w="0" w:type="auto"/>
          </w:tcPr>
          <w:p w:rsidR="00923610" w:rsidRDefault="00923610"/>
        </w:tc>
        <w:tc>
          <w:tcPr>
            <w:tcW w:w="0" w:type="auto"/>
          </w:tcPr>
          <w:p w:rsidR="00923610" w:rsidRDefault="0057247F">
            <w:pPr>
              <w:pStyle w:val="Compact"/>
            </w:pPr>
            <w:r>
              <w:t>31 (17.7)</w:t>
            </w:r>
          </w:p>
        </w:tc>
        <w:tc>
          <w:tcPr>
            <w:tcW w:w="0" w:type="auto"/>
          </w:tcPr>
          <w:p w:rsidR="00923610" w:rsidRDefault="0057247F">
            <w:pPr>
              <w:pStyle w:val="Compact"/>
            </w:pPr>
            <w:r>
              <w:t>2608 ( 4.9)</w:t>
            </w:r>
          </w:p>
        </w:tc>
        <w:tc>
          <w:tcPr>
            <w:tcW w:w="0" w:type="auto"/>
          </w:tcPr>
          <w:p w:rsidR="00923610" w:rsidRDefault="0057247F">
            <w:pPr>
              <w:pStyle w:val="Compact"/>
            </w:pPr>
            <w:r>
              <w:t>2639 ( 5.0)</w:t>
            </w:r>
          </w:p>
        </w:tc>
      </w:tr>
      <w:tr w:rsidR="00923610">
        <w:tc>
          <w:tcPr>
            <w:tcW w:w="0" w:type="auto"/>
          </w:tcPr>
          <w:p w:rsidR="00923610" w:rsidRDefault="0057247F">
            <w:pPr>
              <w:pStyle w:val="Compact"/>
            </w:pPr>
            <w:r>
              <w:t>Heart infarct (%)</w:t>
            </w:r>
          </w:p>
        </w:tc>
        <w:tc>
          <w:tcPr>
            <w:tcW w:w="0" w:type="auto"/>
          </w:tcPr>
          <w:p w:rsidR="00923610" w:rsidRDefault="00923610"/>
        </w:tc>
        <w:tc>
          <w:tcPr>
            <w:tcW w:w="0" w:type="auto"/>
          </w:tcPr>
          <w:p w:rsidR="00923610" w:rsidRDefault="0057247F">
            <w:pPr>
              <w:pStyle w:val="Compact"/>
            </w:pPr>
            <w:r>
              <w:t>23 (13.1)</w:t>
            </w:r>
          </w:p>
        </w:tc>
        <w:tc>
          <w:tcPr>
            <w:tcW w:w="0" w:type="auto"/>
          </w:tcPr>
          <w:p w:rsidR="00923610" w:rsidRDefault="0057247F">
            <w:pPr>
              <w:pStyle w:val="Compact"/>
            </w:pPr>
            <w:r>
              <w:t>2163 ( 4.1)</w:t>
            </w:r>
          </w:p>
        </w:tc>
        <w:tc>
          <w:tcPr>
            <w:tcW w:w="0" w:type="auto"/>
          </w:tcPr>
          <w:p w:rsidR="00923610" w:rsidRDefault="0057247F">
            <w:pPr>
              <w:pStyle w:val="Compact"/>
            </w:pPr>
            <w:r>
              <w:t>2186 ( 4.1)</w:t>
            </w:r>
          </w:p>
        </w:tc>
      </w:tr>
      <w:tr w:rsidR="00923610">
        <w:tc>
          <w:tcPr>
            <w:tcW w:w="0" w:type="auto"/>
          </w:tcPr>
          <w:p w:rsidR="00923610" w:rsidRDefault="0057247F">
            <w:pPr>
              <w:pStyle w:val="Compact"/>
            </w:pPr>
            <w:r>
              <w:t>Hypothyroidism (%)</w:t>
            </w:r>
          </w:p>
        </w:tc>
        <w:tc>
          <w:tcPr>
            <w:tcW w:w="0" w:type="auto"/>
          </w:tcPr>
          <w:p w:rsidR="00923610" w:rsidRDefault="00923610"/>
        </w:tc>
        <w:tc>
          <w:tcPr>
            <w:tcW w:w="0" w:type="auto"/>
          </w:tcPr>
          <w:p w:rsidR="00923610" w:rsidRDefault="0057247F">
            <w:pPr>
              <w:pStyle w:val="Compact"/>
            </w:pPr>
            <w:r>
              <w:t>7 ( 4.0)</w:t>
            </w:r>
          </w:p>
        </w:tc>
        <w:tc>
          <w:tcPr>
            <w:tcW w:w="0" w:type="auto"/>
          </w:tcPr>
          <w:p w:rsidR="00923610" w:rsidRDefault="0057247F">
            <w:pPr>
              <w:pStyle w:val="Compact"/>
            </w:pPr>
            <w:r>
              <w:t>1784 ( 3.4)</w:t>
            </w:r>
          </w:p>
        </w:tc>
        <w:tc>
          <w:tcPr>
            <w:tcW w:w="0" w:type="auto"/>
          </w:tcPr>
          <w:p w:rsidR="00923610" w:rsidRDefault="0057247F">
            <w:pPr>
              <w:pStyle w:val="Compact"/>
            </w:pPr>
            <w:r>
              <w:t>1791 ( 3.4)</w:t>
            </w:r>
          </w:p>
        </w:tc>
      </w:tr>
      <w:tr w:rsidR="00923610">
        <w:tc>
          <w:tcPr>
            <w:tcW w:w="0" w:type="auto"/>
          </w:tcPr>
          <w:p w:rsidR="00923610" w:rsidRDefault="0057247F">
            <w:pPr>
              <w:pStyle w:val="Compact"/>
            </w:pPr>
            <w:r>
              <w:t>Kidney disease (%)</w:t>
            </w:r>
          </w:p>
        </w:tc>
        <w:tc>
          <w:tcPr>
            <w:tcW w:w="0" w:type="auto"/>
          </w:tcPr>
          <w:p w:rsidR="00923610" w:rsidRDefault="00923610"/>
        </w:tc>
        <w:tc>
          <w:tcPr>
            <w:tcW w:w="0" w:type="auto"/>
          </w:tcPr>
          <w:p w:rsidR="00923610" w:rsidRDefault="0057247F">
            <w:pPr>
              <w:pStyle w:val="Compact"/>
            </w:pPr>
            <w:r>
              <w:t>14 ( 8.0)</w:t>
            </w:r>
          </w:p>
        </w:tc>
        <w:tc>
          <w:tcPr>
            <w:tcW w:w="0" w:type="auto"/>
          </w:tcPr>
          <w:p w:rsidR="00923610" w:rsidRDefault="0057247F">
            <w:pPr>
              <w:pStyle w:val="Compact"/>
            </w:pPr>
            <w:r>
              <w:t>537 ( 1.0)</w:t>
            </w:r>
          </w:p>
        </w:tc>
        <w:tc>
          <w:tcPr>
            <w:tcW w:w="0" w:type="auto"/>
          </w:tcPr>
          <w:p w:rsidR="00923610" w:rsidRDefault="0057247F">
            <w:pPr>
              <w:pStyle w:val="Compact"/>
            </w:pPr>
            <w:r>
              <w:t>551 ( 1.0)</w:t>
            </w:r>
          </w:p>
        </w:tc>
      </w:tr>
      <w:tr w:rsidR="00923610">
        <w:tc>
          <w:tcPr>
            <w:tcW w:w="0" w:type="auto"/>
          </w:tcPr>
          <w:p w:rsidR="00923610" w:rsidRDefault="0057247F">
            <w:pPr>
              <w:pStyle w:val="Compact"/>
            </w:pPr>
            <w:r>
              <w:t>Liver disease (%)</w:t>
            </w:r>
          </w:p>
        </w:tc>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207 ( 0.4)</w:t>
            </w:r>
          </w:p>
        </w:tc>
        <w:tc>
          <w:tcPr>
            <w:tcW w:w="0" w:type="auto"/>
          </w:tcPr>
          <w:p w:rsidR="00923610" w:rsidRDefault="0057247F">
            <w:pPr>
              <w:pStyle w:val="Compact"/>
            </w:pPr>
            <w:r>
              <w:t>207 ( 0.4)</w:t>
            </w:r>
          </w:p>
        </w:tc>
      </w:tr>
      <w:tr w:rsidR="00923610">
        <w:tc>
          <w:tcPr>
            <w:tcW w:w="0" w:type="auto"/>
          </w:tcPr>
          <w:p w:rsidR="00923610" w:rsidRDefault="0057247F">
            <w:pPr>
              <w:pStyle w:val="Compact"/>
            </w:pPr>
            <w:r>
              <w:t>Lung airways disease (%)</w:t>
            </w:r>
          </w:p>
        </w:tc>
        <w:tc>
          <w:tcPr>
            <w:tcW w:w="0" w:type="auto"/>
          </w:tcPr>
          <w:p w:rsidR="00923610" w:rsidRDefault="00923610"/>
        </w:tc>
        <w:tc>
          <w:tcPr>
            <w:tcW w:w="0" w:type="auto"/>
          </w:tcPr>
          <w:p w:rsidR="00923610" w:rsidRDefault="0057247F">
            <w:pPr>
              <w:pStyle w:val="Compact"/>
            </w:pPr>
            <w:r>
              <w:t>18 (10.3)</w:t>
            </w:r>
          </w:p>
        </w:tc>
        <w:tc>
          <w:tcPr>
            <w:tcW w:w="0" w:type="auto"/>
          </w:tcPr>
          <w:p w:rsidR="00923610" w:rsidRDefault="0057247F">
            <w:pPr>
              <w:pStyle w:val="Compact"/>
            </w:pPr>
            <w:r>
              <w:t>2860 ( 5.4)</w:t>
            </w:r>
          </w:p>
        </w:tc>
        <w:tc>
          <w:tcPr>
            <w:tcW w:w="0" w:type="auto"/>
          </w:tcPr>
          <w:p w:rsidR="00923610" w:rsidRDefault="0057247F">
            <w:pPr>
              <w:pStyle w:val="Compact"/>
            </w:pPr>
            <w:r>
              <w:t>2878 ( 5.4)</w:t>
            </w:r>
          </w:p>
        </w:tc>
      </w:tr>
      <w:tr w:rsidR="00923610">
        <w:tc>
          <w:tcPr>
            <w:tcW w:w="0" w:type="auto"/>
          </w:tcPr>
          <w:p w:rsidR="00923610" w:rsidRDefault="0057247F">
            <w:pPr>
              <w:pStyle w:val="Compact"/>
            </w:pPr>
            <w:r>
              <w:t>Obesity (%)</w:t>
            </w:r>
          </w:p>
        </w:tc>
        <w:tc>
          <w:tcPr>
            <w:tcW w:w="0" w:type="auto"/>
          </w:tcPr>
          <w:p w:rsidR="00923610" w:rsidRDefault="00923610"/>
        </w:tc>
        <w:tc>
          <w:tcPr>
            <w:tcW w:w="0" w:type="auto"/>
          </w:tcPr>
          <w:p w:rsidR="00923610" w:rsidRDefault="0057247F">
            <w:pPr>
              <w:pStyle w:val="Compact"/>
            </w:pPr>
            <w:r>
              <w:t>7 ( 4.0)</w:t>
            </w:r>
          </w:p>
        </w:tc>
        <w:tc>
          <w:tcPr>
            <w:tcW w:w="0" w:type="auto"/>
          </w:tcPr>
          <w:p w:rsidR="00923610" w:rsidRDefault="0057247F">
            <w:pPr>
              <w:pStyle w:val="Compact"/>
            </w:pPr>
            <w:r>
              <w:t>993 ( 1.9)</w:t>
            </w:r>
          </w:p>
        </w:tc>
        <w:tc>
          <w:tcPr>
            <w:tcW w:w="0" w:type="auto"/>
          </w:tcPr>
          <w:p w:rsidR="00923610" w:rsidRDefault="0057247F">
            <w:pPr>
              <w:pStyle w:val="Compact"/>
            </w:pPr>
            <w:r>
              <w:t>1000 ( 1.9)</w:t>
            </w:r>
          </w:p>
        </w:tc>
      </w:tr>
      <w:tr w:rsidR="00923610">
        <w:tc>
          <w:tcPr>
            <w:tcW w:w="0" w:type="auto"/>
          </w:tcPr>
          <w:p w:rsidR="00923610" w:rsidRDefault="0057247F">
            <w:pPr>
              <w:pStyle w:val="Compact"/>
            </w:pPr>
            <w:proofErr w:type="spellStart"/>
            <w:r>
              <w:t>Peptiulcer</w:t>
            </w:r>
            <w:proofErr w:type="spellEnd"/>
            <w:r>
              <w:t xml:space="preserve"> (%)</w:t>
            </w:r>
          </w:p>
        </w:tc>
        <w:tc>
          <w:tcPr>
            <w:tcW w:w="0" w:type="auto"/>
          </w:tcPr>
          <w:p w:rsidR="00923610" w:rsidRDefault="00923610"/>
        </w:tc>
        <w:tc>
          <w:tcPr>
            <w:tcW w:w="0" w:type="auto"/>
          </w:tcPr>
          <w:p w:rsidR="00923610" w:rsidRDefault="0057247F">
            <w:pPr>
              <w:pStyle w:val="Compact"/>
            </w:pPr>
            <w:r>
              <w:t>2 ( 1.1)</w:t>
            </w:r>
          </w:p>
        </w:tc>
        <w:tc>
          <w:tcPr>
            <w:tcW w:w="0" w:type="auto"/>
          </w:tcPr>
          <w:p w:rsidR="00923610" w:rsidRDefault="0057247F">
            <w:pPr>
              <w:pStyle w:val="Compact"/>
            </w:pPr>
            <w:r>
              <w:t>339 ( 0.6)</w:t>
            </w:r>
          </w:p>
        </w:tc>
        <w:tc>
          <w:tcPr>
            <w:tcW w:w="0" w:type="auto"/>
          </w:tcPr>
          <w:p w:rsidR="00923610" w:rsidRDefault="0057247F">
            <w:pPr>
              <w:pStyle w:val="Compact"/>
            </w:pPr>
            <w:r>
              <w:t>341 ( 0.6)</w:t>
            </w:r>
          </w:p>
        </w:tc>
      </w:tr>
      <w:tr w:rsidR="00923610">
        <w:tc>
          <w:tcPr>
            <w:tcW w:w="0" w:type="auto"/>
          </w:tcPr>
          <w:p w:rsidR="00923610" w:rsidRDefault="0057247F">
            <w:pPr>
              <w:pStyle w:val="Compact"/>
            </w:pPr>
            <w:proofErr w:type="spellStart"/>
            <w:r>
              <w:t>Rheumatidisease</w:t>
            </w:r>
            <w:proofErr w:type="spellEnd"/>
            <w:r>
              <w:t xml:space="preserve"> (%)</w:t>
            </w:r>
          </w:p>
        </w:tc>
        <w:tc>
          <w:tcPr>
            <w:tcW w:w="0" w:type="auto"/>
          </w:tcPr>
          <w:p w:rsidR="00923610" w:rsidRDefault="00923610"/>
        </w:tc>
        <w:tc>
          <w:tcPr>
            <w:tcW w:w="0" w:type="auto"/>
          </w:tcPr>
          <w:p w:rsidR="00923610" w:rsidRDefault="0057247F">
            <w:pPr>
              <w:pStyle w:val="Compact"/>
            </w:pPr>
            <w:r>
              <w:t>10 ( 5.7)</w:t>
            </w:r>
          </w:p>
        </w:tc>
        <w:tc>
          <w:tcPr>
            <w:tcW w:w="0" w:type="auto"/>
          </w:tcPr>
          <w:p w:rsidR="00923610" w:rsidRDefault="0057247F">
            <w:pPr>
              <w:pStyle w:val="Compact"/>
            </w:pPr>
            <w:r>
              <w:t>1912 ( 3.6)</w:t>
            </w:r>
          </w:p>
        </w:tc>
        <w:tc>
          <w:tcPr>
            <w:tcW w:w="0" w:type="auto"/>
          </w:tcPr>
          <w:p w:rsidR="00923610" w:rsidRDefault="0057247F">
            <w:pPr>
              <w:pStyle w:val="Compact"/>
            </w:pPr>
            <w:r>
              <w:t>1922 ( 3.6)</w:t>
            </w:r>
          </w:p>
        </w:tc>
      </w:tr>
      <w:tr w:rsidR="00923610">
        <w:tc>
          <w:tcPr>
            <w:tcW w:w="0" w:type="auto"/>
          </w:tcPr>
          <w:p w:rsidR="00923610" w:rsidRDefault="0057247F">
            <w:pPr>
              <w:pStyle w:val="Compact"/>
            </w:pPr>
            <w:r>
              <w:t>Vascular disease (%)</w:t>
            </w:r>
          </w:p>
        </w:tc>
        <w:tc>
          <w:tcPr>
            <w:tcW w:w="0" w:type="auto"/>
          </w:tcPr>
          <w:p w:rsidR="00923610" w:rsidRDefault="00923610"/>
        </w:tc>
        <w:tc>
          <w:tcPr>
            <w:tcW w:w="0" w:type="auto"/>
          </w:tcPr>
          <w:p w:rsidR="00923610" w:rsidRDefault="0057247F">
            <w:pPr>
              <w:pStyle w:val="Compact"/>
            </w:pPr>
            <w:r>
              <w:t>15 ( 8.6)</w:t>
            </w:r>
          </w:p>
        </w:tc>
        <w:tc>
          <w:tcPr>
            <w:tcW w:w="0" w:type="auto"/>
          </w:tcPr>
          <w:p w:rsidR="00923610" w:rsidRDefault="0057247F">
            <w:pPr>
              <w:pStyle w:val="Compact"/>
            </w:pPr>
            <w:r>
              <w:t>1671 ( 3.2)</w:t>
            </w:r>
          </w:p>
        </w:tc>
        <w:tc>
          <w:tcPr>
            <w:tcW w:w="0" w:type="auto"/>
          </w:tcPr>
          <w:p w:rsidR="00923610" w:rsidRDefault="0057247F">
            <w:pPr>
              <w:pStyle w:val="Compact"/>
            </w:pPr>
            <w:r>
              <w:t>1686 ( 3.2)</w:t>
            </w:r>
          </w:p>
        </w:tc>
      </w:tr>
      <w:tr w:rsidR="00923610">
        <w:tc>
          <w:tcPr>
            <w:tcW w:w="0" w:type="auto"/>
          </w:tcPr>
          <w:p w:rsidR="00923610" w:rsidRDefault="0057247F">
            <w:pPr>
              <w:pStyle w:val="Compact"/>
            </w:pPr>
            <w:r>
              <w:lastRenderedPageBreak/>
              <w:t>Weight loss (%)</w:t>
            </w:r>
          </w:p>
        </w:tc>
        <w:tc>
          <w:tcPr>
            <w:tcW w:w="0" w:type="auto"/>
          </w:tcPr>
          <w:p w:rsidR="00923610" w:rsidRDefault="00923610"/>
        </w:tc>
        <w:tc>
          <w:tcPr>
            <w:tcW w:w="0" w:type="auto"/>
          </w:tcPr>
          <w:p w:rsidR="00923610" w:rsidRDefault="0057247F">
            <w:pPr>
              <w:pStyle w:val="Compact"/>
            </w:pPr>
            <w:r>
              <w:t>0</w:t>
            </w:r>
          </w:p>
        </w:tc>
        <w:tc>
          <w:tcPr>
            <w:tcW w:w="0" w:type="auto"/>
          </w:tcPr>
          <w:p w:rsidR="00923610" w:rsidRDefault="0057247F">
            <w:pPr>
              <w:pStyle w:val="Compact"/>
            </w:pPr>
            <w:r>
              <w:t>35 ( 0.1)</w:t>
            </w:r>
          </w:p>
        </w:tc>
        <w:tc>
          <w:tcPr>
            <w:tcW w:w="0" w:type="auto"/>
          </w:tcPr>
          <w:p w:rsidR="00923610" w:rsidRDefault="0057247F">
            <w:pPr>
              <w:pStyle w:val="Compact"/>
            </w:pPr>
            <w:r>
              <w:t>35 ( 0.1)</w:t>
            </w:r>
          </w:p>
        </w:tc>
      </w:tr>
    </w:tbl>
    <w:p w:rsidR="00923610" w:rsidRDefault="0057247F">
      <w:pPr>
        <w:pStyle w:val="Heading5"/>
      </w:pPr>
      <w:bookmarkStart w:id="32" w:name="page-break-9"/>
      <w:r>
        <w:lastRenderedPageBreak/>
        <w:t>PAGE BREAK</w:t>
      </w:r>
      <w:bookmarkEnd w:id="32"/>
    </w:p>
    <w:p w:rsidR="00923610" w:rsidRDefault="0057247F">
      <w:pPr>
        <w:pStyle w:val="TableCaption"/>
      </w:pPr>
      <w:r>
        <w:t>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w="0" w:type="pct"/>
        <w:tblLook w:val="07E0" w:firstRow="1" w:lastRow="1" w:firstColumn="1" w:lastColumn="1" w:noHBand="1" w:noVBand="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gridCol w:w="1466"/>
        <w:gridCol w:w="516"/>
      </w:tblGrid>
      <w:tr w:rsidR="00923610">
        <w:tc>
          <w:tcPr>
            <w:tcW w:w="0" w:type="auto"/>
            <w:tcBorders>
              <w:bottom w:val="single" w:sz="0" w:space="0" w:color="auto"/>
            </w:tcBorders>
            <w:vAlign w:val="bottom"/>
          </w:tcPr>
          <w:p w:rsidR="00923610" w:rsidRDefault="0057247F">
            <w:pPr>
              <w:pStyle w:val="Compact"/>
            </w:pPr>
            <w:r>
              <w:t>variable</w:t>
            </w:r>
          </w:p>
        </w:tc>
        <w:tc>
          <w:tcPr>
            <w:tcW w:w="0" w:type="auto"/>
            <w:tcBorders>
              <w:bottom w:val="single" w:sz="0" w:space="0" w:color="auto"/>
            </w:tcBorders>
            <w:vAlign w:val="bottom"/>
          </w:tcPr>
          <w:p w:rsidR="00923610" w:rsidRDefault="0057247F">
            <w:pPr>
              <w:pStyle w:val="Compact"/>
              <w:jc w:val="right"/>
            </w:pPr>
            <w:r>
              <w:t>n</w:t>
            </w:r>
          </w:p>
        </w:tc>
      </w:tr>
      <w:tr w:rsidR="00923610">
        <w:tc>
          <w:tcPr>
            <w:tcW w:w="0" w:type="auto"/>
          </w:tcPr>
          <w:p w:rsidR="00923610" w:rsidRDefault="0057247F">
            <w:pPr>
              <w:pStyle w:val="Compact"/>
            </w:pPr>
            <w:r>
              <w:t>Cancer</w:t>
            </w:r>
          </w:p>
        </w:tc>
        <w:tc>
          <w:tcPr>
            <w:tcW w:w="0" w:type="auto"/>
          </w:tcPr>
          <w:p w:rsidR="00923610" w:rsidRDefault="0057247F">
            <w:pPr>
              <w:pStyle w:val="Compact"/>
              <w:jc w:val="right"/>
            </w:pPr>
            <w:r>
              <w:t>100</w:t>
            </w:r>
          </w:p>
        </w:tc>
      </w:tr>
      <w:tr w:rsidR="00923610">
        <w:tc>
          <w:tcPr>
            <w:tcW w:w="0" w:type="auto"/>
          </w:tcPr>
          <w:p w:rsidR="00923610" w:rsidRDefault="0057247F">
            <w:pPr>
              <w:pStyle w:val="Compact"/>
            </w:pPr>
            <w:r>
              <w:t>CNS disease</w:t>
            </w:r>
          </w:p>
        </w:tc>
        <w:tc>
          <w:tcPr>
            <w:tcW w:w="0" w:type="auto"/>
          </w:tcPr>
          <w:p w:rsidR="00923610" w:rsidRDefault="0057247F">
            <w:pPr>
              <w:pStyle w:val="Compact"/>
              <w:jc w:val="right"/>
            </w:pPr>
            <w:r>
              <w:t>100</w:t>
            </w:r>
          </w:p>
        </w:tc>
      </w:tr>
      <w:tr w:rsidR="00923610">
        <w:tc>
          <w:tcPr>
            <w:tcW w:w="0" w:type="auto"/>
          </w:tcPr>
          <w:p w:rsidR="00923610" w:rsidRDefault="0057247F">
            <w:pPr>
              <w:pStyle w:val="Compact"/>
            </w:pPr>
            <w:r>
              <w:t>Kidney disease</w:t>
            </w:r>
          </w:p>
        </w:tc>
        <w:tc>
          <w:tcPr>
            <w:tcW w:w="0" w:type="auto"/>
          </w:tcPr>
          <w:p w:rsidR="00923610" w:rsidRDefault="0057247F">
            <w:pPr>
              <w:pStyle w:val="Compact"/>
              <w:jc w:val="right"/>
            </w:pPr>
            <w:r>
              <w:t>100</w:t>
            </w:r>
          </w:p>
        </w:tc>
      </w:tr>
      <w:tr w:rsidR="00923610">
        <w:tc>
          <w:tcPr>
            <w:tcW w:w="0" w:type="auto"/>
          </w:tcPr>
          <w:p w:rsidR="00923610" w:rsidRDefault="0057247F">
            <w:pPr>
              <w:pStyle w:val="Compact"/>
            </w:pPr>
            <w:r>
              <w:t>ASA class III</w:t>
            </w:r>
          </w:p>
        </w:tc>
        <w:tc>
          <w:tcPr>
            <w:tcW w:w="0" w:type="auto"/>
          </w:tcPr>
          <w:p w:rsidR="00923610" w:rsidRDefault="0057247F">
            <w:pPr>
              <w:pStyle w:val="Compact"/>
              <w:jc w:val="right"/>
            </w:pPr>
            <w:r>
              <w:t>100</w:t>
            </w:r>
          </w:p>
        </w:tc>
      </w:tr>
      <w:tr w:rsidR="00923610">
        <w:tc>
          <w:tcPr>
            <w:tcW w:w="0" w:type="auto"/>
          </w:tcPr>
          <w:p w:rsidR="00923610" w:rsidRDefault="0057247F">
            <w:pPr>
              <w:pStyle w:val="Compact"/>
            </w:pPr>
            <w:r>
              <w:t>Age</w:t>
            </w:r>
          </w:p>
        </w:tc>
        <w:tc>
          <w:tcPr>
            <w:tcW w:w="0" w:type="auto"/>
          </w:tcPr>
          <w:p w:rsidR="00923610" w:rsidRDefault="0057247F">
            <w:pPr>
              <w:pStyle w:val="Compact"/>
              <w:jc w:val="right"/>
            </w:pPr>
            <w:r>
              <w:t>50</w:t>
            </w:r>
          </w:p>
        </w:tc>
      </w:tr>
      <w:tr w:rsidR="00923610">
        <w:tc>
          <w:tcPr>
            <w:tcW w:w="0" w:type="auto"/>
          </w:tcPr>
          <w:p w:rsidR="00923610" w:rsidRDefault="0057247F">
            <w:pPr>
              <w:pStyle w:val="Compact"/>
            </w:pPr>
            <w:r>
              <w:t>Obesity</w:t>
            </w:r>
          </w:p>
        </w:tc>
        <w:tc>
          <w:tcPr>
            <w:tcW w:w="0" w:type="auto"/>
          </w:tcPr>
          <w:p w:rsidR="00923610" w:rsidRDefault="0057247F">
            <w:pPr>
              <w:pStyle w:val="Compact"/>
              <w:jc w:val="right"/>
            </w:pPr>
            <w:r>
              <w:t>49</w:t>
            </w:r>
          </w:p>
        </w:tc>
      </w:tr>
      <w:tr w:rsidR="00923610">
        <w:tc>
          <w:tcPr>
            <w:tcW w:w="0" w:type="auto"/>
          </w:tcPr>
          <w:p w:rsidR="00923610" w:rsidRDefault="0057247F">
            <w:pPr>
              <w:pStyle w:val="Compact"/>
            </w:pPr>
            <w:r>
              <w:t>Male sex</w:t>
            </w:r>
          </w:p>
        </w:tc>
        <w:tc>
          <w:tcPr>
            <w:tcW w:w="0" w:type="auto"/>
          </w:tcPr>
          <w:p w:rsidR="00923610" w:rsidRDefault="0057247F">
            <w:pPr>
              <w:pStyle w:val="Compact"/>
              <w:jc w:val="right"/>
            </w:pPr>
            <w:r>
              <w:t>38</w:t>
            </w:r>
          </w:p>
        </w:tc>
      </w:tr>
      <w:tr w:rsidR="00923610">
        <w:tc>
          <w:tcPr>
            <w:tcW w:w="0" w:type="auto"/>
          </w:tcPr>
          <w:p w:rsidR="00923610" w:rsidRDefault="0057247F">
            <w:pPr>
              <w:pStyle w:val="Compact"/>
            </w:pPr>
            <w:r>
              <w:t>Heart condition</w:t>
            </w:r>
          </w:p>
        </w:tc>
        <w:tc>
          <w:tcPr>
            <w:tcW w:w="0" w:type="auto"/>
          </w:tcPr>
          <w:p w:rsidR="00923610" w:rsidRDefault="0057247F">
            <w:pPr>
              <w:pStyle w:val="Compact"/>
              <w:jc w:val="right"/>
            </w:pPr>
            <w:r>
              <w:t>20</w:t>
            </w:r>
          </w:p>
        </w:tc>
      </w:tr>
      <w:tr w:rsidR="00923610">
        <w:tc>
          <w:tcPr>
            <w:tcW w:w="0" w:type="auto"/>
          </w:tcPr>
          <w:p w:rsidR="00923610" w:rsidRDefault="0057247F">
            <w:pPr>
              <w:pStyle w:val="Compact"/>
            </w:pPr>
            <w:r>
              <w:t>Anemia</w:t>
            </w:r>
          </w:p>
        </w:tc>
        <w:tc>
          <w:tcPr>
            <w:tcW w:w="0" w:type="auto"/>
          </w:tcPr>
          <w:p w:rsidR="00923610" w:rsidRDefault="0057247F">
            <w:pPr>
              <w:pStyle w:val="Compact"/>
              <w:jc w:val="right"/>
            </w:pPr>
            <w:r>
              <w:t>9</w:t>
            </w:r>
          </w:p>
        </w:tc>
      </w:tr>
      <w:tr w:rsidR="00923610">
        <w:tc>
          <w:tcPr>
            <w:tcW w:w="0" w:type="auto"/>
          </w:tcPr>
          <w:p w:rsidR="00923610" w:rsidRDefault="0057247F">
            <w:pPr>
              <w:pStyle w:val="Compact"/>
            </w:pPr>
            <w:r>
              <w:t>ASA class II</w:t>
            </w:r>
          </w:p>
        </w:tc>
        <w:tc>
          <w:tcPr>
            <w:tcW w:w="0" w:type="auto"/>
          </w:tcPr>
          <w:p w:rsidR="00923610" w:rsidRDefault="0057247F">
            <w:pPr>
              <w:pStyle w:val="Compact"/>
              <w:jc w:val="right"/>
            </w:pPr>
            <w:r>
              <w:t>8</w:t>
            </w:r>
          </w:p>
        </w:tc>
      </w:tr>
      <w:tr w:rsidR="00923610">
        <w:tc>
          <w:tcPr>
            <w:tcW w:w="0" w:type="auto"/>
          </w:tcPr>
          <w:p w:rsidR="00923610" w:rsidRDefault="0057247F">
            <w:pPr>
              <w:pStyle w:val="Compact"/>
            </w:pPr>
            <w:r>
              <w:t>Heart infarct</w:t>
            </w:r>
          </w:p>
        </w:tc>
        <w:tc>
          <w:tcPr>
            <w:tcW w:w="0" w:type="auto"/>
          </w:tcPr>
          <w:p w:rsidR="00923610" w:rsidRDefault="0057247F">
            <w:pPr>
              <w:pStyle w:val="Compact"/>
              <w:jc w:val="right"/>
            </w:pPr>
            <w:r>
              <w:t>6</w:t>
            </w:r>
          </w:p>
        </w:tc>
      </w:tr>
    </w:tbl>
    <w:p w:rsidR="00923610" w:rsidRDefault="0057247F">
      <w:pPr>
        <w:pStyle w:val="Heading5"/>
      </w:pPr>
      <w:bookmarkStart w:id="33" w:name="page-break-10"/>
      <w:r>
        <w:lastRenderedPageBreak/>
        <w:t>PAGE BREAK</w:t>
      </w:r>
      <w:bookmarkEnd w:id="33"/>
    </w:p>
    <w:p w:rsidR="00923610" w:rsidRDefault="0057247F">
      <w:pPr>
        <w:pStyle w:val="TableCaption"/>
      </w:pPr>
      <w:r>
        <w:t>Table 4: Estimated coefficients (beta) and odds ratios (OR) with 95 % confidence intervals for the reduced model.</w:t>
      </w:r>
    </w:p>
    <w:tbl>
      <w:tblPr>
        <w:tblStyle w:val="Table"/>
        <w:tblW w:w="0" w:type="pct"/>
        <w:tblLook w:val="07E0" w:firstRow="1" w:lastRow="1" w:firstColumn="1" w:lastColumn="1" w:noHBand="1" w:noVBand="1"/>
        <w:tblCaption w:val="Table 4: Estimated coefficients (beta) and odds ratios (OR) with 95 % confidence intervals for the reduced model."/>
      </w:tblPr>
      <w:tblGrid>
        <w:gridCol w:w="1433"/>
        <w:gridCol w:w="733"/>
        <w:gridCol w:w="1616"/>
        <w:gridCol w:w="679"/>
      </w:tblGrid>
      <w:tr w:rsidR="00923610">
        <w:tc>
          <w:tcPr>
            <w:tcW w:w="0" w:type="auto"/>
            <w:tcBorders>
              <w:bottom w:val="single" w:sz="0" w:space="0" w:color="auto"/>
            </w:tcBorders>
            <w:vAlign w:val="bottom"/>
          </w:tcPr>
          <w:p w:rsidR="00923610" w:rsidRDefault="0057247F">
            <w:pPr>
              <w:pStyle w:val="Compact"/>
            </w:pPr>
            <w:r>
              <w:t>term</w:t>
            </w:r>
          </w:p>
        </w:tc>
        <w:tc>
          <w:tcPr>
            <w:tcW w:w="0" w:type="auto"/>
            <w:tcBorders>
              <w:bottom w:val="single" w:sz="0" w:space="0" w:color="auto"/>
            </w:tcBorders>
            <w:vAlign w:val="bottom"/>
          </w:tcPr>
          <w:p w:rsidR="00923610" w:rsidRDefault="0057247F">
            <w:pPr>
              <w:pStyle w:val="Compact"/>
              <w:jc w:val="right"/>
            </w:pPr>
            <w:r>
              <w:t>beta</w:t>
            </w:r>
          </w:p>
        </w:tc>
        <w:tc>
          <w:tcPr>
            <w:tcW w:w="0" w:type="auto"/>
            <w:tcBorders>
              <w:bottom w:val="single" w:sz="0" w:space="0" w:color="auto"/>
            </w:tcBorders>
            <w:vAlign w:val="bottom"/>
          </w:tcPr>
          <w:p w:rsidR="00923610" w:rsidRDefault="0057247F">
            <w:pPr>
              <w:pStyle w:val="Compact"/>
            </w:pPr>
            <w:r>
              <w:t>OR 95 % CI</w:t>
            </w:r>
          </w:p>
        </w:tc>
        <w:tc>
          <w:tcPr>
            <w:tcW w:w="0" w:type="auto"/>
            <w:tcBorders>
              <w:bottom w:val="single" w:sz="0" w:space="0" w:color="auto"/>
            </w:tcBorders>
            <w:vAlign w:val="bottom"/>
          </w:tcPr>
          <w:p w:rsidR="00923610" w:rsidRDefault="0057247F">
            <w:pPr>
              <w:pStyle w:val="Compact"/>
            </w:pPr>
            <w:r>
              <w:t>p</w:t>
            </w:r>
          </w:p>
        </w:tc>
      </w:tr>
      <w:tr w:rsidR="00923610">
        <w:tc>
          <w:tcPr>
            <w:tcW w:w="0" w:type="auto"/>
          </w:tcPr>
          <w:p w:rsidR="00923610" w:rsidRDefault="0057247F">
            <w:pPr>
              <w:pStyle w:val="Compact"/>
            </w:pPr>
            <w:r>
              <w:t>(intercept)</w:t>
            </w:r>
          </w:p>
        </w:tc>
        <w:tc>
          <w:tcPr>
            <w:tcW w:w="0" w:type="auto"/>
          </w:tcPr>
          <w:p w:rsidR="00923610" w:rsidRDefault="0057247F">
            <w:pPr>
              <w:pStyle w:val="Compact"/>
              <w:jc w:val="right"/>
            </w:pPr>
            <w:r>
              <w:t>-13.28</w:t>
            </w:r>
          </w:p>
        </w:tc>
        <w:tc>
          <w:tcPr>
            <w:tcW w:w="0" w:type="auto"/>
          </w:tcPr>
          <w:p w:rsidR="00923610" w:rsidRDefault="00923610"/>
        </w:tc>
        <w:tc>
          <w:tcPr>
            <w:tcW w:w="0" w:type="auto"/>
          </w:tcPr>
          <w:p w:rsidR="00923610" w:rsidRDefault="00923610"/>
        </w:tc>
      </w:tr>
      <w:tr w:rsidR="00923610">
        <w:tc>
          <w:tcPr>
            <w:tcW w:w="0" w:type="auto"/>
          </w:tcPr>
          <w:p w:rsidR="00923610" w:rsidRDefault="0057247F">
            <w:pPr>
              <w:pStyle w:val="Compact"/>
            </w:pPr>
            <w:r>
              <w:t>Cancer</w:t>
            </w:r>
          </w:p>
        </w:tc>
        <w:tc>
          <w:tcPr>
            <w:tcW w:w="0" w:type="auto"/>
          </w:tcPr>
          <w:p w:rsidR="00923610" w:rsidRDefault="0057247F">
            <w:pPr>
              <w:pStyle w:val="Compact"/>
              <w:jc w:val="right"/>
            </w:pPr>
            <w:r>
              <w:t>0.71</w:t>
            </w:r>
          </w:p>
        </w:tc>
        <w:tc>
          <w:tcPr>
            <w:tcW w:w="0" w:type="auto"/>
          </w:tcPr>
          <w:p w:rsidR="00923610" w:rsidRDefault="0057247F">
            <w:pPr>
              <w:pStyle w:val="Compact"/>
            </w:pPr>
            <w:r>
              <w:t>2.04 (1.30-3.08)</w:t>
            </w:r>
          </w:p>
        </w:tc>
        <w:tc>
          <w:tcPr>
            <w:tcW w:w="0" w:type="auto"/>
          </w:tcPr>
          <w:p w:rsidR="00923610" w:rsidRDefault="0057247F">
            <w:pPr>
              <w:pStyle w:val="Compact"/>
            </w:pPr>
            <w:r>
              <w:t>&lt;0.01</w:t>
            </w:r>
          </w:p>
        </w:tc>
      </w:tr>
      <w:tr w:rsidR="00923610">
        <w:tc>
          <w:tcPr>
            <w:tcW w:w="0" w:type="auto"/>
          </w:tcPr>
          <w:p w:rsidR="00923610" w:rsidRDefault="0057247F">
            <w:pPr>
              <w:pStyle w:val="Compact"/>
            </w:pPr>
            <w:r>
              <w:t>CNS disease</w:t>
            </w:r>
          </w:p>
        </w:tc>
        <w:tc>
          <w:tcPr>
            <w:tcW w:w="0" w:type="auto"/>
          </w:tcPr>
          <w:p w:rsidR="00923610" w:rsidRDefault="0057247F">
            <w:pPr>
              <w:pStyle w:val="Compact"/>
              <w:jc w:val="right"/>
            </w:pPr>
            <w:r>
              <w:t>0.90</w:t>
            </w:r>
          </w:p>
        </w:tc>
        <w:tc>
          <w:tcPr>
            <w:tcW w:w="0" w:type="auto"/>
          </w:tcPr>
          <w:p w:rsidR="00923610" w:rsidRDefault="0057247F">
            <w:pPr>
              <w:pStyle w:val="Compact"/>
            </w:pPr>
            <w:r>
              <w:t>2.45 (1.35-4.11)</w:t>
            </w:r>
          </w:p>
        </w:tc>
        <w:tc>
          <w:tcPr>
            <w:tcW w:w="0" w:type="auto"/>
          </w:tcPr>
          <w:p w:rsidR="00923610" w:rsidRDefault="0057247F">
            <w:pPr>
              <w:pStyle w:val="Compact"/>
            </w:pPr>
            <w:r>
              <w:t>&lt;0.01</w:t>
            </w:r>
          </w:p>
        </w:tc>
      </w:tr>
      <w:tr w:rsidR="00923610">
        <w:tc>
          <w:tcPr>
            <w:tcW w:w="0" w:type="auto"/>
          </w:tcPr>
          <w:p w:rsidR="00923610" w:rsidRDefault="0057247F">
            <w:pPr>
              <w:pStyle w:val="Compact"/>
            </w:pPr>
            <w:r>
              <w:t>Kidney disease</w:t>
            </w:r>
          </w:p>
        </w:tc>
        <w:tc>
          <w:tcPr>
            <w:tcW w:w="0" w:type="auto"/>
          </w:tcPr>
          <w:p w:rsidR="00923610" w:rsidRDefault="0057247F">
            <w:pPr>
              <w:pStyle w:val="Compact"/>
              <w:jc w:val="right"/>
            </w:pPr>
            <w:r>
              <w:t>1.33</w:t>
            </w:r>
          </w:p>
        </w:tc>
        <w:tc>
          <w:tcPr>
            <w:tcW w:w="0" w:type="auto"/>
          </w:tcPr>
          <w:p w:rsidR="00923610" w:rsidRDefault="0057247F">
            <w:pPr>
              <w:pStyle w:val="Compact"/>
            </w:pPr>
            <w:r>
              <w:t>3.79 (2.04-6.52)</w:t>
            </w:r>
          </w:p>
        </w:tc>
        <w:tc>
          <w:tcPr>
            <w:tcW w:w="0" w:type="auto"/>
          </w:tcPr>
          <w:p w:rsidR="00923610" w:rsidRDefault="0057247F">
            <w:pPr>
              <w:pStyle w:val="Compact"/>
            </w:pPr>
            <w:r>
              <w:t>&lt;0.01</w:t>
            </w:r>
          </w:p>
        </w:tc>
      </w:tr>
      <w:tr w:rsidR="00923610">
        <w:tc>
          <w:tcPr>
            <w:tcW w:w="0" w:type="auto"/>
          </w:tcPr>
          <w:p w:rsidR="00923610" w:rsidRDefault="0057247F">
            <w:pPr>
              <w:pStyle w:val="Compact"/>
            </w:pPr>
            <w:r>
              <w:t>ASA class II</w:t>
            </w:r>
          </w:p>
        </w:tc>
        <w:tc>
          <w:tcPr>
            <w:tcW w:w="0" w:type="auto"/>
          </w:tcPr>
          <w:p w:rsidR="00923610" w:rsidRDefault="0057247F">
            <w:pPr>
              <w:pStyle w:val="Compact"/>
              <w:jc w:val="right"/>
            </w:pPr>
            <w:r>
              <w:t>0.88</w:t>
            </w:r>
          </w:p>
        </w:tc>
        <w:tc>
          <w:tcPr>
            <w:tcW w:w="0" w:type="auto"/>
          </w:tcPr>
          <w:p w:rsidR="00923610" w:rsidRDefault="0057247F">
            <w:pPr>
              <w:pStyle w:val="Compact"/>
            </w:pPr>
            <w:r>
              <w:t>2.42 (1.20-5.78)</w:t>
            </w:r>
          </w:p>
        </w:tc>
        <w:tc>
          <w:tcPr>
            <w:tcW w:w="0" w:type="auto"/>
          </w:tcPr>
          <w:p w:rsidR="00923610" w:rsidRDefault="0057247F">
            <w:pPr>
              <w:pStyle w:val="Compact"/>
            </w:pPr>
            <w:r>
              <w:t>0.03</w:t>
            </w:r>
          </w:p>
        </w:tc>
      </w:tr>
      <w:tr w:rsidR="00923610">
        <w:tc>
          <w:tcPr>
            <w:tcW w:w="0" w:type="auto"/>
          </w:tcPr>
          <w:p w:rsidR="00923610" w:rsidRDefault="0057247F">
            <w:pPr>
              <w:pStyle w:val="Compact"/>
            </w:pPr>
            <w:r>
              <w:t>ASA class III</w:t>
            </w:r>
          </w:p>
        </w:tc>
        <w:tc>
          <w:tcPr>
            <w:tcW w:w="0" w:type="auto"/>
          </w:tcPr>
          <w:p w:rsidR="00923610" w:rsidRDefault="0057247F">
            <w:pPr>
              <w:pStyle w:val="Compact"/>
              <w:jc w:val="right"/>
            </w:pPr>
            <w:r>
              <w:t>1.66</w:t>
            </w:r>
          </w:p>
        </w:tc>
        <w:tc>
          <w:tcPr>
            <w:tcW w:w="0" w:type="auto"/>
          </w:tcPr>
          <w:p w:rsidR="00923610" w:rsidRDefault="0057247F">
            <w:pPr>
              <w:pStyle w:val="Compact"/>
            </w:pPr>
            <w:r>
              <w:t>5.27 (2.56-12.77)</w:t>
            </w:r>
          </w:p>
        </w:tc>
        <w:tc>
          <w:tcPr>
            <w:tcW w:w="0" w:type="auto"/>
          </w:tcPr>
          <w:p w:rsidR="00923610" w:rsidRDefault="0057247F">
            <w:pPr>
              <w:pStyle w:val="Compact"/>
            </w:pPr>
            <w:r>
              <w:t>&lt;0.01</w:t>
            </w:r>
          </w:p>
        </w:tc>
      </w:tr>
      <w:tr w:rsidR="00923610">
        <w:tc>
          <w:tcPr>
            <w:tcW w:w="0" w:type="auto"/>
          </w:tcPr>
          <w:p w:rsidR="00923610" w:rsidRDefault="0057247F">
            <w:pPr>
              <w:pStyle w:val="Compact"/>
            </w:pPr>
            <w:r>
              <w:t>Age</w:t>
            </w:r>
          </w:p>
        </w:tc>
        <w:tc>
          <w:tcPr>
            <w:tcW w:w="0" w:type="auto"/>
          </w:tcPr>
          <w:p w:rsidR="00923610" w:rsidRDefault="0057247F">
            <w:pPr>
              <w:pStyle w:val="Compact"/>
              <w:jc w:val="right"/>
            </w:pPr>
            <w:r>
              <w:t>0.08</w:t>
            </w:r>
          </w:p>
        </w:tc>
        <w:tc>
          <w:tcPr>
            <w:tcW w:w="0" w:type="auto"/>
          </w:tcPr>
          <w:p w:rsidR="00923610" w:rsidRDefault="0057247F">
            <w:pPr>
              <w:pStyle w:val="Compact"/>
            </w:pPr>
            <w:r>
              <w:t>1.08 (1.06-1.11)</w:t>
            </w:r>
          </w:p>
        </w:tc>
        <w:tc>
          <w:tcPr>
            <w:tcW w:w="0" w:type="auto"/>
          </w:tcPr>
          <w:p w:rsidR="00923610" w:rsidRDefault="0057247F">
            <w:pPr>
              <w:pStyle w:val="Compact"/>
            </w:pPr>
            <w:r>
              <w:t>&lt;0.01</w:t>
            </w:r>
          </w:p>
        </w:tc>
      </w:tr>
      <w:tr w:rsidR="00923610">
        <w:tc>
          <w:tcPr>
            <w:tcW w:w="0" w:type="auto"/>
          </w:tcPr>
          <w:p w:rsidR="00923610" w:rsidRDefault="0057247F">
            <w:pPr>
              <w:pStyle w:val="Compact"/>
            </w:pPr>
            <w:r>
              <w:t>Obesity</w:t>
            </w:r>
          </w:p>
        </w:tc>
        <w:tc>
          <w:tcPr>
            <w:tcW w:w="0" w:type="auto"/>
          </w:tcPr>
          <w:p w:rsidR="00923610" w:rsidRDefault="0057247F">
            <w:pPr>
              <w:pStyle w:val="Compact"/>
              <w:jc w:val="right"/>
            </w:pPr>
            <w:r>
              <w:t>0.77</w:t>
            </w:r>
          </w:p>
        </w:tc>
        <w:tc>
          <w:tcPr>
            <w:tcW w:w="0" w:type="auto"/>
          </w:tcPr>
          <w:p w:rsidR="00923610" w:rsidRDefault="0057247F">
            <w:pPr>
              <w:pStyle w:val="Compact"/>
            </w:pPr>
            <w:r>
              <w:t>2.17 (0.91-4.36)</w:t>
            </w:r>
          </w:p>
        </w:tc>
        <w:tc>
          <w:tcPr>
            <w:tcW w:w="0" w:type="auto"/>
          </w:tcPr>
          <w:p w:rsidR="00923610" w:rsidRDefault="0057247F">
            <w:pPr>
              <w:pStyle w:val="Compact"/>
            </w:pPr>
            <w:r>
              <w:t>0.05</w:t>
            </w:r>
          </w:p>
        </w:tc>
      </w:tr>
      <w:tr w:rsidR="00923610">
        <w:tc>
          <w:tcPr>
            <w:tcW w:w="0" w:type="auto"/>
          </w:tcPr>
          <w:p w:rsidR="00923610" w:rsidRDefault="0057247F">
            <w:pPr>
              <w:pStyle w:val="Compact"/>
            </w:pPr>
            <w:r>
              <w:t>Male sex</w:t>
            </w:r>
          </w:p>
        </w:tc>
        <w:tc>
          <w:tcPr>
            <w:tcW w:w="0" w:type="auto"/>
          </w:tcPr>
          <w:p w:rsidR="00923610" w:rsidRDefault="0057247F">
            <w:pPr>
              <w:pStyle w:val="Compact"/>
              <w:jc w:val="right"/>
            </w:pPr>
            <w:r>
              <w:t>0.61</w:t>
            </w:r>
          </w:p>
        </w:tc>
        <w:tc>
          <w:tcPr>
            <w:tcW w:w="0" w:type="auto"/>
          </w:tcPr>
          <w:p w:rsidR="00923610" w:rsidRDefault="0057247F">
            <w:pPr>
              <w:pStyle w:val="Compact"/>
            </w:pPr>
            <w:r>
              <w:t>1.85 (1.36-2.52)</w:t>
            </w:r>
          </w:p>
        </w:tc>
        <w:tc>
          <w:tcPr>
            <w:tcW w:w="0" w:type="auto"/>
          </w:tcPr>
          <w:p w:rsidR="00923610" w:rsidRDefault="0057247F">
            <w:pPr>
              <w:pStyle w:val="Compact"/>
            </w:pPr>
            <w:r>
              <w:t>&lt;0.01</w:t>
            </w:r>
          </w:p>
        </w:tc>
      </w:tr>
    </w:tbl>
    <w:p w:rsidR="00923610" w:rsidRDefault="0057247F">
      <w:pPr>
        <w:pStyle w:val="Heading5"/>
      </w:pPr>
      <w:bookmarkStart w:id="34" w:name="page-break-11"/>
      <w:r>
        <w:lastRenderedPageBreak/>
        <w:t>PAGE BREAK</w:t>
      </w:r>
      <w:bookmarkEnd w:id="34"/>
    </w:p>
    <w:p w:rsidR="00923610" w:rsidRDefault="0057247F">
      <w:pPr>
        <w:pStyle w:val="Heading1"/>
      </w:pPr>
      <w:bookmarkStart w:id="35" w:name="bibliography"/>
      <w:r>
        <w:t>Bibliography</w:t>
      </w:r>
      <w:bookmarkEnd w:id="35"/>
    </w:p>
    <w:p w:rsidR="00923610" w:rsidRPr="001A200B" w:rsidRDefault="0057247F">
      <w:pPr>
        <w:pStyle w:val="Bibliography"/>
        <w:rPr>
          <w:lang w:val="sv-SE"/>
        </w:rPr>
      </w:pPr>
      <w:bookmarkStart w:id="36" w:name="ref-Hunt2013"/>
      <w:bookmarkStart w:id="37" w:name="refs"/>
      <w:r>
        <w:t>1 Hunt LP, Ben-</w:t>
      </w:r>
      <w:proofErr w:type="spellStart"/>
      <w:r>
        <w:t>Shlomo</w:t>
      </w:r>
      <w:proofErr w:type="spellEnd"/>
      <w:r>
        <w:t xml:space="preserve"> Y, Clark EM </w:t>
      </w:r>
      <w:r>
        <w:rPr>
          <w:i/>
        </w:rPr>
        <w:t>et al.</w:t>
      </w:r>
      <w:r>
        <w:t xml:space="preserve"> 90-day mortality after 409 096 total hip replacements for osteoarthritis, from the National Joint Registry for England and Wales: A retrospective analysis. </w:t>
      </w:r>
      <w:r w:rsidRPr="001A200B">
        <w:rPr>
          <w:i/>
          <w:lang w:val="sv-SE"/>
        </w:rPr>
        <w:t>The Lancet</w:t>
      </w:r>
      <w:r w:rsidRPr="001A200B">
        <w:rPr>
          <w:lang w:val="sv-SE"/>
        </w:rPr>
        <w:t xml:space="preserve"> 2013; </w:t>
      </w:r>
      <w:r w:rsidRPr="001A200B">
        <w:rPr>
          <w:b/>
          <w:lang w:val="sv-SE"/>
        </w:rPr>
        <w:t>382</w:t>
      </w:r>
      <w:r w:rsidRPr="001A200B">
        <w:rPr>
          <w:lang w:val="sv-SE"/>
        </w:rPr>
        <w:t>: 1097–104.</w:t>
      </w:r>
    </w:p>
    <w:p w:rsidR="00923610" w:rsidRDefault="0057247F">
      <w:pPr>
        <w:pStyle w:val="Bibliography"/>
      </w:pPr>
      <w:bookmarkStart w:id="38" w:name="ref-Garland2017"/>
      <w:bookmarkEnd w:id="36"/>
      <w:r w:rsidRPr="001A200B">
        <w:rPr>
          <w:lang w:val="sv-SE"/>
        </w:rPr>
        <w:t xml:space="preserve">2 Garland A, Gordon M, Garellick G, Kärrholm J, Sköldenberg O, Hailer NP. </w:t>
      </w:r>
      <w:r>
        <w:t xml:space="preserve">Risk of early mortality after cemented compared with </w:t>
      </w:r>
      <w:proofErr w:type="spellStart"/>
      <w:r>
        <w:t>cementless</w:t>
      </w:r>
      <w:proofErr w:type="spellEnd"/>
      <w:r>
        <w:t xml:space="preserve"> total hip arthroplasty. </w:t>
      </w:r>
      <w:r>
        <w:rPr>
          <w:i/>
        </w:rPr>
        <w:t>The Bone &amp; Joint Journal</w:t>
      </w:r>
      <w:r>
        <w:t xml:space="preserve"> 2017; </w:t>
      </w:r>
      <w:r>
        <w:rPr>
          <w:b/>
        </w:rPr>
        <w:t>99-B</w:t>
      </w:r>
      <w:r>
        <w:t>: 37–43.</w:t>
      </w:r>
    </w:p>
    <w:p w:rsidR="00923610" w:rsidRDefault="0057247F">
      <w:pPr>
        <w:pStyle w:val="Bibliography"/>
      </w:pPr>
      <w:bookmarkStart w:id="39" w:name="ref-Inacio2015"/>
      <w:bookmarkEnd w:id="38"/>
      <w:r>
        <w:t xml:space="preserve">3 </w:t>
      </w:r>
      <w:proofErr w:type="spellStart"/>
      <w:r>
        <w:t>Inacio</w:t>
      </w:r>
      <w:proofErr w:type="spellEnd"/>
      <w:r>
        <w:t xml:space="preserve"> MCS, Pratt NL, </w:t>
      </w:r>
      <w:proofErr w:type="spellStart"/>
      <w:r>
        <w:t>Roughead</w:t>
      </w:r>
      <w:proofErr w:type="spellEnd"/>
      <w:r>
        <w:t xml:space="preserve"> EE, Graves SE. Using medications for prediction of revision after total joint arthroplasty. </w:t>
      </w:r>
      <w:r>
        <w:rPr>
          <w:i/>
        </w:rPr>
        <w:t>The Journal of arthroplasty</w:t>
      </w:r>
      <w:r>
        <w:t xml:space="preserve"> 2015; </w:t>
      </w:r>
      <w:r>
        <w:rPr>
          <w:b/>
        </w:rPr>
        <w:t>30</w:t>
      </w:r>
      <w:r>
        <w:t>: 2061–70.</w:t>
      </w:r>
    </w:p>
    <w:p w:rsidR="00923610" w:rsidRDefault="0057247F">
      <w:pPr>
        <w:pStyle w:val="Bibliography"/>
      </w:pPr>
      <w:bookmarkStart w:id="40" w:name="ref-Gordon2013"/>
      <w:bookmarkEnd w:id="39"/>
      <w:r>
        <w:t xml:space="preserve">4 Gordon M, Stark A, </w:t>
      </w:r>
      <w:proofErr w:type="spellStart"/>
      <w:r>
        <w:t>Sköldenberg</w:t>
      </w:r>
      <w:proofErr w:type="spellEnd"/>
      <w:r>
        <w:t xml:space="preserve"> OG, </w:t>
      </w:r>
      <w:proofErr w:type="spellStart"/>
      <w:r>
        <w:t>Kärrholm</w:t>
      </w:r>
      <w:proofErr w:type="spellEnd"/>
      <w:r>
        <w:t xml:space="preserve"> J, </w:t>
      </w:r>
      <w:proofErr w:type="spellStart"/>
      <w:r>
        <w:t>Garellick</w:t>
      </w:r>
      <w:proofErr w:type="spellEnd"/>
      <w:r>
        <w:t xml:space="preserve"> G. The influence of comorbidity scores on re-operations following primary total hip replacement: Comparison and validation of three comorbidity measures. </w:t>
      </w:r>
      <w:r>
        <w:rPr>
          <w:i/>
        </w:rPr>
        <w:t>The bone &amp; joint journal</w:t>
      </w:r>
      <w:r>
        <w:t xml:space="preserve"> 2013; </w:t>
      </w:r>
      <w:r>
        <w:rPr>
          <w:b/>
        </w:rPr>
        <w:t>95-B</w:t>
      </w:r>
      <w:r>
        <w:t>: 1184–91.</w:t>
      </w:r>
    </w:p>
    <w:p w:rsidR="00923610" w:rsidRDefault="0057247F">
      <w:pPr>
        <w:pStyle w:val="Bibliography"/>
      </w:pPr>
      <w:bookmarkStart w:id="41" w:name="ref-Hofstede2016"/>
      <w:bookmarkEnd w:id="40"/>
      <w:r>
        <w:t xml:space="preserve">5 Hofstede SN, </w:t>
      </w:r>
      <w:proofErr w:type="spellStart"/>
      <w:r>
        <w:t>Gademan</w:t>
      </w:r>
      <w:proofErr w:type="spellEnd"/>
      <w:r>
        <w:t xml:space="preserve"> MGJ, </w:t>
      </w:r>
      <w:proofErr w:type="spellStart"/>
      <w:r>
        <w:t>Vlieland</w:t>
      </w:r>
      <w:proofErr w:type="spellEnd"/>
      <w:r>
        <w:t xml:space="preserve"> TPMV, </w:t>
      </w:r>
      <w:proofErr w:type="spellStart"/>
      <w:r>
        <w:t>Nelissen</w:t>
      </w:r>
      <w:proofErr w:type="spellEnd"/>
      <w:r>
        <w:t xml:space="preserve"> RGHH, de </w:t>
      </w:r>
      <w:proofErr w:type="spellStart"/>
      <w:r>
        <w:t>Mheen</w:t>
      </w:r>
      <w:proofErr w:type="spellEnd"/>
      <w:r>
        <w:t xml:space="preserve"> PJM-v. Preoperative predictors for outcomes after total hip replacement in patients with osteoarthritis: A systematic review. </w:t>
      </w:r>
      <w:r>
        <w:rPr>
          <w:i/>
        </w:rPr>
        <w:t>BMC musculoskeletal disorders</w:t>
      </w:r>
      <w:r>
        <w:t xml:space="preserve"> 2016; </w:t>
      </w:r>
      <w:r>
        <w:rPr>
          <w:b/>
        </w:rPr>
        <w:t>17</w:t>
      </w:r>
      <w:r>
        <w:t>: 212.</w:t>
      </w:r>
    </w:p>
    <w:p w:rsidR="00923610" w:rsidRDefault="0057247F">
      <w:pPr>
        <w:pStyle w:val="Bibliography"/>
      </w:pPr>
      <w:bookmarkStart w:id="42" w:name="ref-Bulow2017"/>
      <w:bookmarkEnd w:id="41"/>
      <w:r>
        <w:t xml:space="preserve">6 </w:t>
      </w:r>
      <w:proofErr w:type="spellStart"/>
      <w:r>
        <w:t>Bülow</w:t>
      </w:r>
      <w:proofErr w:type="spellEnd"/>
      <w:r>
        <w:t xml:space="preserve"> E, </w:t>
      </w:r>
      <w:proofErr w:type="spellStart"/>
      <w:r>
        <w:t>Rolfson</w:t>
      </w:r>
      <w:proofErr w:type="spellEnd"/>
      <w:r>
        <w:t xml:space="preserve"> O, </w:t>
      </w:r>
      <w:proofErr w:type="spellStart"/>
      <w:r>
        <w:t>Cnudde</w:t>
      </w:r>
      <w:proofErr w:type="spellEnd"/>
      <w:r>
        <w:t xml:space="preserve"> P, </w:t>
      </w:r>
      <w:proofErr w:type="spellStart"/>
      <w:r>
        <w:t>Rogmark</w:t>
      </w:r>
      <w:proofErr w:type="spellEnd"/>
      <w:r>
        <w:t xml:space="preserve"> C, </w:t>
      </w:r>
      <w:proofErr w:type="spellStart"/>
      <w:r>
        <w:t>Garellick</w:t>
      </w:r>
      <w:proofErr w:type="spellEnd"/>
      <w:r>
        <w:t xml:space="preserve"> G, </w:t>
      </w:r>
      <w:proofErr w:type="spellStart"/>
      <w:r>
        <w:t>Nemes</w:t>
      </w:r>
      <w:proofErr w:type="spellEnd"/>
      <w:r>
        <w:t xml:space="preserve"> S. Comorbidity does not predict long-term mortality after total hip arthroplasty. </w:t>
      </w:r>
      <w:proofErr w:type="spellStart"/>
      <w:r>
        <w:rPr>
          <w:i/>
        </w:rPr>
        <w:t>Acta</w:t>
      </w:r>
      <w:proofErr w:type="spellEnd"/>
      <w:r>
        <w:rPr>
          <w:i/>
        </w:rPr>
        <w:t xml:space="preserve"> </w:t>
      </w:r>
      <w:proofErr w:type="spellStart"/>
      <w:r>
        <w:rPr>
          <w:i/>
        </w:rPr>
        <w:t>Orthopaedica</w:t>
      </w:r>
      <w:proofErr w:type="spellEnd"/>
      <w:r>
        <w:t xml:space="preserve"> 2017; </w:t>
      </w:r>
      <w:r>
        <w:rPr>
          <w:b/>
        </w:rPr>
        <w:t>88</w:t>
      </w:r>
      <w:r>
        <w:t>: 1–6.</w:t>
      </w:r>
    </w:p>
    <w:p w:rsidR="00923610" w:rsidRDefault="0057247F">
      <w:pPr>
        <w:pStyle w:val="Bibliography"/>
      </w:pPr>
      <w:bookmarkStart w:id="43" w:name="ref-Brusselaers2017"/>
      <w:bookmarkEnd w:id="42"/>
      <w:r>
        <w:t xml:space="preserve">7 </w:t>
      </w:r>
      <w:proofErr w:type="spellStart"/>
      <w:r>
        <w:t>Brusselaers</w:t>
      </w:r>
      <w:proofErr w:type="spellEnd"/>
      <w:r>
        <w:t xml:space="preserve"> N, </w:t>
      </w:r>
      <w:proofErr w:type="spellStart"/>
      <w:r>
        <w:t>Lagergren</w:t>
      </w:r>
      <w:proofErr w:type="spellEnd"/>
      <w:r>
        <w:t xml:space="preserve"> J. The </w:t>
      </w:r>
      <w:proofErr w:type="spellStart"/>
      <w:r>
        <w:t>charlson</w:t>
      </w:r>
      <w:proofErr w:type="spellEnd"/>
      <w:r>
        <w:t xml:space="preserve"> comorbidity index in registry-based research. </w:t>
      </w:r>
      <w:r>
        <w:rPr>
          <w:i/>
        </w:rPr>
        <w:t>Methods of Information in Medicine</w:t>
      </w:r>
      <w:r>
        <w:t xml:space="preserve"> 2017; </w:t>
      </w:r>
      <w:r>
        <w:rPr>
          <w:b/>
        </w:rPr>
        <w:t>56</w:t>
      </w:r>
      <w:r>
        <w:t>: 401–6.</w:t>
      </w:r>
    </w:p>
    <w:p w:rsidR="00923610" w:rsidRDefault="0057247F">
      <w:pPr>
        <w:pStyle w:val="Bibliography"/>
      </w:pPr>
      <w:bookmarkStart w:id="44" w:name="ref-Walraven2009"/>
      <w:bookmarkEnd w:id="43"/>
      <w:r>
        <w:t xml:space="preserve">8 </w:t>
      </w:r>
      <w:proofErr w:type="spellStart"/>
      <w:r>
        <w:t>Walraven</w:t>
      </w:r>
      <w:proofErr w:type="spellEnd"/>
      <w:r>
        <w:t xml:space="preserve"> CV, Austin PC, Jennings A </w:t>
      </w:r>
      <w:r>
        <w:rPr>
          <w:i/>
        </w:rPr>
        <w:t>et al.</w:t>
      </w:r>
      <w:r>
        <w:t xml:space="preserve"> A modification of the </w:t>
      </w:r>
      <w:proofErr w:type="spellStart"/>
      <w:r>
        <w:t>elixhauser</w:t>
      </w:r>
      <w:proofErr w:type="spellEnd"/>
      <w:r>
        <w:t xml:space="preserve"> comorbidity measures into a point system for hospital death using administrative data. </w:t>
      </w:r>
      <w:r>
        <w:rPr>
          <w:i/>
        </w:rPr>
        <w:t>Med</w:t>
      </w:r>
      <w:r>
        <w:t xml:space="preserve"> 2009; </w:t>
      </w:r>
      <w:r>
        <w:rPr>
          <w:b/>
        </w:rPr>
        <w:t>47</w:t>
      </w:r>
      <w:r>
        <w:t>: 626–33.</w:t>
      </w:r>
    </w:p>
    <w:p w:rsidR="00923610" w:rsidRDefault="0057247F">
      <w:pPr>
        <w:pStyle w:val="Bibliography"/>
      </w:pPr>
      <w:bookmarkStart w:id="45" w:name="ref-Bozic2013a"/>
      <w:bookmarkEnd w:id="44"/>
      <w:r>
        <w:t xml:space="preserve">9 </w:t>
      </w:r>
      <w:proofErr w:type="spellStart"/>
      <w:r>
        <w:t>Bozic</w:t>
      </w:r>
      <w:proofErr w:type="spellEnd"/>
      <w:r>
        <w:t xml:space="preserve"> KJ, Ong K, Lau E </w:t>
      </w:r>
      <w:r>
        <w:rPr>
          <w:i/>
        </w:rPr>
        <w:t>et al.</w:t>
      </w:r>
      <w:r>
        <w:t xml:space="preserve"> Estimating risk in </w:t>
      </w:r>
      <w:proofErr w:type="spellStart"/>
      <w:r>
        <w:t>medicare</w:t>
      </w:r>
      <w:proofErr w:type="spellEnd"/>
      <w:r>
        <w:t xml:space="preserve"> patients with THA: An electronic risk calculator for </w:t>
      </w:r>
      <w:proofErr w:type="spellStart"/>
      <w:r>
        <w:t>periprosthetic</w:t>
      </w:r>
      <w:proofErr w:type="spellEnd"/>
      <w:r>
        <w:t xml:space="preserve"> joint infection and mortality. </w:t>
      </w:r>
      <w:r>
        <w:rPr>
          <w:i/>
        </w:rPr>
        <w:t xml:space="preserve">Clinical </w:t>
      </w:r>
      <w:proofErr w:type="spellStart"/>
      <w:r>
        <w:rPr>
          <w:i/>
        </w:rPr>
        <w:t>Orthopaedics</w:t>
      </w:r>
      <w:proofErr w:type="spellEnd"/>
      <w:r>
        <w:rPr>
          <w:i/>
        </w:rPr>
        <w:t xml:space="preserve"> and Related Research</w:t>
      </w:r>
      <w:r>
        <w:t xml:space="preserve"> 2013; </w:t>
      </w:r>
      <w:r>
        <w:rPr>
          <w:b/>
        </w:rPr>
        <w:t>471</w:t>
      </w:r>
      <w:r>
        <w:t>: 574–83.</w:t>
      </w:r>
    </w:p>
    <w:p w:rsidR="00923610" w:rsidRDefault="0057247F">
      <w:pPr>
        <w:pStyle w:val="Bibliography"/>
      </w:pPr>
      <w:bookmarkStart w:id="46" w:name="ref-Bozic2013b"/>
      <w:bookmarkEnd w:id="45"/>
      <w:r>
        <w:t xml:space="preserve">10 </w:t>
      </w:r>
      <w:proofErr w:type="spellStart"/>
      <w:r>
        <w:t>Bozic</w:t>
      </w:r>
      <w:proofErr w:type="spellEnd"/>
      <w:r>
        <w:t xml:space="preserve"> KJ. </w:t>
      </w:r>
      <w:proofErr w:type="spellStart"/>
      <w:r>
        <w:t>Orthopaedic</w:t>
      </w:r>
      <w:proofErr w:type="spellEnd"/>
      <w:r>
        <w:t xml:space="preserve"> healthcare worldwide: Shared medical decision making in </w:t>
      </w:r>
      <w:proofErr w:type="spellStart"/>
      <w:r>
        <w:t>orthopaedics</w:t>
      </w:r>
      <w:proofErr w:type="spellEnd"/>
      <w:r>
        <w:t xml:space="preserve">. </w:t>
      </w:r>
      <w:r>
        <w:rPr>
          <w:i/>
        </w:rPr>
        <w:t xml:space="preserve">Clinical </w:t>
      </w:r>
      <w:proofErr w:type="spellStart"/>
      <w:r>
        <w:rPr>
          <w:i/>
        </w:rPr>
        <w:t>Orthopaedics</w:t>
      </w:r>
      <w:proofErr w:type="spellEnd"/>
      <w:r>
        <w:rPr>
          <w:i/>
        </w:rPr>
        <w:t xml:space="preserve"> and Related Research</w:t>
      </w:r>
      <w:r>
        <w:t xml:space="preserve"> 2013; </w:t>
      </w:r>
      <w:r>
        <w:rPr>
          <w:b/>
        </w:rPr>
        <w:t>471</w:t>
      </w:r>
      <w:r>
        <w:t>: 1412–4.</w:t>
      </w:r>
    </w:p>
    <w:p w:rsidR="00923610" w:rsidRDefault="0057247F">
      <w:pPr>
        <w:pStyle w:val="Bibliography"/>
      </w:pPr>
      <w:bookmarkStart w:id="47" w:name="ref-Harris2018"/>
      <w:bookmarkEnd w:id="46"/>
      <w:r>
        <w:t xml:space="preserve">11 Harris AHS, </w:t>
      </w:r>
      <w:proofErr w:type="spellStart"/>
      <w:r>
        <w:t>Kuo</w:t>
      </w:r>
      <w:proofErr w:type="spellEnd"/>
      <w:r>
        <w:t xml:space="preserve"> AC, </w:t>
      </w:r>
      <w:proofErr w:type="spellStart"/>
      <w:r>
        <w:t>Bozic</w:t>
      </w:r>
      <w:proofErr w:type="spellEnd"/>
      <w:r>
        <w:t xml:space="preserve"> KJ </w:t>
      </w:r>
      <w:r>
        <w:rPr>
          <w:i/>
        </w:rPr>
        <w:t>et al.</w:t>
      </w:r>
      <w:r>
        <w:t xml:space="preserve"> American joint replacement registry risk calculator does not predict 90-day mortality in veterans undergoing total joint replacement. </w:t>
      </w:r>
      <w:r>
        <w:rPr>
          <w:i/>
        </w:rPr>
        <w:t xml:space="preserve">Clinical </w:t>
      </w:r>
      <w:proofErr w:type="spellStart"/>
      <w:r>
        <w:rPr>
          <w:i/>
        </w:rPr>
        <w:t>Orthopaedics</w:t>
      </w:r>
      <w:proofErr w:type="spellEnd"/>
      <w:r>
        <w:rPr>
          <w:i/>
        </w:rPr>
        <w:t xml:space="preserve"> and Related Research</w:t>
      </w:r>
      <w:r>
        <w:t xml:space="preserve"> 2018; </w:t>
      </w:r>
      <w:r>
        <w:rPr>
          <w:b/>
        </w:rPr>
        <w:t>476</w:t>
      </w:r>
      <w:r>
        <w:t>: 1869–75.</w:t>
      </w:r>
    </w:p>
    <w:p w:rsidR="00923610" w:rsidRDefault="0057247F">
      <w:pPr>
        <w:pStyle w:val="Bibliography"/>
      </w:pPr>
      <w:bookmarkStart w:id="48" w:name="ref-Harris2018a"/>
      <w:bookmarkEnd w:id="47"/>
      <w:r>
        <w:t xml:space="preserve">12 Harris AH, </w:t>
      </w:r>
      <w:proofErr w:type="spellStart"/>
      <w:r>
        <w:t>Kuo</w:t>
      </w:r>
      <w:proofErr w:type="spellEnd"/>
      <w:r>
        <w:t xml:space="preserve"> AC, Bowe T, Gupta S, </w:t>
      </w:r>
      <w:proofErr w:type="spellStart"/>
      <w:r>
        <w:t>Nordin</w:t>
      </w:r>
      <w:proofErr w:type="spellEnd"/>
      <w:r>
        <w:t xml:space="preserve"> D, </w:t>
      </w:r>
      <w:proofErr w:type="spellStart"/>
      <w:r>
        <w:t>Giori</w:t>
      </w:r>
      <w:proofErr w:type="spellEnd"/>
      <w:r>
        <w:t xml:space="preserve"> NJ. Prediction models for 30-Day mortality and complications after total knee and hip arthroplasties for veteran health administration patients with osteoarthritis. </w:t>
      </w:r>
      <w:r>
        <w:rPr>
          <w:i/>
        </w:rPr>
        <w:t>The Journal of Arthroplasty</w:t>
      </w:r>
      <w:r>
        <w:t xml:space="preserve"> 2018; </w:t>
      </w:r>
      <w:r>
        <w:rPr>
          <w:b/>
        </w:rPr>
        <w:t>33</w:t>
      </w:r>
      <w:r>
        <w:t>: 1539–45.</w:t>
      </w:r>
    </w:p>
    <w:p w:rsidR="00923610" w:rsidRDefault="0057247F">
      <w:pPr>
        <w:pStyle w:val="Bibliography"/>
      </w:pPr>
      <w:bookmarkStart w:id="49" w:name="ref-Inacio2016"/>
      <w:bookmarkEnd w:id="48"/>
      <w:r>
        <w:lastRenderedPageBreak/>
        <w:t xml:space="preserve">13 </w:t>
      </w:r>
      <w:proofErr w:type="spellStart"/>
      <w:r>
        <w:t>Inacio</w:t>
      </w:r>
      <w:proofErr w:type="spellEnd"/>
      <w:r>
        <w:t xml:space="preserve"> MCCS, Pratt NLL, </w:t>
      </w:r>
      <w:proofErr w:type="spellStart"/>
      <w:r>
        <w:t>Roughead</w:t>
      </w:r>
      <w:proofErr w:type="spellEnd"/>
      <w:r>
        <w:t xml:space="preserve"> EEE, Graves SEE. Evaluation of three co-morbidity measures to predict mortality in patients undergoing total joint arthroplasty. </w:t>
      </w:r>
      <w:r>
        <w:rPr>
          <w:i/>
        </w:rPr>
        <w:t>Osteoarthritis and cartilage</w:t>
      </w:r>
      <w:r>
        <w:t xml:space="preserve"> 2016; </w:t>
      </w:r>
      <w:r>
        <w:rPr>
          <w:b/>
        </w:rPr>
        <w:t>24</w:t>
      </w:r>
      <w:r>
        <w:t>: 1718–26.</w:t>
      </w:r>
    </w:p>
    <w:p w:rsidR="00923610" w:rsidRDefault="0057247F">
      <w:pPr>
        <w:pStyle w:val="Bibliography"/>
      </w:pPr>
      <w:bookmarkStart w:id="50" w:name="ref-Price2019"/>
      <w:bookmarkEnd w:id="49"/>
      <w:r>
        <w:t xml:space="preserve">14 Price A, Smith J, Dakin H </w:t>
      </w:r>
      <w:r>
        <w:rPr>
          <w:i/>
        </w:rPr>
        <w:t>et al.</w:t>
      </w:r>
      <w:r>
        <w:t xml:space="preserve"> The Arthroplasty Candidacy Help Engine tool to select candidates for hip and knee replacement surgery: Development and economic modelling. </w:t>
      </w:r>
      <w:r>
        <w:rPr>
          <w:i/>
        </w:rPr>
        <w:t>Health Technology Assessment</w:t>
      </w:r>
      <w:r>
        <w:t xml:space="preserve"> 2019; </w:t>
      </w:r>
      <w:r>
        <w:rPr>
          <w:b/>
        </w:rPr>
        <w:t>23</w:t>
      </w:r>
      <w:r>
        <w:t>: 1–216.</w:t>
      </w:r>
    </w:p>
    <w:p w:rsidR="00923610" w:rsidRDefault="0057247F">
      <w:pPr>
        <w:pStyle w:val="Bibliography"/>
      </w:pPr>
      <w:bookmarkStart w:id="51" w:name="ref-Harris2019"/>
      <w:bookmarkEnd w:id="50"/>
      <w:r>
        <w:t xml:space="preserve">15 Harris AHS, </w:t>
      </w:r>
      <w:proofErr w:type="spellStart"/>
      <w:r>
        <w:t>Kuo</w:t>
      </w:r>
      <w:proofErr w:type="spellEnd"/>
      <w:r>
        <w:t xml:space="preserve"> AC, </w:t>
      </w:r>
      <w:proofErr w:type="spellStart"/>
      <w:r>
        <w:t>Weng</w:t>
      </w:r>
      <w:proofErr w:type="spellEnd"/>
      <w:r>
        <w:t xml:space="preserve"> Y, </w:t>
      </w:r>
      <w:proofErr w:type="spellStart"/>
      <w:r>
        <w:t>Trickey</w:t>
      </w:r>
      <w:proofErr w:type="spellEnd"/>
      <w:r>
        <w:t xml:space="preserve"> AW, Bowe T, </w:t>
      </w:r>
      <w:proofErr w:type="spellStart"/>
      <w:r>
        <w:t>Giori</w:t>
      </w:r>
      <w:proofErr w:type="spellEnd"/>
      <w:r>
        <w:t xml:space="preserve"> NJ. Can machine learning methods produce accurate and easy-to-use prediction models of 30-day complications and mortality after knee or hip arthroplasty? </w:t>
      </w:r>
      <w:r>
        <w:rPr>
          <w:i/>
        </w:rPr>
        <w:t xml:space="preserve">Clinical </w:t>
      </w:r>
      <w:proofErr w:type="spellStart"/>
      <w:r>
        <w:rPr>
          <w:i/>
        </w:rPr>
        <w:t>Orthopaedics</w:t>
      </w:r>
      <w:proofErr w:type="spellEnd"/>
      <w:r>
        <w:rPr>
          <w:i/>
        </w:rPr>
        <w:t xml:space="preserve"> and Related Research</w:t>
      </w:r>
      <w:r>
        <w:t xml:space="preserve"> 2019; </w:t>
      </w:r>
      <w:r>
        <w:rPr>
          <w:b/>
        </w:rPr>
        <w:t>477</w:t>
      </w:r>
      <w:r>
        <w:t>: 452–60.</w:t>
      </w:r>
    </w:p>
    <w:p w:rsidR="00923610" w:rsidRDefault="0057247F">
      <w:pPr>
        <w:pStyle w:val="Bibliography"/>
      </w:pPr>
      <w:bookmarkStart w:id="52" w:name="ref-Manning2016"/>
      <w:bookmarkEnd w:id="51"/>
      <w:r>
        <w:t xml:space="preserve">16 Manning DW, Edelstein AI, </w:t>
      </w:r>
      <w:proofErr w:type="spellStart"/>
      <w:r>
        <w:t>Alvi</w:t>
      </w:r>
      <w:proofErr w:type="spellEnd"/>
      <w:r>
        <w:t xml:space="preserve"> HM. Risk prediction tools for hip and knee arthroplasty. </w:t>
      </w:r>
      <w:r>
        <w:rPr>
          <w:i/>
        </w:rPr>
        <w:t xml:space="preserve">The Journal of the American Academy of </w:t>
      </w:r>
      <w:proofErr w:type="spellStart"/>
      <w:r>
        <w:rPr>
          <w:i/>
        </w:rPr>
        <w:t>Orthopaedic</w:t>
      </w:r>
      <w:proofErr w:type="spellEnd"/>
      <w:r>
        <w:rPr>
          <w:i/>
        </w:rPr>
        <w:t xml:space="preserve"> Surgeons</w:t>
      </w:r>
      <w:r>
        <w:t xml:space="preserve"> 2016; </w:t>
      </w:r>
      <w:r>
        <w:rPr>
          <w:b/>
        </w:rPr>
        <w:t>24</w:t>
      </w:r>
      <w:r>
        <w:t>: 19–27.</w:t>
      </w:r>
    </w:p>
    <w:p w:rsidR="00923610" w:rsidRDefault="0057247F">
      <w:pPr>
        <w:pStyle w:val="Bibliography"/>
      </w:pPr>
      <w:bookmarkStart w:id="53" w:name="ref-Bulow2020"/>
      <w:bookmarkEnd w:id="52"/>
      <w:r>
        <w:t xml:space="preserve">17 </w:t>
      </w:r>
      <w:proofErr w:type="spellStart"/>
      <w:r>
        <w:t>Bülow</w:t>
      </w:r>
      <w:proofErr w:type="spellEnd"/>
      <w:r>
        <w:t xml:space="preserve"> E, </w:t>
      </w:r>
      <w:proofErr w:type="spellStart"/>
      <w:r>
        <w:t>Nemes</w:t>
      </w:r>
      <w:proofErr w:type="spellEnd"/>
      <w:r>
        <w:t xml:space="preserve"> S, </w:t>
      </w:r>
      <w:proofErr w:type="spellStart"/>
      <w:r>
        <w:t>Rolfson</w:t>
      </w:r>
      <w:proofErr w:type="spellEnd"/>
      <w:r>
        <w:t xml:space="preserve"> O. Are the first or the second hips of staged bilateral THAs more similar to unilateral procedures? A study from the </w:t>
      </w:r>
      <w:proofErr w:type="spellStart"/>
      <w:proofErr w:type="gramStart"/>
      <w:r>
        <w:t>swedish</w:t>
      </w:r>
      <w:proofErr w:type="spellEnd"/>
      <w:proofErr w:type="gramEnd"/>
      <w:r>
        <w:t xml:space="preserve"> hip arthroplasty register. </w:t>
      </w:r>
      <w:r>
        <w:rPr>
          <w:i/>
        </w:rPr>
        <w:t xml:space="preserve">Clinical </w:t>
      </w:r>
      <w:proofErr w:type="spellStart"/>
      <w:r>
        <w:rPr>
          <w:i/>
        </w:rPr>
        <w:t>Orthopaedics</w:t>
      </w:r>
      <w:proofErr w:type="spellEnd"/>
      <w:r>
        <w:rPr>
          <w:i/>
        </w:rPr>
        <w:t xml:space="preserve"> and Related Research</w:t>
      </w:r>
      <w:r>
        <w:t xml:space="preserve"> 2020</w:t>
      </w:r>
      <w:proofErr w:type="gramStart"/>
      <w:r>
        <w:t>;:</w:t>
      </w:r>
      <w:proofErr w:type="gramEnd"/>
      <w:r>
        <w:t xml:space="preserve"> 1.</w:t>
      </w:r>
    </w:p>
    <w:p w:rsidR="00923610" w:rsidRDefault="0057247F">
      <w:pPr>
        <w:pStyle w:val="Bibliography"/>
      </w:pPr>
      <w:bookmarkStart w:id="54" w:name="ref-Ludvigsson2009"/>
      <w:bookmarkEnd w:id="53"/>
      <w:r>
        <w:t xml:space="preserve">18 </w:t>
      </w:r>
      <w:proofErr w:type="spellStart"/>
      <w:r>
        <w:t>Ludvigsson</w:t>
      </w:r>
      <w:proofErr w:type="spellEnd"/>
      <w:r>
        <w:t xml:space="preserve"> JF, </w:t>
      </w:r>
      <w:proofErr w:type="spellStart"/>
      <w:r>
        <w:t>Otterblad</w:t>
      </w:r>
      <w:proofErr w:type="spellEnd"/>
      <w:r>
        <w:t xml:space="preserve">-Olausson P, </w:t>
      </w:r>
      <w:proofErr w:type="spellStart"/>
      <w:r>
        <w:t>Pettersson</w:t>
      </w:r>
      <w:proofErr w:type="spellEnd"/>
      <w:r>
        <w:t xml:space="preserve"> BU, Ekbom A. The Swedish personal identity number: Possibilities and pitfalls in healthcare and medical research. </w:t>
      </w:r>
      <w:r>
        <w:rPr>
          <w:i/>
        </w:rPr>
        <w:t>European Journal of Epidemiology</w:t>
      </w:r>
      <w:r>
        <w:t xml:space="preserve"> 2009; </w:t>
      </w:r>
      <w:r>
        <w:rPr>
          <w:b/>
        </w:rPr>
        <w:t>24</w:t>
      </w:r>
      <w:r>
        <w:t>: 659–67.</w:t>
      </w:r>
    </w:p>
    <w:p w:rsidR="00923610" w:rsidRPr="001A200B" w:rsidRDefault="0057247F">
      <w:pPr>
        <w:pStyle w:val="Bibliography"/>
        <w:rPr>
          <w:lang w:val="sv-SE"/>
        </w:rPr>
      </w:pPr>
      <w:bookmarkStart w:id="55" w:name="ref-Cnudde2016"/>
      <w:bookmarkEnd w:id="54"/>
      <w:r>
        <w:t xml:space="preserve">19 </w:t>
      </w:r>
      <w:proofErr w:type="spellStart"/>
      <w:r>
        <w:t>Cnudde</w:t>
      </w:r>
      <w:proofErr w:type="spellEnd"/>
      <w:r>
        <w:t xml:space="preserve"> P, </w:t>
      </w:r>
      <w:proofErr w:type="spellStart"/>
      <w:r>
        <w:t>Rolfson</w:t>
      </w:r>
      <w:proofErr w:type="spellEnd"/>
      <w:r>
        <w:t xml:space="preserve"> O, </w:t>
      </w:r>
      <w:proofErr w:type="spellStart"/>
      <w:r>
        <w:t>Nemes</w:t>
      </w:r>
      <w:proofErr w:type="spellEnd"/>
      <w:r>
        <w:t xml:space="preserve"> S </w:t>
      </w:r>
      <w:r>
        <w:rPr>
          <w:i/>
        </w:rPr>
        <w:t>et al.</w:t>
      </w:r>
      <w:r>
        <w:t xml:space="preserve"> Linking Swedish health data registers to establish a research database and a shared decision-making tool in hip replacement. </w:t>
      </w:r>
      <w:r w:rsidRPr="001A200B">
        <w:rPr>
          <w:i/>
          <w:lang w:val="sv-SE"/>
        </w:rPr>
        <w:t>BMC Musculoskeletal Disorders</w:t>
      </w:r>
      <w:r w:rsidRPr="001A200B">
        <w:rPr>
          <w:lang w:val="sv-SE"/>
        </w:rPr>
        <w:t xml:space="preserve"> 2016; </w:t>
      </w:r>
      <w:r w:rsidRPr="001A200B">
        <w:rPr>
          <w:b/>
          <w:lang w:val="sv-SE"/>
        </w:rPr>
        <w:t>17</w:t>
      </w:r>
      <w:r w:rsidRPr="001A200B">
        <w:rPr>
          <w:lang w:val="sv-SE"/>
        </w:rPr>
        <w:t>: 414.</w:t>
      </w:r>
    </w:p>
    <w:p w:rsidR="00923610" w:rsidRDefault="0057247F">
      <w:pPr>
        <w:pStyle w:val="Bibliography"/>
      </w:pPr>
      <w:bookmarkStart w:id="56" w:name="ref-Karrholm2018"/>
      <w:bookmarkEnd w:id="55"/>
      <w:r w:rsidRPr="001A200B">
        <w:rPr>
          <w:lang w:val="sv-SE"/>
        </w:rPr>
        <w:t xml:space="preserve">20 Kärrholm J, Mohaddes M, Odin D, Vinblad J, Rogmark C, Rolfson O. Svenska höftprotesregistret Årsrapport 2017. </w:t>
      </w:r>
      <w:r>
        <w:t>2018.</w:t>
      </w:r>
    </w:p>
    <w:p w:rsidR="00923610" w:rsidRDefault="0057247F">
      <w:pPr>
        <w:pStyle w:val="Bibliography"/>
      </w:pPr>
      <w:bookmarkStart w:id="57" w:name="ref-Ludvigsson2019"/>
      <w:bookmarkEnd w:id="56"/>
      <w:r>
        <w:t xml:space="preserve">21 </w:t>
      </w:r>
      <w:proofErr w:type="spellStart"/>
      <w:r>
        <w:t>Ludvigsson</w:t>
      </w:r>
      <w:proofErr w:type="spellEnd"/>
      <w:r>
        <w:t xml:space="preserve"> JF, Svedberg P, </w:t>
      </w:r>
      <w:proofErr w:type="spellStart"/>
      <w:r>
        <w:t>Olén</w:t>
      </w:r>
      <w:proofErr w:type="spellEnd"/>
      <w:r>
        <w:t xml:space="preserve"> O, </w:t>
      </w:r>
      <w:proofErr w:type="spellStart"/>
      <w:r>
        <w:t>Bruze</w:t>
      </w:r>
      <w:proofErr w:type="spellEnd"/>
      <w:r>
        <w:t xml:space="preserve"> G, </w:t>
      </w:r>
      <w:proofErr w:type="spellStart"/>
      <w:r>
        <w:t>Neovius</w:t>
      </w:r>
      <w:proofErr w:type="spellEnd"/>
      <w:r>
        <w:t xml:space="preserve"> M. The longitudinal integrated database for health insurance and </w:t>
      </w:r>
      <w:proofErr w:type="spellStart"/>
      <w:r>
        <w:t>labour</w:t>
      </w:r>
      <w:proofErr w:type="spellEnd"/>
      <w:r>
        <w:t xml:space="preserve"> market studies (LISA) and its use in medical research. </w:t>
      </w:r>
      <w:r>
        <w:rPr>
          <w:i/>
        </w:rPr>
        <w:t>European Journal of Epidemiology</w:t>
      </w:r>
      <w:r>
        <w:t xml:space="preserve"> 2019; </w:t>
      </w:r>
      <w:r>
        <w:rPr>
          <w:b/>
        </w:rPr>
        <w:t>34</w:t>
      </w:r>
      <w:r>
        <w:t>: 423–37.</w:t>
      </w:r>
    </w:p>
    <w:p w:rsidR="00923610" w:rsidRDefault="0057247F">
      <w:pPr>
        <w:pStyle w:val="Bibliography"/>
      </w:pPr>
      <w:bookmarkStart w:id="58" w:name="ref-Ludvigsson2011"/>
      <w:bookmarkEnd w:id="57"/>
      <w:r>
        <w:t xml:space="preserve">22 </w:t>
      </w:r>
      <w:proofErr w:type="spellStart"/>
      <w:r>
        <w:t>Ludvigsson</w:t>
      </w:r>
      <w:proofErr w:type="spellEnd"/>
      <w:r>
        <w:t xml:space="preserve"> JF, </w:t>
      </w:r>
      <w:proofErr w:type="spellStart"/>
      <w:r>
        <w:t>Andersson</w:t>
      </w:r>
      <w:proofErr w:type="spellEnd"/>
      <w:r>
        <w:t xml:space="preserve"> E, Ekbom </w:t>
      </w:r>
      <w:proofErr w:type="gramStart"/>
      <w:r>
        <w:t>A</w:t>
      </w:r>
      <w:proofErr w:type="gramEnd"/>
      <w:r>
        <w:t xml:space="preserve"> </w:t>
      </w:r>
      <w:r>
        <w:rPr>
          <w:i/>
        </w:rPr>
        <w:t>et al.</w:t>
      </w:r>
      <w:r>
        <w:t xml:space="preserve"> External review and validation of the Swedish national inpatient register. </w:t>
      </w:r>
      <w:r>
        <w:rPr>
          <w:i/>
        </w:rPr>
        <w:t>BMC Public Health</w:t>
      </w:r>
      <w:r>
        <w:t xml:space="preserve"> 2011; </w:t>
      </w:r>
      <w:r>
        <w:rPr>
          <w:b/>
        </w:rPr>
        <w:t>11</w:t>
      </w:r>
      <w:r>
        <w:t>: 450.</w:t>
      </w:r>
    </w:p>
    <w:p w:rsidR="00923610" w:rsidRDefault="0057247F">
      <w:pPr>
        <w:pStyle w:val="Bibliography"/>
      </w:pPr>
      <w:bookmarkStart w:id="59" w:name="ref-Brophy2006"/>
      <w:bookmarkEnd w:id="58"/>
      <w:r>
        <w:t xml:space="preserve">23 </w:t>
      </w:r>
      <w:proofErr w:type="spellStart"/>
      <w:r>
        <w:t>Brophy</w:t>
      </w:r>
      <w:proofErr w:type="spellEnd"/>
      <w:r>
        <w:t xml:space="preserve"> S, John G, Evans E, Lyons RA. Methodological issues in the identification of hip fractures using routine hospital data: A database study. </w:t>
      </w:r>
      <w:r>
        <w:rPr>
          <w:i/>
        </w:rPr>
        <w:t>Osteoporosis International</w:t>
      </w:r>
      <w:r>
        <w:t xml:space="preserve"> 2006; </w:t>
      </w:r>
      <w:r>
        <w:rPr>
          <w:b/>
        </w:rPr>
        <w:t>17</w:t>
      </w:r>
      <w:r>
        <w:t>: 405–9.</w:t>
      </w:r>
    </w:p>
    <w:p w:rsidR="00923610" w:rsidRDefault="0057247F">
      <w:pPr>
        <w:pStyle w:val="Bibliography"/>
      </w:pPr>
      <w:bookmarkStart w:id="60" w:name="ref-Burns2012"/>
      <w:bookmarkEnd w:id="59"/>
      <w:r>
        <w:t xml:space="preserve">24 Burns EM, Rigby E, </w:t>
      </w:r>
      <w:proofErr w:type="spellStart"/>
      <w:r>
        <w:t>Mamidanna</w:t>
      </w:r>
      <w:proofErr w:type="spellEnd"/>
      <w:r>
        <w:t xml:space="preserve"> R </w:t>
      </w:r>
      <w:r>
        <w:rPr>
          <w:i/>
        </w:rPr>
        <w:t>et al.</w:t>
      </w:r>
      <w:r>
        <w:t xml:space="preserve"> Systematic review of discharge coding accuracy. </w:t>
      </w:r>
      <w:r>
        <w:rPr>
          <w:i/>
        </w:rPr>
        <w:t>Journal of Public Health</w:t>
      </w:r>
      <w:r>
        <w:t xml:space="preserve"> 2012; </w:t>
      </w:r>
      <w:r>
        <w:rPr>
          <w:b/>
        </w:rPr>
        <w:t>34</w:t>
      </w:r>
      <w:r>
        <w:t>: 138–48.</w:t>
      </w:r>
    </w:p>
    <w:p w:rsidR="00923610" w:rsidRDefault="0057247F">
      <w:pPr>
        <w:pStyle w:val="Bibliography"/>
      </w:pPr>
      <w:bookmarkStart w:id="61" w:name="ref-Sinha2013"/>
      <w:bookmarkEnd w:id="60"/>
      <w:r>
        <w:t xml:space="preserve">25 Sinha S, Peach G, </w:t>
      </w:r>
      <w:proofErr w:type="spellStart"/>
      <w:r>
        <w:t>Poloniecki</w:t>
      </w:r>
      <w:proofErr w:type="spellEnd"/>
      <w:r>
        <w:t xml:space="preserve"> JD, Thompson MM, Holt PJ. Studies using English administrative data (Hospital Episode Statistics) to assess health-care </w:t>
      </w:r>
      <w:proofErr w:type="spellStart"/>
      <w:r>
        <w:t>outcomesSystematic</w:t>
      </w:r>
      <w:proofErr w:type="spellEnd"/>
      <w:r>
        <w:t xml:space="preserve"> review and recommendations for reporting. </w:t>
      </w:r>
      <w:r>
        <w:rPr>
          <w:i/>
        </w:rPr>
        <w:t>European Journal of Public Health</w:t>
      </w:r>
      <w:r>
        <w:t xml:space="preserve"> 2013; </w:t>
      </w:r>
      <w:r>
        <w:rPr>
          <w:b/>
        </w:rPr>
        <w:t>23</w:t>
      </w:r>
      <w:r>
        <w:t>: 86–92.</w:t>
      </w:r>
    </w:p>
    <w:p w:rsidR="00923610" w:rsidRDefault="0057247F">
      <w:pPr>
        <w:pStyle w:val="Bibliography"/>
      </w:pPr>
      <w:bookmarkStart w:id="62" w:name="ref-Simmonds2014"/>
      <w:bookmarkEnd w:id="61"/>
      <w:r>
        <w:lastRenderedPageBreak/>
        <w:t xml:space="preserve">26 Simmonds SJ, </w:t>
      </w:r>
      <w:proofErr w:type="spellStart"/>
      <w:r>
        <w:t>Syddall</w:t>
      </w:r>
      <w:proofErr w:type="spellEnd"/>
      <w:r>
        <w:t xml:space="preserve"> HE, </w:t>
      </w:r>
      <w:proofErr w:type="gramStart"/>
      <w:r>
        <w:t>Walsh</w:t>
      </w:r>
      <w:proofErr w:type="gramEnd"/>
      <w:r>
        <w:t xml:space="preserve"> B </w:t>
      </w:r>
      <w:r>
        <w:rPr>
          <w:i/>
        </w:rPr>
        <w:t>et al.</w:t>
      </w:r>
      <w:r>
        <w:t xml:space="preserve"> Understanding NHS hospital admissions in </w:t>
      </w:r>
      <w:proofErr w:type="spellStart"/>
      <w:r>
        <w:t>england</w:t>
      </w:r>
      <w:proofErr w:type="spellEnd"/>
      <w:r>
        <w:t xml:space="preserve">: Linkage of hospital episode statistics to the </w:t>
      </w:r>
      <w:proofErr w:type="spellStart"/>
      <w:r>
        <w:t>hertfordshire</w:t>
      </w:r>
      <w:proofErr w:type="spellEnd"/>
      <w:r>
        <w:t xml:space="preserve"> cohort study. </w:t>
      </w:r>
      <w:r>
        <w:rPr>
          <w:i/>
        </w:rPr>
        <w:t>Age and Ageing</w:t>
      </w:r>
      <w:r>
        <w:t xml:space="preserve"> 2014; </w:t>
      </w:r>
      <w:r>
        <w:rPr>
          <w:b/>
        </w:rPr>
        <w:t>43</w:t>
      </w:r>
      <w:r>
        <w:t>: 653–60.</w:t>
      </w:r>
    </w:p>
    <w:p w:rsidR="00923610" w:rsidRDefault="0057247F">
      <w:pPr>
        <w:pStyle w:val="Bibliography"/>
      </w:pPr>
      <w:bookmarkStart w:id="63" w:name="ref-Thorn2016"/>
      <w:bookmarkEnd w:id="62"/>
      <w:r>
        <w:t xml:space="preserve">27 Thorn JC, Turner E, </w:t>
      </w:r>
      <w:proofErr w:type="spellStart"/>
      <w:r>
        <w:t>Hounsome</w:t>
      </w:r>
      <w:proofErr w:type="spellEnd"/>
      <w:r>
        <w:t xml:space="preserve"> L </w:t>
      </w:r>
      <w:r>
        <w:rPr>
          <w:i/>
        </w:rPr>
        <w:t>et al.</w:t>
      </w:r>
      <w:r>
        <w:t xml:space="preserve"> Validation of the hospital episode statistics outpatient dataset in </w:t>
      </w:r>
      <w:proofErr w:type="spellStart"/>
      <w:proofErr w:type="gramStart"/>
      <w:r>
        <w:t>england</w:t>
      </w:r>
      <w:proofErr w:type="spellEnd"/>
      <w:proofErr w:type="gramEnd"/>
      <w:r>
        <w:t xml:space="preserve">. </w:t>
      </w:r>
      <w:proofErr w:type="spellStart"/>
      <w:r>
        <w:rPr>
          <w:i/>
        </w:rPr>
        <w:t>PharmacoEconomics</w:t>
      </w:r>
      <w:proofErr w:type="spellEnd"/>
      <w:r>
        <w:t xml:space="preserve"> 2016; </w:t>
      </w:r>
      <w:r>
        <w:rPr>
          <w:b/>
        </w:rPr>
        <w:t>34</w:t>
      </w:r>
      <w:r>
        <w:t>: 161–8.</w:t>
      </w:r>
    </w:p>
    <w:p w:rsidR="00923610" w:rsidRDefault="0057247F">
      <w:pPr>
        <w:pStyle w:val="Bibliography"/>
      </w:pPr>
      <w:bookmarkStart w:id="64" w:name="ref-Sayers2016"/>
      <w:bookmarkEnd w:id="63"/>
      <w:r>
        <w:t>28 Sayers A, Ben-</w:t>
      </w:r>
      <w:proofErr w:type="spellStart"/>
      <w:r>
        <w:t>Shlomo</w:t>
      </w:r>
      <w:proofErr w:type="spellEnd"/>
      <w:r>
        <w:t xml:space="preserve"> Y, </w:t>
      </w:r>
      <w:proofErr w:type="spellStart"/>
      <w:r>
        <w:t>Blom</w:t>
      </w:r>
      <w:proofErr w:type="spellEnd"/>
      <w:r>
        <w:t xml:space="preserve"> AW, Steele F. Probabilistic record linkage. </w:t>
      </w:r>
      <w:r>
        <w:rPr>
          <w:i/>
        </w:rPr>
        <w:t>International Journal of Epidemiology</w:t>
      </w:r>
      <w:r>
        <w:t xml:space="preserve"> 2016; </w:t>
      </w:r>
      <w:r>
        <w:rPr>
          <w:b/>
        </w:rPr>
        <w:t>45</w:t>
      </w:r>
      <w:r>
        <w:t>: 954–64.</w:t>
      </w:r>
    </w:p>
    <w:p w:rsidR="00923610" w:rsidRDefault="0057247F">
      <w:pPr>
        <w:pStyle w:val="Bibliography"/>
      </w:pPr>
      <w:bookmarkStart w:id="65" w:name="ref-Charlson1987"/>
      <w:bookmarkEnd w:id="64"/>
      <w:r>
        <w:t xml:space="preserve">29 </w:t>
      </w:r>
      <w:proofErr w:type="spellStart"/>
      <w:r>
        <w:t>Charlson</w:t>
      </w:r>
      <w:proofErr w:type="spellEnd"/>
      <w:r>
        <w:t xml:space="preserve"> ME, </w:t>
      </w:r>
      <w:proofErr w:type="spellStart"/>
      <w:r>
        <w:t>Pompei</w:t>
      </w:r>
      <w:proofErr w:type="spellEnd"/>
      <w:r>
        <w:t xml:space="preserve"> P, Ales KL, </w:t>
      </w:r>
      <w:proofErr w:type="spellStart"/>
      <w:r>
        <w:t>MacKenzie</w:t>
      </w:r>
      <w:proofErr w:type="spellEnd"/>
      <w:r>
        <w:t xml:space="preserve"> CR. A new method of classifying prognostic comorbidity in longitudinal studies: Development and validation. </w:t>
      </w:r>
      <w:r>
        <w:rPr>
          <w:i/>
        </w:rPr>
        <w:t>Journal of Chronic Diseases</w:t>
      </w:r>
      <w:r>
        <w:t xml:space="preserve"> 1987; </w:t>
      </w:r>
      <w:r>
        <w:rPr>
          <w:b/>
        </w:rPr>
        <w:t>40</w:t>
      </w:r>
      <w:r>
        <w:t>: 373–83.</w:t>
      </w:r>
    </w:p>
    <w:p w:rsidR="00923610" w:rsidRDefault="0057247F">
      <w:pPr>
        <w:pStyle w:val="Bibliography"/>
      </w:pPr>
      <w:bookmarkStart w:id="66" w:name="ref-Deyo1992"/>
      <w:bookmarkEnd w:id="65"/>
      <w:r>
        <w:t xml:space="preserve">30 </w:t>
      </w:r>
      <w:proofErr w:type="spellStart"/>
      <w:r>
        <w:t>Deyo</w:t>
      </w:r>
      <w:proofErr w:type="spellEnd"/>
      <w:r>
        <w:t xml:space="preserve"> RA, </w:t>
      </w:r>
      <w:proofErr w:type="spellStart"/>
      <w:r>
        <w:t>Cherkin</w:t>
      </w:r>
      <w:proofErr w:type="spellEnd"/>
      <w:r>
        <w:t xml:space="preserve"> DC, </w:t>
      </w:r>
      <w:proofErr w:type="spellStart"/>
      <w:r>
        <w:t>Ciol</w:t>
      </w:r>
      <w:proofErr w:type="spellEnd"/>
      <w:r>
        <w:t xml:space="preserve"> MA. Adapting a clinical comorbidity index for use with ICD-9-CM administrative databases. </w:t>
      </w:r>
      <w:r>
        <w:rPr>
          <w:i/>
        </w:rPr>
        <w:t>Journal of Clinical Epidemiology</w:t>
      </w:r>
      <w:r>
        <w:t xml:space="preserve"> 1992; </w:t>
      </w:r>
      <w:r>
        <w:rPr>
          <w:b/>
        </w:rPr>
        <w:t>45</w:t>
      </w:r>
      <w:r>
        <w:t>: 613–9.</w:t>
      </w:r>
    </w:p>
    <w:p w:rsidR="00923610" w:rsidRDefault="0057247F">
      <w:pPr>
        <w:pStyle w:val="Bibliography"/>
      </w:pPr>
      <w:bookmarkStart w:id="67" w:name="ref-Quan2005"/>
      <w:bookmarkEnd w:id="66"/>
      <w:r>
        <w:t xml:space="preserve">31 </w:t>
      </w:r>
      <w:proofErr w:type="spellStart"/>
      <w:r>
        <w:t>Quan</w:t>
      </w:r>
      <w:proofErr w:type="spellEnd"/>
      <w:r>
        <w:t xml:space="preserve"> H, Sundararajan V, </w:t>
      </w:r>
      <w:proofErr w:type="spellStart"/>
      <w:r>
        <w:t>Halfon</w:t>
      </w:r>
      <w:proofErr w:type="spellEnd"/>
      <w:r>
        <w:t xml:space="preserve"> P </w:t>
      </w:r>
      <w:r>
        <w:rPr>
          <w:i/>
        </w:rPr>
        <w:t>et al.</w:t>
      </w:r>
      <w:r>
        <w:t xml:space="preserve"> Coding algorithms for defining comorbidities in ICD-9-CM and ICD-10 administrative data. </w:t>
      </w:r>
      <w:r>
        <w:rPr>
          <w:i/>
        </w:rPr>
        <w:t>Medical care</w:t>
      </w:r>
      <w:r>
        <w:t xml:space="preserve"> 2005; </w:t>
      </w:r>
      <w:r>
        <w:rPr>
          <w:b/>
        </w:rPr>
        <w:t>43</w:t>
      </w:r>
      <w:r>
        <w:t>: 1130–9.</w:t>
      </w:r>
    </w:p>
    <w:p w:rsidR="00923610" w:rsidRDefault="0057247F">
      <w:pPr>
        <w:pStyle w:val="Bibliography"/>
      </w:pPr>
      <w:bookmarkStart w:id="68" w:name="ref-Elixhauser1998"/>
      <w:bookmarkEnd w:id="67"/>
      <w:r>
        <w:t xml:space="preserve">32 </w:t>
      </w:r>
      <w:proofErr w:type="spellStart"/>
      <w:r>
        <w:t>Elixhauser</w:t>
      </w:r>
      <w:proofErr w:type="spellEnd"/>
      <w:r>
        <w:t xml:space="preserve"> A, Steiner C, Harris DR, Coffey RM. Comorbidity measures for use with administrative data. </w:t>
      </w:r>
      <w:r>
        <w:rPr>
          <w:i/>
        </w:rPr>
        <w:t>Medical care</w:t>
      </w:r>
      <w:r>
        <w:t xml:space="preserve"> 1998; </w:t>
      </w:r>
      <w:r>
        <w:rPr>
          <w:b/>
        </w:rPr>
        <w:t>36</w:t>
      </w:r>
      <w:r>
        <w:t>: 8–27.</w:t>
      </w:r>
    </w:p>
    <w:p w:rsidR="00923610" w:rsidRDefault="0057247F">
      <w:pPr>
        <w:pStyle w:val="Bibliography"/>
      </w:pPr>
      <w:bookmarkStart w:id="69" w:name="ref-Guo2015"/>
      <w:bookmarkEnd w:id="68"/>
      <w:r>
        <w:t xml:space="preserve">33 </w:t>
      </w:r>
      <w:proofErr w:type="spellStart"/>
      <w:r>
        <w:t>Guo</w:t>
      </w:r>
      <w:proofErr w:type="spellEnd"/>
      <w:r>
        <w:t xml:space="preserve"> P, Zeng F, Hu X </w:t>
      </w:r>
      <w:r>
        <w:rPr>
          <w:i/>
        </w:rPr>
        <w:t>et al.</w:t>
      </w:r>
      <w:r>
        <w:t xml:space="preserve"> Improved variable selection algorithm using a LASSO-Type penalty, with an application to assessing hepatitis b infection relevant factors in community residents. </w:t>
      </w:r>
      <w:r>
        <w:rPr>
          <w:i/>
        </w:rPr>
        <w:t>PLOS ONE</w:t>
      </w:r>
      <w:r>
        <w:t xml:space="preserve"> 2015; </w:t>
      </w:r>
      <w:r>
        <w:rPr>
          <w:b/>
        </w:rPr>
        <w:t>10</w:t>
      </w:r>
      <w:r>
        <w:t>: e0134151.</w:t>
      </w:r>
    </w:p>
    <w:p w:rsidR="00923610" w:rsidRDefault="0057247F">
      <w:pPr>
        <w:pStyle w:val="Bibliography"/>
      </w:pPr>
      <w:bookmarkStart w:id="70" w:name="ref-Baranowski2020"/>
      <w:bookmarkEnd w:id="69"/>
      <w:r>
        <w:t xml:space="preserve">34 </w:t>
      </w:r>
      <w:proofErr w:type="spellStart"/>
      <w:r>
        <w:t>Baranowski</w:t>
      </w:r>
      <w:proofErr w:type="spellEnd"/>
      <w:r>
        <w:t xml:space="preserve"> R, Chen Y, </w:t>
      </w:r>
      <w:proofErr w:type="spellStart"/>
      <w:r>
        <w:t>Fryzlewicz</w:t>
      </w:r>
      <w:proofErr w:type="spellEnd"/>
      <w:r>
        <w:t xml:space="preserve"> P. Ranking-based variable selection for high-dimensional data. </w:t>
      </w:r>
      <w:proofErr w:type="spellStart"/>
      <w:r>
        <w:rPr>
          <w:i/>
        </w:rPr>
        <w:t>Statistica</w:t>
      </w:r>
      <w:proofErr w:type="spellEnd"/>
      <w:r>
        <w:rPr>
          <w:i/>
        </w:rPr>
        <w:t xml:space="preserve"> </w:t>
      </w:r>
      <w:proofErr w:type="spellStart"/>
      <w:r>
        <w:rPr>
          <w:i/>
        </w:rPr>
        <w:t>Sinica</w:t>
      </w:r>
      <w:proofErr w:type="spellEnd"/>
      <w:r>
        <w:t xml:space="preserve"> 2020. DOI</w:t>
      </w:r>
      <w:proofErr w:type="gramStart"/>
      <w:r>
        <w:t>:</w:t>
      </w:r>
      <w:proofErr w:type="gramEnd"/>
      <w:r w:rsidR="005E7BDE">
        <w:fldChar w:fldCharType="begin"/>
      </w:r>
      <w:r w:rsidR="005E7BDE">
        <w:instrText xml:space="preserve"> HYPERLINK "https://doi.org/10.5705/ss.202017.0139" \h </w:instrText>
      </w:r>
      <w:r w:rsidR="005E7BDE">
        <w:fldChar w:fldCharType="separate"/>
      </w:r>
      <w:r>
        <w:rPr>
          <w:rStyle w:val="Hyperlink"/>
        </w:rPr>
        <w:t>10.5705/ss.202017.0139</w:t>
      </w:r>
      <w:r w:rsidR="005E7BDE">
        <w:rPr>
          <w:rStyle w:val="Hyperlink"/>
        </w:rPr>
        <w:fldChar w:fldCharType="end"/>
      </w:r>
      <w:r>
        <w:t>.</w:t>
      </w:r>
    </w:p>
    <w:p w:rsidR="00923610" w:rsidRDefault="0057247F">
      <w:pPr>
        <w:pStyle w:val="Bibliography"/>
      </w:pPr>
      <w:bookmarkStart w:id="71" w:name="ref-Austin2004"/>
      <w:bookmarkEnd w:id="70"/>
      <w:r>
        <w:t xml:space="preserve">35 Austin PC, </w:t>
      </w:r>
      <w:proofErr w:type="spellStart"/>
      <w:r>
        <w:t>Tu</w:t>
      </w:r>
      <w:proofErr w:type="spellEnd"/>
      <w:r>
        <w:t xml:space="preserve"> JV. Bootstrap methods for developing predictive models. </w:t>
      </w:r>
      <w:r>
        <w:rPr>
          <w:i/>
        </w:rPr>
        <w:t>The American Statistician</w:t>
      </w:r>
      <w:r>
        <w:t xml:space="preserve"> 2004; </w:t>
      </w:r>
      <w:r>
        <w:rPr>
          <w:b/>
        </w:rPr>
        <w:t>58</w:t>
      </w:r>
      <w:r>
        <w:t>: 131–7.</w:t>
      </w:r>
    </w:p>
    <w:p w:rsidR="00923610" w:rsidRDefault="0057247F">
      <w:pPr>
        <w:pStyle w:val="Bibliography"/>
      </w:pPr>
      <w:bookmarkStart w:id="72" w:name="ref-Ripley2002"/>
      <w:bookmarkEnd w:id="71"/>
      <w:r>
        <w:t xml:space="preserve">36 Ripley B, </w:t>
      </w:r>
      <w:proofErr w:type="spellStart"/>
      <w:r>
        <w:t>Venables</w:t>
      </w:r>
      <w:proofErr w:type="spellEnd"/>
      <w:r>
        <w:t xml:space="preserve"> WN. Modern applied statistics with S. Springer, New York, 2002.</w:t>
      </w:r>
    </w:p>
    <w:p w:rsidR="00923610" w:rsidRDefault="0057247F">
      <w:pPr>
        <w:pStyle w:val="Bibliography"/>
      </w:pPr>
      <w:bookmarkStart w:id="73" w:name="ref-Fawcett2006"/>
      <w:bookmarkEnd w:id="72"/>
      <w:r>
        <w:t xml:space="preserve">37 Fawcett T. An introduction to ROC analysis. </w:t>
      </w:r>
      <w:r>
        <w:rPr>
          <w:i/>
        </w:rPr>
        <w:t>Pattern Recognition Letters</w:t>
      </w:r>
      <w:r>
        <w:t xml:space="preserve"> 2006; </w:t>
      </w:r>
      <w:r>
        <w:rPr>
          <w:b/>
        </w:rPr>
        <w:t>27</w:t>
      </w:r>
      <w:r>
        <w:t>: 861–74.</w:t>
      </w:r>
    </w:p>
    <w:p w:rsidR="00923610" w:rsidRDefault="0057247F">
      <w:pPr>
        <w:pStyle w:val="Bibliography"/>
      </w:pPr>
      <w:bookmarkStart w:id="74" w:name="ref-Miller1991"/>
      <w:bookmarkEnd w:id="73"/>
      <w:r>
        <w:t xml:space="preserve">38 Miller ME, Hui SL, Tierney WM. Validation techniques for logistic regression models. </w:t>
      </w:r>
      <w:r>
        <w:rPr>
          <w:i/>
        </w:rPr>
        <w:t>Statistics in Medicine</w:t>
      </w:r>
      <w:r>
        <w:t xml:space="preserve"> 1991; </w:t>
      </w:r>
      <w:r>
        <w:rPr>
          <w:b/>
        </w:rPr>
        <w:t>10</w:t>
      </w:r>
      <w:r>
        <w:t>: 1213–26.</w:t>
      </w:r>
    </w:p>
    <w:p w:rsidR="00923610" w:rsidRPr="001A200B" w:rsidRDefault="0057247F">
      <w:pPr>
        <w:pStyle w:val="Bibliography"/>
        <w:rPr>
          <w:lang w:val="sv-SE"/>
        </w:rPr>
      </w:pPr>
      <w:bookmarkStart w:id="75" w:name="ref-Nattino2016"/>
      <w:bookmarkEnd w:id="74"/>
      <w:r>
        <w:t xml:space="preserve">39 </w:t>
      </w:r>
      <w:proofErr w:type="spellStart"/>
      <w:r>
        <w:t>Nattino</w:t>
      </w:r>
      <w:proofErr w:type="spellEnd"/>
      <w:r>
        <w:t xml:space="preserve"> G, </w:t>
      </w:r>
      <w:proofErr w:type="spellStart"/>
      <w:r>
        <w:t>Finazzi</w:t>
      </w:r>
      <w:proofErr w:type="spellEnd"/>
      <w:r>
        <w:t xml:space="preserve"> S, </w:t>
      </w:r>
      <w:proofErr w:type="spellStart"/>
      <w:r>
        <w:t>Bertolini</w:t>
      </w:r>
      <w:proofErr w:type="spellEnd"/>
      <w:r>
        <w:t xml:space="preserve"> G. A new test and graphical tool to assess the goodness of fit of logistic regression models. </w:t>
      </w:r>
      <w:r w:rsidRPr="001A200B">
        <w:rPr>
          <w:i/>
          <w:lang w:val="sv-SE"/>
        </w:rPr>
        <w:t>Statistics in Medicine</w:t>
      </w:r>
      <w:r w:rsidRPr="001A200B">
        <w:rPr>
          <w:lang w:val="sv-SE"/>
        </w:rPr>
        <w:t xml:space="preserve"> 2016; </w:t>
      </w:r>
      <w:r w:rsidRPr="001A200B">
        <w:rPr>
          <w:b/>
          <w:lang w:val="sv-SE"/>
        </w:rPr>
        <w:t>35</w:t>
      </w:r>
      <w:r w:rsidRPr="001A200B">
        <w:rPr>
          <w:lang w:val="sv-SE"/>
        </w:rPr>
        <w:t>: 709–20.</w:t>
      </w:r>
    </w:p>
    <w:p w:rsidR="00923610" w:rsidRDefault="0057247F">
      <w:pPr>
        <w:pStyle w:val="Bibliography"/>
      </w:pPr>
      <w:bookmarkStart w:id="76" w:name="ref-Steyerberg2004"/>
      <w:bookmarkEnd w:id="75"/>
      <w:r w:rsidRPr="001A200B">
        <w:rPr>
          <w:lang w:val="sv-SE"/>
        </w:rPr>
        <w:t xml:space="preserve">40 Steyerberg EW, Borsboom GJJM, van Houwelingen HC, Eijkemans MJC, Habbema JDF. </w:t>
      </w:r>
      <w:r>
        <w:t xml:space="preserve">Validation and updating of predictive logistic regression models: A study on sample size and shrinkage. </w:t>
      </w:r>
      <w:r>
        <w:rPr>
          <w:i/>
        </w:rPr>
        <w:t>Statistics in Medicine</w:t>
      </w:r>
      <w:r>
        <w:t xml:space="preserve"> 2004; </w:t>
      </w:r>
      <w:r>
        <w:rPr>
          <w:b/>
        </w:rPr>
        <w:t>23</w:t>
      </w:r>
      <w:r>
        <w:t>: 2567–86.</w:t>
      </w:r>
    </w:p>
    <w:p w:rsidR="00923610" w:rsidRDefault="0057247F">
      <w:pPr>
        <w:pStyle w:val="Bibliography"/>
      </w:pPr>
      <w:bookmarkStart w:id="77" w:name="ref-Breiman2001"/>
      <w:bookmarkEnd w:id="76"/>
      <w:r>
        <w:t xml:space="preserve">41 </w:t>
      </w:r>
      <w:proofErr w:type="spellStart"/>
      <w:r>
        <w:t>Breiman</w:t>
      </w:r>
      <w:proofErr w:type="spellEnd"/>
      <w:r>
        <w:t xml:space="preserve"> L. Statistical modeling: The two cultures. </w:t>
      </w:r>
      <w:r>
        <w:rPr>
          <w:i/>
        </w:rPr>
        <w:t>Statistical Science</w:t>
      </w:r>
      <w:r>
        <w:t xml:space="preserve"> 2001; </w:t>
      </w:r>
      <w:r>
        <w:rPr>
          <w:b/>
        </w:rPr>
        <w:t>16</w:t>
      </w:r>
      <w:r>
        <w:t>: 199–215.</w:t>
      </w:r>
    </w:p>
    <w:p w:rsidR="00923610" w:rsidRDefault="0057247F">
      <w:pPr>
        <w:pStyle w:val="Bibliography"/>
      </w:pPr>
      <w:bookmarkStart w:id="78" w:name="ref-Haynes1995"/>
      <w:bookmarkEnd w:id="77"/>
      <w:r>
        <w:lastRenderedPageBreak/>
        <w:t xml:space="preserve">42 Haynes SR, Lawler PG. An assessment of the consistency of ASA physical status classification allocation. </w:t>
      </w:r>
      <w:proofErr w:type="spellStart"/>
      <w:r>
        <w:rPr>
          <w:i/>
        </w:rPr>
        <w:t>Anaesthesia</w:t>
      </w:r>
      <w:proofErr w:type="spellEnd"/>
      <w:r>
        <w:t xml:space="preserve"> 1995; </w:t>
      </w:r>
      <w:r>
        <w:rPr>
          <w:b/>
        </w:rPr>
        <w:t>50</w:t>
      </w:r>
      <w:r>
        <w:t>: 195–9.</w:t>
      </w:r>
    </w:p>
    <w:p w:rsidR="00923610" w:rsidRDefault="0057247F">
      <w:pPr>
        <w:pStyle w:val="Bibliography"/>
      </w:pPr>
      <w:bookmarkStart w:id="79" w:name="ref-Whitmore2014"/>
      <w:bookmarkEnd w:id="78"/>
      <w:r>
        <w:t xml:space="preserve">43 Whitmore RG, Stephen JH, </w:t>
      </w:r>
      <w:proofErr w:type="spellStart"/>
      <w:r>
        <w:t>Vernick</w:t>
      </w:r>
      <w:proofErr w:type="spellEnd"/>
      <w:r>
        <w:t xml:space="preserve"> C </w:t>
      </w:r>
      <w:r>
        <w:rPr>
          <w:i/>
        </w:rPr>
        <w:t>et al.</w:t>
      </w:r>
      <w:r>
        <w:t xml:space="preserve"> ASA grade and </w:t>
      </w:r>
      <w:proofErr w:type="spellStart"/>
      <w:r>
        <w:t>Charlson</w:t>
      </w:r>
      <w:proofErr w:type="spellEnd"/>
      <w:r>
        <w:t xml:space="preserve"> Comorbidity Index of spinal surgery patients: Correlation with complications and societal costs. </w:t>
      </w:r>
      <w:r>
        <w:rPr>
          <w:i/>
        </w:rPr>
        <w:t xml:space="preserve">The spine </w:t>
      </w:r>
      <w:proofErr w:type="gramStart"/>
      <w:r>
        <w:rPr>
          <w:i/>
        </w:rPr>
        <w:t>journal :</w:t>
      </w:r>
      <w:proofErr w:type="gramEnd"/>
      <w:r>
        <w:rPr>
          <w:i/>
        </w:rPr>
        <w:t xml:space="preserve"> official journal of the North American Spine Society</w:t>
      </w:r>
      <w:r>
        <w:t xml:space="preserve"> 2014; </w:t>
      </w:r>
      <w:r>
        <w:rPr>
          <w:b/>
        </w:rPr>
        <w:t>14</w:t>
      </w:r>
      <w:r>
        <w:t>: 31–8.</w:t>
      </w:r>
    </w:p>
    <w:p w:rsidR="00923610" w:rsidRDefault="0057247F">
      <w:pPr>
        <w:pStyle w:val="Bibliography"/>
      </w:pPr>
      <w:bookmarkStart w:id="80" w:name="ref-Kork2015"/>
      <w:bookmarkEnd w:id="79"/>
      <w:r>
        <w:t xml:space="preserve">44 </w:t>
      </w:r>
      <w:proofErr w:type="spellStart"/>
      <w:r>
        <w:t>Kork</w:t>
      </w:r>
      <w:proofErr w:type="spellEnd"/>
      <w:r>
        <w:t xml:space="preserve"> F, </w:t>
      </w:r>
      <w:proofErr w:type="spellStart"/>
      <w:r>
        <w:t>Balzer</w:t>
      </w:r>
      <w:proofErr w:type="spellEnd"/>
      <w:r>
        <w:t xml:space="preserve"> F, </w:t>
      </w:r>
      <w:proofErr w:type="spellStart"/>
      <w:r>
        <w:t>Krannich</w:t>
      </w:r>
      <w:proofErr w:type="spellEnd"/>
      <w:r>
        <w:t xml:space="preserve"> A, Weiss B, </w:t>
      </w:r>
      <w:proofErr w:type="spellStart"/>
      <w:r>
        <w:t>Wernecke</w:t>
      </w:r>
      <w:proofErr w:type="spellEnd"/>
      <w:r>
        <w:t xml:space="preserve"> K-D, Spies C. Association of comorbidities with postoperative in-hospital mortality: A retrospective cohort study. </w:t>
      </w:r>
      <w:r>
        <w:rPr>
          <w:i/>
        </w:rPr>
        <w:t>Medicine</w:t>
      </w:r>
      <w:r>
        <w:t xml:space="preserve"> 2015; </w:t>
      </w:r>
      <w:r>
        <w:rPr>
          <w:b/>
        </w:rPr>
        <w:t>94</w:t>
      </w:r>
      <w:r>
        <w:t>: e576.</w:t>
      </w:r>
    </w:p>
    <w:p w:rsidR="00923610" w:rsidRDefault="0057247F">
      <w:pPr>
        <w:pStyle w:val="Bibliography"/>
      </w:pPr>
      <w:bookmarkStart w:id="81" w:name="ref-Mood2010"/>
      <w:bookmarkEnd w:id="80"/>
      <w:r>
        <w:t xml:space="preserve">45 Mood C. Logistic regression: Why we cannot do what we think we can do, and what we can do about it. </w:t>
      </w:r>
      <w:r>
        <w:rPr>
          <w:i/>
        </w:rPr>
        <w:t>European Sociological Review</w:t>
      </w:r>
      <w:r>
        <w:t xml:space="preserve"> 2010; </w:t>
      </w:r>
      <w:r>
        <w:rPr>
          <w:b/>
        </w:rPr>
        <w:t>26</w:t>
      </w:r>
      <w:r>
        <w:t>: 67–82.</w:t>
      </w:r>
    </w:p>
    <w:p w:rsidR="00923610" w:rsidRDefault="0057247F">
      <w:pPr>
        <w:pStyle w:val="Bibliography"/>
      </w:pPr>
      <w:bookmarkStart w:id="82" w:name="ref-Soderman2000"/>
      <w:bookmarkEnd w:id="81"/>
      <w:r>
        <w:t xml:space="preserve">46 </w:t>
      </w:r>
      <w:proofErr w:type="spellStart"/>
      <w:r>
        <w:t>Söderman</w:t>
      </w:r>
      <w:proofErr w:type="spellEnd"/>
      <w:r>
        <w:t xml:space="preserve"> P, </w:t>
      </w:r>
      <w:proofErr w:type="spellStart"/>
      <w:r>
        <w:t>Malchau</w:t>
      </w:r>
      <w:proofErr w:type="spellEnd"/>
      <w:r>
        <w:t xml:space="preserve"> H, </w:t>
      </w:r>
      <w:proofErr w:type="spellStart"/>
      <w:r>
        <w:t>Herberts</w:t>
      </w:r>
      <w:proofErr w:type="spellEnd"/>
      <w:r>
        <w:t xml:space="preserve"> P, </w:t>
      </w:r>
      <w:proofErr w:type="spellStart"/>
      <w:r>
        <w:t>Johnell</w:t>
      </w:r>
      <w:proofErr w:type="spellEnd"/>
      <w:r>
        <w:t xml:space="preserve"> O. Are the findings in the </w:t>
      </w:r>
      <w:proofErr w:type="spellStart"/>
      <w:proofErr w:type="gramStart"/>
      <w:r>
        <w:t>swedish</w:t>
      </w:r>
      <w:proofErr w:type="spellEnd"/>
      <w:proofErr w:type="gramEnd"/>
      <w:r>
        <w:t xml:space="preserve"> national total hip arthroplasty register valid? A comparison between the </w:t>
      </w:r>
      <w:proofErr w:type="spellStart"/>
      <w:proofErr w:type="gramStart"/>
      <w:r>
        <w:t>swedish</w:t>
      </w:r>
      <w:proofErr w:type="spellEnd"/>
      <w:proofErr w:type="gramEnd"/>
      <w:r>
        <w:t xml:space="preserve"> national total hip arthroplasty register, the national discharge register, and the national death register. </w:t>
      </w:r>
      <w:r>
        <w:rPr>
          <w:i/>
        </w:rPr>
        <w:t>The Journal of arthroplasty</w:t>
      </w:r>
      <w:r>
        <w:t xml:space="preserve"> 2000; </w:t>
      </w:r>
      <w:r>
        <w:rPr>
          <w:b/>
        </w:rPr>
        <w:t>15</w:t>
      </w:r>
      <w:r>
        <w:t>: 884–9.</w:t>
      </w:r>
    </w:p>
    <w:p w:rsidR="00923610" w:rsidRDefault="0057247F">
      <w:pPr>
        <w:pStyle w:val="Bibliography"/>
      </w:pPr>
      <w:bookmarkStart w:id="83" w:name="ref-Soderman2001"/>
      <w:bookmarkEnd w:id="82"/>
      <w:r>
        <w:t xml:space="preserve">47 </w:t>
      </w:r>
      <w:proofErr w:type="spellStart"/>
      <w:r>
        <w:t>Söderman</w:t>
      </w:r>
      <w:proofErr w:type="spellEnd"/>
      <w:r>
        <w:t xml:space="preserve"> P, </w:t>
      </w:r>
      <w:proofErr w:type="spellStart"/>
      <w:r>
        <w:t>Malchau</w:t>
      </w:r>
      <w:proofErr w:type="spellEnd"/>
      <w:r>
        <w:t xml:space="preserve"> H, </w:t>
      </w:r>
      <w:proofErr w:type="spellStart"/>
      <w:r>
        <w:t>Herberts</w:t>
      </w:r>
      <w:proofErr w:type="spellEnd"/>
      <w:r>
        <w:t xml:space="preserve"> P, </w:t>
      </w:r>
      <w:proofErr w:type="spellStart"/>
      <w:r>
        <w:t>Zügner</w:t>
      </w:r>
      <w:proofErr w:type="spellEnd"/>
      <w:r>
        <w:t xml:space="preserve"> R, </w:t>
      </w:r>
      <w:proofErr w:type="spellStart"/>
      <w:r>
        <w:t>Regnér</w:t>
      </w:r>
      <w:proofErr w:type="spellEnd"/>
      <w:r>
        <w:t xml:space="preserve"> H, </w:t>
      </w:r>
      <w:proofErr w:type="spellStart"/>
      <w:r>
        <w:t>Garellick</w:t>
      </w:r>
      <w:proofErr w:type="spellEnd"/>
      <w:r>
        <w:t xml:space="preserve"> G. Outcome after total hip arthroplasty: Part II. Disease-specific follow-up and the </w:t>
      </w:r>
      <w:proofErr w:type="spellStart"/>
      <w:proofErr w:type="gramStart"/>
      <w:r>
        <w:t>swedish</w:t>
      </w:r>
      <w:proofErr w:type="spellEnd"/>
      <w:proofErr w:type="gramEnd"/>
      <w:r>
        <w:t xml:space="preserve"> national total hip arthroplasty register. </w:t>
      </w:r>
      <w:proofErr w:type="spellStart"/>
      <w:r>
        <w:rPr>
          <w:i/>
        </w:rPr>
        <w:t>Acta</w:t>
      </w:r>
      <w:proofErr w:type="spellEnd"/>
      <w:r>
        <w:rPr>
          <w:i/>
        </w:rPr>
        <w:t xml:space="preserve"> </w:t>
      </w:r>
      <w:proofErr w:type="spellStart"/>
      <w:r>
        <w:rPr>
          <w:i/>
        </w:rPr>
        <w:t>orthopaedica</w:t>
      </w:r>
      <w:proofErr w:type="spellEnd"/>
      <w:r>
        <w:rPr>
          <w:i/>
        </w:rPr>
        <w:t xml:space="preserve"> </w:t>
      </w:r>
      <w:proofErr w:type="spellStart"/>
      <w:r>
        <w:rPr>
          <w:i/>
        </w:rPr>
        <w:t>Scandinavica</w:t>
      </w:r>
      <w:proofErr w:type="spellEnd"/>
      <w:r>
        <w:t xml:space="preserve"> 2001; </w:t>
      </w:r>
      <w:r>
        <w:rPr>
          <w:b/>
        </w:rPr>
        <w:t>72</w:t>
      </w:r>
      <w:r>
        <w:t>: 113–9.</w:t>
      </w:r>
    </w:p>
    <w:p w:rsidR="00923610" w:rsidRDefault="0057247F">
      <w:pPr>
        <w:pStyle w:val="Bibliography"/>
      </w:pPr>
      <w:bookmarkStart w:id="84" w:name="ref-Spencer2012"/>
      <w:bookmarkEnd w:id="83"/>
      <w:r>
        <w:t xml:space="preserve">48 Spencer SA, Davies MP. Hospital episode statistics: Improving the quality and value of hospital data: A national internet e-survey of hospital consultants. </w:t>
      </w:r>
      <w:r>
        <w:rPr>
          <w:i/>
        </w:rPr>
        <w:t>BMJ Open</w:t>
      </w:r>
      <w:r>
        <w:t xml:space="preserve"> 2012; </w:t>
      </w:r>
      <w:r>
        <w:rPr>
          <w:b/>
        </w:rPr>
        <w:t>2</w:t>
      </w:r>
      <w:r>
        <w:t>. DOI</w:t>
      </w:r>
      <w:proofErr w:type="gramStart"/>
      <w:r>
        <w:t>:</w:t>
      </w:r>
      <w:proofErr w:type="gramEnd"/>
      <w:r w:rsidR="005E7BDE">
        <w:fldChar w:fldCharType="begin"/>
      </w:r>
      <w:r w:rsidR="005E7BDE">
        <w:instrText xml:space="preserve"> HYPERLINK "https://doi.org/10.1136/bmjopen-2012-001651" \h </w:instrText>
      </w:r>
      <w:r w:rsidR="005E7BDE">
        <w:fldChar w:fldCharType="separate"/>
      </w:r>
      <w:r>
        <w:rPr>
          <w:rStyle w:val="Hyperlink"/>
        </w:rPr>
        <w:t>10.1136/bmjopen-2012-001651</w:t>
      </w:r>
      <w:r w:rsidR="005E7BDE">
        <w:rPr>
          <w:rStyle w:val="Hyperlink"/>
        </w:rPr>
        <w:fldChar w:fldCharType="end"/>
      </w:r>
      <w:r>
        <w:t>.</w:t>
      </w:r>
    </w:p>
    <w:p w:rsidR="00923610" w:rsidRDefault="0057247F">
      <w:pPr>
        <w:pStyle w:val="Bibliography"/>
      </w:pPr>
      <w:bookmarkStart w:id="85" w:name="ref-Williams2002"/>
      <w:bookmarkEnd w:id="84"/>
      <w:r>
        <w:t xml:space="preserve">49 Williams JG, Mann RY. Hospital episode statistics: Time for clinicians to get involved? </w:t>
      </w:r>
      <w:r>
        <w:rPr>
          <w:i/>
        </w:rPr>
        <w:t>Clinical medicine (London, England)</w:t>
      </w:r>
      <w:r>
        <w:t xml:space="preserve"> 2002; </w:t>
      </w:r>
      <w:r>
        <w:rPr>
          <w:b/>
        </w:rPr>
        <w:t>2</w:t>
      </w:r>
      <w:r>
        <w:t>: 34–7.</w:t>
      </w:r>
    </w:p>
    <w:p w:rsidR="00923610" w:rsidRDefault="0057247F">
      <w:pPr>
        <w:pStyle w:val="Bibliography"/>
      </w:pPr>
      <w:bookmarkStart w:id="86" w:name="ref-Brennan2012"/>
      <w:bookmarkEnd w:id="85"/>
      <w:r>
        <w:t xml:space="preserve">50 Brennan L, Watson M, </w:t>
      </w:r>
      <w:proofErr w:type="spellStart"/>
      <w:r>
        <w:t>Klaber</w:t>
      </w:r>
      <w:proofErr w:type="spellEnd"/>
      <w:r>
        <w:t xml:space="preserve"> R, Charles T. The importance of knowing context of hospital episode statistics when reconfiguring the NHS. </w:t>
      </w:r>
      <w:r>
        <w:rPr>
          <w:i/>
        </w:rPr>
        <w:t>BMJ (Online)</w:t>
      </w:r>
      <w:r>
        <w:t xml:space="preserve"> 2012; </w:t>
      </w:r>
      <w:r>
        <w:rPr>
          <w:b/>
        </w:rPr>
        <w:t>344</w:t>
      </w:r>
      <w:r>
        <w:t>. DOI</w:t>
      </w:r>
      <w:proofErr w:type="gramStart"/>
      <w:r>
        <w:t>:</w:t>
      </w:r>
      <w:proofErr w:type="gramEnd"/>
      <w:r w:rsidR="005E7BDE">
        <w:fldChar w:fldCharType="begin"/>
      </w:r>
      <w:r w:rsidR="005E7BDE">
        <w:instrText xml:space="preserve"> HYPERLINK "https://doi.org/10.1136/bmj.e2432" \h </w:instrText>
      </w:r>
      <w:r w:rsidR="005E7BDE">
        <w:fldChar w:fldCharType="separate"/>
      </w:r>
      <w:r>
        <w:rPr>
          <w:rStyle w:val="Hyperlink"/>
        </w:rPr>
        <w:t>10.1136/bmj.e2432</w:t>
      </w:r>
      <w:r w:rsidR="005E7BDE">
        <w:rPr>
          <w:rStyle w:val="Hyperlink"/>
        </w:rPr>
        <w:fldChar w:fldCharType="end"/>
      </w:r>
      <w:r>
        <w:t>.</w:t>
      </w:r>
    </w:p>
    <w:p w:rsidR="00923610" w:rsidRDefault="0057247F">
      <w:pPr>
        <w:pStyle w:val="Bibliography"/>
      </w:pPr>
      <w:bookmarkStart w:id="87" w:name="ref-Smith2012"/>
      <w:bookmarkEnd w:id="86"/>
      <w:r>
        <w:t xml:space="preserve">51 Smith AJ, Dieppe P, Porter M, </w:t>
      </w:r>
      <w:proofErr w:type="spellStart"/>
      <w:r>
        <w:t>Blom</w:t>
      </w:r>
      <w:proofErr w:type="spellEnd"/>
      <w:r>
        <w:t xml:space="preserve"> AW. Risk of cancer in first seven years after metal-on-metal hip replacement compared with other bearings and general population: Linkage study between the National Joint Registry of England and Wales and hospital episode statistics. </w:t>
      </w:r>
      <w:r>
        <w:rPr>
          <w:i/>
        </w:rPr>
        <w:t>BMJ (Online)</w:t>
      </w:r>
      <w:r>
        <w:t xml:space="preserve"> 2012; </w:t>
      </w:r>
      <w:r>
        <w:rPr>
          <w:b/>
        </w:rPr>
        <w:t>344</w:t>
      </w:r>
      <w:r>
        <w:t>. DOI</w:t>
      </w:r>
      <w:proofErr w:type="gramStart"/>
      <w:r>
        <w:t>:</w:t>
      </w:r>
      <w:proofErr w:type="gramEnd"/>
      <w:hyperlink r:id="rId12">
        <w:r>
          <w:rPr>
            <w:rStyle w:val="Hyperlink"/>
          </w:rPr>
          <w:t>10.1136/bmj.e2383</w:t>
        </w:r>
      </w:hyperlink>
      <w:r>
        <w:t>.</w:t>
      </w:r>
    </w:p>
    <w:p w:rsidR="00923610" w:rsidRDefault="0057247F">
      <w:pPr>
        <w:pStyle w:val="Bibliography"/>
      </w:pPr>
      <w:bookmarkStart w:id="88" w:name="ref-Mouchti2018"/>
      <w:bookmarkEnd w:id="87"/>
      <w:r>
        <w:t xml:space="preserve">52 </w:t>
      </w:r>
      <w:proofErr w:type="spellStart"/>
      <w:r>
        <w:t>Mouchti</w:t>
      </w:r>
      <w:proofErr w:type="spellEnd"/>
      <w:r>
        <w:t xml:space="preserve"> S, Whitehouse MR, Sayers A, Hunt LP, MacGregor A, </w:t>
      </w:r>
      <w:proofErr w:type="spellStart"/>
      <w:r>
        <w:t>Blom</w:t>
      </w:r>
      <w:proofErr w:type="spellEnd"/>
      <w:r>
        <w:t xml:space="preserve"> AW. The association of body mass index with risk of long-term revision and 90-Day mortality following primary total hip replacement. </w:t>
      </w:r>
      <w:r>
        <w:rPr>
          <w:i/>
        </w:rPr>
        <w:t>The Journal of Bone and Joint Surgery</w:t>
      </w:r>
      <w:r>
        <w:t xml:space="preserve"> 2018; </w:t>
      </w:r>
      <w:r>
        <w:rPr>
          <w:b/>
        </w:rPr>
        <w:t>100</w:t>
      </w:r>
      <w:r>
        <w:t>: 2140–52.</w:t>
      </w:r>
    </w:p>
    <w:p w:rsidR="00923610" w:rsidRDefault="0057247F">
      <w:pPr>
        <w:pStyle w:val="Bibliography"/>
      </w:pPr>
      <w:bookmarkStart w:id="89" w:name="ref-Stommel2009"/>
      <w:bookmarkEnd w:id="88"/>
      <w:r>
        <w:t xml:space="preserve">53 </w:t>
      </w:r>
      <w:proofErr w:type="spellStart"/>
      <w:r>
        <w:t>Stommel</w:t>
      </w:r>
      <w:proofErr w:type="spellEnd"/>
      <w:r>
        <w:t xml:space="preserve"> M, </w:t>
      </w:r>
      <w:proofErr w:type="spellStart"/>
      <w:r>
        <w:t>Schoenborn</w:t>
      </w:r>
      <w:proofErr w:type="spellEnd"/>
      <w:r>
        <w:t xml:space="preserve"> CA. Accuracy and usefulness of BMI measures based on self-reported weight and height: Findings from the NHANES &amp; NHIS 2001-2006. </w:t>
      </w:r>
      <w:r>
        <w:rPr>
          <w:i/>
        </w:rPr>
        <w:t>BMC Public Health</w:t>
      </w:r>
      <w:r>
        <w:t xml:space="preserve"> 2009; </w:t>
      </w:r>
      <w:r>
        <w:rPr>
          <w:b/>
        </w:rPr>
        <w:t>9</w:t>
      </w:r>
      <w:r>
        <w:t>: 1–10.</w:t>
      </w:r>
    </w:p>
    <w:bookmarkEnd w:id="89"/>
    <w:bookmarkEnd w:id="37"/>
    <w:sectPr w:rsidR="00923610" w:rsidSect="001A200B">
      <w:headerReference w:type="default" r:id="rId1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E38" w:rsidRDefault="0057247F">
      <w:pPr>
        <w:spacing w:after="0"/>
      </w:pPr>
      <w:r>
        <w:separator/>
      </w:r>
    </w:p>
  </w:endnote>
  <w:endnote w:type="continuationSeparator" w:id="0">
    <w:p w:rsidR="00293E38" w:rsidRDefault="00572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610" w:rsidRDefault="0057247F">
      <w:r>
        <w:separator/>
      </w:r>
    </w:p>
  </w:footnote>
  <w:footnote w:type="continuationSeparator" w:id="0">
    <w:p w:rsidR="00923610" w:rsidRDefault="005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1A200B">
        <w:pPr>
          <w:pStyle w:val="Header"/>
          <w:jc w:val="right"/>
        </w:pPr>
        <w:r>
          <w:rPr>
            <w:lang w:val="sv-SE"/>
          </w:rPr>
          <w:t>Page</w:t>
        </w:r>
        <w:r w:rsidR="0057247F">
          <w:rPr>
            <w:lang w:val="sv-SE"/>
          </w:rPr>
          <w:t xml:space="preserve"> </w:t>
        </w:r>
        <w:r w:rsidR="0057247F">
          <w:rPr>
            <w:b/>
            <w:bCs/>
          </w:rPr>
          <w:fldChar w:fldCharType="begin"/>
        </w:r>
        <w:r w:rsidR="0057247F">
          <w:rPr>
            <w:b/>
            <w:bCs/>
          </w:rPr>
          <w:instrText>PAGE</w:instrText>
        </w:r>
        <w:r w:rsidR="0057247F">
          <w:rPr>
            <w:b/>
            <w:bCs/>
          </w:rPr>
          <w:fldChar w:fldCharType="separate"/>
        </w:r>
        <w:r w:rsidR="005E7BDE">
          <w:rPr>
            <w:b/>
            <w:bCs/>
            <w:noProof/>
          </w:rPr>
          <w:t>26</w:t>
        </w:r>
        <w:r w:rsidR="0057247F">
          <w:rPr>
            <w:b/>
            <w:bCs/>
          </w:rPr>
          <w:fldChar w:fldCharType="end"/>
        </w:r>
        <w:r w:rsidR="0057247F">
          <w:rPr>
            <w:lang w:val="sv-SE"/>
          </w:rPr>
          <w:t xml:space="preserve"> </w:t>
        </w:r>
        <w:r>
          <w:rPr>
            <w:lang w:val="sv-SE"/>
          </w:rPr>
          <w:t>of</w:t>
        </w:r>
        <w:r w:rsidR="0057247F">
          <w:rPr>
            <w:lang w:val="sv-SE"/>
          </w:rPr>
          <w:t xml:space="preserve"> </w:t>
        </w:r>
        <w:r w:rsidR="0057247F">
          <w:rPr>
            <w:b/>
            <w:bCs/>
          </w:rPr>
          <w:fldChar w:fldCharType="begin"/>
        </w:r>
        <w:r w:rsidR="0057247F">
          <w:rPr>
            <w:b/>
            <w:bCs/>
          </w:rPr>
          <w:instrText>NUMPAGES</w:instrText>
        </w:r>
        <w:r w:rsidR="0057247F">
          <w:rPr>
            <w:b/>
            <w:bCs/>
          </w:rPr>
          <w:fldChar w:fldCharType="separate"/>
        </w:r>
        <w:r w:rsidR="005E7BDE">
          <w:rPr>
            <w:b/>
            <w:bCs/>
            <w:noProof/>
          </w:rPr>
          <w:t>27</w:t>
        </w:r>
        <w:r w:rsidR="0057247F">
          <w:rPr>
            <w:b/>
            <w:bCs/>
          </w:rPr>
          <w:fldChar w:fldCharType="end"/>
        </w:r>
      </w:p>
    </w:sdtContent>
  </w:sdt>
  <w:p w:rsidR="00A5728A" w:rsidRDefault="005E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ED4E9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200B"/>
    <w:rsid w:val="00293E38"/>
    <w:rsid w:val="004E29B3"/>
    <w:rsid w:val="0057247F"/>
    <w:rsid w:val="00590D07"/>
    <w:rsid w:val="005E7BDE"/>
    <w:rsid w:val="00784D58"/>
    <w:rsid w:val="008D6863"/>
    <w:rsid w:val="0092361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05783-6AC4-40CA-9FF2-D9A8F666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ik.bulow@vgregion.se" TargetMode="External"/><Relationship Id="rId12" Type="http://schemas.openxmlformats.org/officeDocument/2006/relationships/hyperlink" Target="https://doi.org/10.1136/bmj.e23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pr.registercentrum.se/om-registret-1/forskning/prediktion-av-90-dagarsmortalitet/p/SkyeTsTF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pr.registercentrum.se/om-registret-1/forskning/prediktion-av-90-dagarsmortalitet/p/SkyeTsTFB" TargetMode="External"/><Relationship Id="rId4" Type="http://schemas.openxmlformats.org/officeDocument/2006/relationships/webSettings" Target="webSettings.xml"/><Relationship Id="rId9" Type="http://schemas.openxmlformats.org/officeDocument/2006/relationships/hyperlink" Target="https://jointcalc.shef.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6349</Words>
  <Characters>36193</Characters>
  <Application>Microsoft Office Word</Application>
  <DocSecurity>0</DocSecurity>
  <Lines>301</Lines>
  <Paragraphs>84</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 Mark Wilkinson6, Adrian Sayers5, Ola Rolfson2,4, Nils P. Hailer1,2</dc:creator>
  <cp:keywords/>
  <cp:lastModifiedBy>Erik Bulow</cp:lastModifiedBy>
  <cp:revision>3</cp:revision>
  <dcterms:created xsi:type="dcterms:W3CDTF">2020-03-25T15:44:00Z</dcterms:created>
  <dcterms:modified xsi:type="dcterms:W3CDTF">2020-03-26T09:23:00Z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2020-03-25</vt:lpwstr>
  </property>
  <property fmtid="{D5CDD505-2E9C-101B-9397-08002B2CF9AE}" pid="5" name="output">
    <vt:lpwstr/>
  </property>
</Properties>
</file>