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left"/>
      </w:pPr>
      <w:r>
        <w:rPr>
          <w:rFonts w:ascii="Arial" w:cs="Arial" w:eastAsia="Arial" w:hAnsi="Arial"/>
          <w:b/>
          <w:bCs/>
          <w:color w:val="1B2A4A"/>
          <w:sz w:val="60"/>
          <w:szCs w:val="60"/>
        </w:rPr>
        <w:t xml:space="preserve">EUROAI SCORE</w:t>
      </w:r>
    </w:p>
    <w:p>
      <w:pPr>
        <w:pBdr>
          <w:bottom w:val="single" w:color="E8734A" w:sz="6" w:space="8"/>
        </w:pBdr>
        <w:spacing w:after="400"/>
        <w:jc w:val="left"/>
      </w:pPr>
      <w:r>
        <w:rPr>
          <w:rFonts w:ascii="Arial" w:cs="Arial" w:eastAsia="Arial" w:hAnsi="Arial"/>
          <w:color w:val="2E75B6"/>
          <w:sz w:val="32"/>
          <w:szCs w:val="32"/>
        </w:rPr>
        <w:t xml:space="preserve">Business Model &amp; Positioning</w:t>
      </w:r>
    </w:p>
    <w:p>
      <w:pPr>
        <w:spacing w:before="600"/>
      </w:pPr>
    </w:p>
    <w:p>
      <w:pPr>
        <w:spacing w:after="200"/>
        <w:jc w:val="left"/>
      </w:pPr>
      <w:r>
        <w:rPr>
          <w:rFonts w:ascii="Arial" w:cs="Arial" w:eastAsia="Arial" w:hAnsi="Arial"/>
          <w:i/>
          <w:iCs/>
          <w:color w:val="444444"/>
          <w:sz w:val="26"/>
          <w:szCs w:val="26"/>
        </w:rPr>
        <w:t xml:space="preserve">AI Vendor Intelligence for European Decision-Makers</w:t>
      </w:r>
    </w:p>
    <w:p>
      <w:pPr>
        <w:spacing w:after="0"/>
        <w:jc w:val="left"/>
      </w:pPr>
      <w:r>
        <w:rPr>
          <w:rFonts w:ascii="Arial" w:cs="Arial" w:eastAsia="Arial" w:hAnsi="Arial"/>
          <w:color w:val="999999"/>
          <w:sz w:val="22"/>
          <w:szCs w:val="22"/>
        </w:rPr>
        <w:t xml:space="preserve">Confidential — March 2026</w:t>
      </w:r>
    </w:p>
    <w:p>
      <w:pPr>
        <w:spacing w:after="200"/>
        <w:jc w:val="left"/>
      </w:pPr>
      <w:r>
        <w:rPr>
          <w:rFonts w:ascii="Arial" w:cs="Arial" w:eastAsia="Arial" w:hAnsi="Arial"/>
          <w:color w:val="999999"/>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jc w:val="left"/>
      </w:pPr>
      <w:r>
        <w:rPr>
          <w:rFonts w:ascii="Arial" w:cs="Arial" w:eastAsia="Arial" w:hAnsi="Arial"/>
          <w:color w:val="444444"/>
          <w:sz w:val="22"/>
          <w:szCs w:val="22"/>
        </w:rPr>
        <w:t xml:space="preserve">EuroAI Score is a subscription-based intelligence platform that helps European business leaders evaluate and select AI tools with confidence. Unlike existing AI directories that serve a global (primarily American) audience, EuroAI Score rates every tool through the lens that European buyers actually care about: regulatory compliance, data sovereignty, multilingual quality, and transparent pricing in euros.</w:t>
      </w:r>
    </w:p>
    <w:p>
      <w:pPr>
        <w:spacing w:after="200"/>
        <w:jc w:val="left"/>
      </w:pPr>
      <w:r>
        <w:rPr>
          <w:rFonts w:ascii="Arial" w:cs="Arial" w:eastAsia="Arial" w:hAnsi="Arial"/>
          <w:color w:val="444444"/>
          <w:sz w:val="22"/>
          <w:szCs w:val="22"/>
        </w:rPr>
        <w:t xml:space="preserve">The platform targets non-technical executives — CEOs, COOs, procurement leads, and digital transformation officers — who are under pressure to adopt AI but lack the frameworks to evaluate vendors responsibly. These buyers don’t need another tech blog. They need structured, trustworthy intelligence that speaks their language, both literally and strategically.</w:t>
      </w:r>
    </w:p>
    <w:p>
      <w:pPr>
        <w:spacing w:after="200"/>
        <w:jc w:val="left"/>
      </w:pPr>
      <w:r>
        <w:rPr>
          <w:rFonts w:ascii="Arial" w:cs="Arial" w:eastAsia="Arial" w:hAnsi="Arial"/>
          <w:b/>
          <w:bCs/>
          <w:color w:val="444444"/>
          <w:sz w:val="22"/>
          <w:szCs w:val="22"/>
        </w:rPr>
        <w:t xml:space="preserve">Phase 1</w:t>
      </w:r>
      <w:r>
        <w:rPr>
          <w:rFonts w:ascii="Arial" w:cs="Arial" w:eastAsia="Arial" w:hAnsi="Arial"/>
          <w:color w:val="444444"/>
          <w:sz w:val="22"/>
          <w:szCs w:val="22"/>
        </w:rPr>
        <w:t xml:space="preserve"> launches a scored database of AI tools with free and paid tiers. </w:t>
      </w:r>
      <w:r>
        <w:rPr>
          <w:rFonts w:ascii="Arial" w:cs="Arial" w:eastAsia="Arial" w:hAnsi="Arial"/>
          <w:b/>
          <w:bCs/>
          <w:color w:val="444444"/>
          <w:sz w:val="22"/>
          <w:szCs w:val="22"/>
        </w:rPr>
        <w:t xml:space="preserve">Phase 2</w:t>
      </w:r>
      <w:r>
        <w:rPr>
          <w:rFonts w:ascii="Arial" w:cs="Arial" w:eastAsia="Arial" w:hAnsi="Arial"/>
          <w:color w:val="444444"/>
          <w:sz w:val="22"/>
          <w:szCs w:val="22"/>
        </w:rPr>
        <w:t xml:space="preserve"> layers in executive education (cohort-based courses), converting platform credibility into a higher-margin revenue stream.</w:t>
      </w:r>
    </w:p>
    <w:p>
      <w:pPr>
        <w:pBdr>
          <w:bottom w:val="single" w:color="2E75B6" w:sz="4" w:space="1"/>
        </w:pBdr>
        <w:spacing w:after="300" w:before="300"/>
      </w:pPr>
    </w:p>
    <w:p>
      <w:pPr>
        <w:pStyle w:val="Heading1"/>
      </w:pPr>
      <w:r>
        <w:t xml:space="preserve">2. The Problem</w:t>
      </w:r>
    </w:p>
    <w:p>
      <w:pPr>
        <w:pStyle w:val="Heading2"/>
      </w:pPr>
      <w:r>
        <w:t xml:space="preserve">Why European AI buyers are underserved</w:t>
      </w:r>
    </w:p>
    <w:p>
      <w:pPr>
        <w:spacing w:after="200"/>
        <w:jc w:val="left"/>
      </w:pPr>
      <w:r>
        <w:rPr>
          <w:rFonts w:ascii="Arial" w:cs="Arial" w:eastAsia="Arial" w:hAnsi="Arial"/>
          <w:color w:val="444444"/>
          <w:sz w:val="22"/>
          <w:szCs w:val="22"/>
        </w:rPr>
        <w:t xml:space="preserve">The AI tool market is exploding. There are now thousands of products competing for enterprise budgets, from general-purpose LLMs to vertical-specific automation platforms. But the evaluation infrastructure around these tools was built by and for the American market.</w:t>
      </w:r>
    </w:p>
    <w:p>
      <w:pPr>
        <w:spacing w:after="200"/>
        <w:jc w:val="left"/>
      </w:pPr>
      <w:r>
        <w:rPr>
          <w:rFonts w:ascii="Arial" w:cs="Arial" w:eastAsia="Arial" w:hAnsi="Arial"/>
          <w:b/>
          <w:bCs/>
          <w:color w:val="1B2A4A"/>
          <w:sz w:val="22"/>
          <w:szCs w:val="22"/>
        </w:rPr>
        <w:t xml:space="preserve">The information gap is structural, not incidental.</w:t>
      </w:r>
      <w:r>
        <w:rPr>
          <w:rFonts w:ascii="Arial" w:cs="Arial" w:eastAsia="Arial" w:hAnsi="Arial"/>
          <w:color w:val="444444"/>
          <w:sz w:val="22"/>
          <w:szCs w:val="22"/>
        </w:rPr>
        <w:t xml:space="preserve"> European buyers face a unique combination of challenges:</w:t>
      </w:r>
    </w:p>
    <w:p>
      <w:pPr>
        <w:pStyle w:val="ListParagraph"/>
        <w:numPr>
          <w:ilvl w:val="0"/>
          <w:numId w:val="2"/>
        </w:numPr>
        <w:spacing w:after="100"/>
      </w:pPr>
      <w:r>
        <w:rPr>
          <w:rFonts w:ascii="Arial" w:cs="Arial" w:eastAsia="Arial" w:hAnsi="Arial"/>
          <w:color w:val="444444"/>
          <w:sz w:val="22"/>
          <w:szCs w:val="22"/>
        </w:rPr>
        <w:t xml:space="preserve">Regulatory complexity: GDPR, the EU AI Act, and emerging national regulations create compliance requirements that American comparison sites simply ignore.</w:t>
      </w:r>
    </w:p>
    <w:p>
      <w:pPr>
        <w:pStyle w:val="ListParagraph"/>
        <w:numPr>
          <w:ilvl w:val="0"/>
          <w:numId w:val="2"/>
        </w:numPr>
        <w:spacing w:after="100"/>
      </w:pPr>
      <w:r>
        <w:rPr>
          <w:rFonts w:ascii="Arial" w:cs="Arial" w:eastAsia="Arial" w:hAnsi="Arial"/>
          <w:color w:val="444444"/>
          <w:sz w:val="22"/>
          <w:szCs w:val="22"/>
        </w:rPr>
        <w:t xml:space="preserve">Data sovereignty concerns: European companies increasingly need guarantees about where their data is processed and stored — information that’s buried in vendor documentation, if it exists at all.</w:t>
      </w:r>
    </w:p>
    <w:p>
      <w:pPr>
        <w:pStyle w:val="ListParagraph"/>
        <w:numPr>
          <w:ilvl w:val="0"/>
          <w:numId w:val="2"/>
        </w:numPr>
        <w:spacing w:after="100"/>
      </w:pPr>
      <w:r>
        <w:rPr>
          <w:rFonts w:ascii="Arial" w:cs="Arial" w:eastAsia="Arial" w:hAnsi="Arial"/>
          <w:color w:val="444444"/>
          <w:sz w:val="22"/>
          <w:szCs w:val="22"/>
        </w:rPr>
        <w:t xml:space="preserve">Pricing opacity: Many AI tools price in USD, offer different feature sets by region, or hide European-specific costs (data residency add-ons, EU support tiers).</w:t>
      </w:r>
    </w:p>
    <w:p>
      <w:pPr>
        <w:pStyle w:val="ListParagraph"/>
        <w:numPr>
          <w:ilvl w:val="0"/>
          <w:numId w:val="2"/>
        </w:numPr>
        <w:spacing w:after="100"/>
      </w:pPr>
      <w:r>
        <w:rPr>
          <w:rFonts w:ascii="Arial" w:cs="Arial" w:eastAsia="Arial" w:hAnsi="Arial"/>
          <w:color w:val="444444"/>
          <w:sz w:val="22"/>
          <w:szCs w:val="22"/>
        </w:rPr>
        <w:t xml:space="preserve">Multilingual blind spots: Most AI tool reviews evaluate English-only performance. A tool that works brilliantly in English may produce mediocre results in French, German, or Dutch.</w:t>
      </w:r>
    </w:p>
    <w:p>
      <w:pPr>
        <w:pStyle w:val="ListParagraph"/>
        <w:numPr>
          <w:ilvl w:val="0"/>
          <w:numId w:val="2"/>
        </w:numPr>
        <w:spacing w:after="100"/>
      </w:pPr>
      <w:r>
        <w:rPr>
          <w:rFonts w:ascii="Arial" w:cs="Arial" w:eastAsia="Arial" w:hAnsi="Arial"/>
          <w:color w:val="444444"/>
          <w:sz w:val="22"/>
          <w:szCs w:val="22"/>
        </w:rPr>
        <w:t xml:space="preserve">Decision-maker mismatch: The people evaluating AI tools (executives, procurement) are not the people writing reviews (developers, tech enthusiasts). The language, framing, and priorities are misaligned.</w:t>
      </w:r>
    </w:p>
    <w:p>
      <w:pPr>
        <w:spacing w:after="200"/>
        <w:jc w:val="left"/>
      </w:pPr>
      <w:r>
        <w:rPr>
          <w:rFonts w:ascii="Arial" w:cs="Arial" w:eastAsia="Arial" w:hAnsi="Arial"/>
          <w:color w:val="444444"/>
          <w:sz w:val="22"/>
          <w:szCs w:val="22"/>
        </w:rPr>
        <w:t xml:space="preserve">The result: European executives either delay AI adoption (competitive risk), delegate decisions entirely to technical teams (strategic risk), or choose based on brand recognition and marketing (procurement risk).</w:t>
      </w:r>
    </w:p>
    <w:p>
      <w:pPr>
        <w:pBdr>
          <w:bottom w:val="single" w:color="2E75B6" w:sz="4" w:space="1"/>
        </w:pBdr>
        <w:spacing w:after="300" w:before="300"/>
      </w:pPr>
    </w:p>
    <w:p>
      <w:pPr>
        <w:pStyle w:val="Heading1"/>
      </w:pPr>
      <w:r>
        <w:t xml:space="preserve">3. The Solution</w:t>
      </w:r>
    </w:p>
    <w:p>
      <w:pPr>
        <w:pStyle w:val="Heading2"/>
      </w:pPr>
      <w:r>
        <w:t xml:space="preserve">What EuroAI Score delivers</w:t>
      </w:r>
    </w:p>
    <w:p>
      <w:pPr>
        <w:spacing w:after="200"/>
        <w:jc w:val="left"/>
      </w:pPr>
      <w:r>
        <w:rPr>
          <w:rFonts w:ascii="Arial" w:cs="Arial" w:eastAsia="Arial" w:hAnsi="Arial"/>
          <w:color w:val="444444"/>
          <w:sz w:val="22"/>
          <w:szCs w:val="22"/>
        </w:rPr>
        <w:t xml:space="preserve">EuroAI Score is a curated intelligence platform, not a directory. The distinction matters. Directories list tools. Intelligence platforms evaluate them. Every tool in the database receives a structured assessment across eight dimensions specifically chosen for European decision-makers.</w:t>
      </w:r>
    </w:p>
    <w:p>
      <w:pPr>
        <w:pStyle w:val="Heading3"/>
      </w:pPr>
      <w:r>
        <w:t xml:space="preserve">The EuroAI Scoring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for European Buyers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GDPR Compliance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Data processing agreements, consent mechanisms, breach protocols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Legal exposure; fines up to 4% of global turnover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AI Act Readiness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Risk classification, transparency obligations, documentation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Forward compliance; the Act is phasing in through 2027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Data Residency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EU hosting options, data transfer mechanisms, sub-processor locations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Sovereignty requirements; increasingly mandated in regulated sectors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Multilingual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Performance in FR, DE, ES, NL, IT and other EU languages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Operational reality; most European teams work multilingually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EU Pricing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EUR pricing, hidden costs, regional feature parity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Budget predictability; avoids FX risk and surprise surcharges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Vendor Lock-in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Export options, API portability, contract flexibility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Strategic agility; ability to switch without operational disruption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EU Support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Timezone coverage, language support, local teams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Operational continuity; support during European business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Open vs. Proprietary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Open-source availability, self-hosting options, transparency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Control and auditability; aligned with EU digital sovereignty goals</w:t>
            </w:r>
          </w:p>
        </w:tc>
      </w:tr>
    </w:tbl>
    <w:p>
      <w:pPr>
        <w:spacing w:after="200"/>
        <w:jc w:val="left"/>
      </w:pPr>
      <w:r>
        <w:rPr>
          <w:rFonts w:ascii="Arial" w:cs="Arial" w:eastAsia="Arial" w:hAnsi="Arial"/>
          <w:color w:val="444444"/>
          <w:sz w:val="22"/>
          <w:szCs w:val="22"/>
        </w:rPr>
        <w:t xml:space="preserve"/>
      </w:r>
    </w:p>
    <w:p>
      <w:pPr>
        <w:spacing w:after="200"/>
        <w:jc w:val="left"/>
      </w:pPr>
      <w:r>
        <w:rPr>
          <w:rFonts w:ascii="Arial" w:cs="Arial" w:eastAsia="Arial" w:hAnsi="Arial"/>
          <w:color w:val="444444"/>
          <w:sz w:val="22"/>
          <w:szCs w:val="22"/>
        </w:rPr>
        <w:t xml:space="preserve">Each dimension is scored 1–5 with a clear methodology page explaining the criteria. The composite score provides a quick comparison; the dimension breakdown supports nuanced evaluation.</w:t>
      </w:r>
    </w:p>
    <w:p>
      <w:pPr>
        <w:pBdr>
          <w:bottom w:val="single" w:color="2E75B6" w:sz="4" w:space="1"/>
        </w:pBdr>
        <w:spacing w:after="300" w:before="300"/>
      </w:pPr>
    </w:p>
    <w:p>
      <w:pPr>
        <w:pStyle w:val="Heading1"/>
      </w:pPr>
      <w:r>
        <w:t xml:space="preserve">4. Target Customer</w:t>
      </w:r>
    </w:p>
    <w:p>
      <w:pPr>
        <w:pStyle w:val="Heading2"/>
      </w:pPr>
      <w:r>
        <w:t xml:space="preserve">Primary persona: The European AI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CEO, COO, CDO, VP Digital, Head of Procurement, Transformation Lead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Company 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50–5,000 employees (sweet spot: 100–1,000)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Geography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EU and UK, with initial focus on France, Germany, Benelux, Nordics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Situation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Actively evaluating or recently adopted AI tools; under board/investor pressure to integrate AI into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Pain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Overwhelmed by options, uncertain about compliance, unable to distinguish marketing from reality, lack internal AI expertise to evaluate properly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Current workaround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Relying on consultants (€ expensive), tech team opinions (narrow), or peer recommendations (anecdotal)</w:t>
            </w:r>
          </w:p>
        </w:tc>
      </w:tr>
    </w:tbl>
    <w:p>
      <w:pPr>
        <w:spacing w:after="200"/>
        <w:jc w:val="left"/>
      </w:pPr>
      <w:r>
        <w:rPr>
          <w:rFonts w:ascii="Arial" w:cs="Arial" w:eastAsia="Arial" w:hAnsi="Arial"/>
          <w:color w:val="444444"/>
          <w:sz w:val="22"/>
          <w:szCs w:val="22"/>
        </w:rPr>
        <w:t xml:space="preserve"/>
      </w:r>
    </w:p>
    <w:p>
      <w:pPr>
        <w:spacing w:after="200"/>
        <w:jc w:val="left"/>
      </w:pPr>
      <w:r>
        <w:rPr>
          <w:rFonts w:ascii="Arial" w:cs="Arial" w:eastAsia="Arial" w:hAnsi="Arial"/>
          <w:b/>
          <w:bCs/>
          <w:color w:val="444444"/>
          <w:sz w:val="22"/>
          <w:szCs w:val="22"/>
        </w:rPr>
        <w:t xml:space="preserve">Why non-tech executives specifically: </w:t>
      </w:r>
      <w:r>
        <w:rPr>
          <w:rFonts w:ascii="Arial" w:cs="Arial" w:eastAsia="Arial" w:hAnsi="Arial"/>
          <w:color w:val="444444"/>
          <w:sz w:val="22"/>
          <w:szCs w:val="22"/>
        </w:rPr>
        <w:t xml:space="preserve">Technical users already have resources (GitHub, Hacker News, developer communities). Executives don’t. They’re the ones signing contracts worth €50k–€500k+ per year on AI tools, yet they have the least structured help making those decisions. This is the highest-value gap to fill.</w:t>
      </w:r>
    </w:p>
    <w:p>
      <w:pPr>
        <w:pStyle w:val="Heading3"/>
      </w:pPr>
      <w:r>
        <w:t xml:space="preserve">Secondary personas (future expansion)</w:t>
      </w:r>
    </w:p>
    <w:p>
      <w:pPr>
        <w:pStyle w:val="ListParagraph"/>
        <w:numPr>
          <w:ilvl w:val="0"/>
          <w:numId w:val="2"/>
        </w:numPr>
        <w:spacing w:after="100"/>
      </w:pPr>
      <w:r>
        <w:rPr>
          <w:rFonts w:ascii="Arial" w:cs="Arial" w:eastAsia="Arial" w:hAnsi="Arial"/>
          <w:color w:val="444444"/>
          <w:sz w:val="22"/>
          <w:szCs w:val="22"/>
        </w:rPr>
        <w:t xml:space="preserve">IT Directors and CTOs in regulated industries (finance, healthcare, public sector) who need compliance documentation to justify vendor choices to auditors.</w:t>
      </w:r>
    </w:p>
    <w:p>
      <w:pPr>
        <w:pStyle w:val="ListParagraph"/>
        <w:numPr>
          <w:ilvl w:val="0"/>
          <w:numId w:val="2"/>
        </w:numPr>
        <w:spacing w:after="100"/>
      </w:pPr>
      <w:r>
        <w:rPr>
          <w:rFonts w:ascii="Arial" w:cs="Arial" w:eastAsia="Arial" w:hAnsi="Arial"/>
          <w:color w:val="444444"/>
          <w:sz w:val="22"/>
          <w:szCs w:val="22"/>
        </w:rPr>
        <w:t xml:space="preserve">Consultants and advisory firms serving European clients on digital transformation — they’d use EuroAI Score as a reference tool in their own engagements.</w:t>
      </w:r>
    </w:p>
    <w:p>
      <w:pPr>
        <w:pBdr>
          <w:bottom w:val="single" w:color="2E75B6" w:sz="4" w:space="1"/>
        </w:pBdr>
        <w:spacing w:after="300" w:before="300"/>
      </w:pPr>
    </w:p>
    <w:p>
      <w:pPr>
        <w:pStyle w:val="Heading1"/>
      </w:pPr>
      <w:r>
        <w:t xml:space="preserve">5. Competitive Landscape</w:t>
      </w:r>
    </w:p>
    <w:p>
      <w:pPr>
        <w:spacing w:after="200"/>
        <w:jc w:val="left"/>
      </w:pPr>
      <w:r>
        <w:rPr>
          <w:rFonts w:ascii="Arial" w:cs="Arial" w:eastAsia="Arial" w:hAnsi="Arial"/>
          <w:color w:val="444444"/>
          <w:sz w:val="22"/>
          <w:szCs w:val="22"/>
        </w:rPr>
        <w:t xml:space="preserve">The competitive landscape validates the opportunity. Existing players have left the European angle completely unoccupied.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Miss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EuroAI Score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There’s an AI for That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Massive directory, 10k+ tools, search by use case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Zero compliance data, no European lens, no scoring depth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Curated, scored, EU-specific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G2 / Capterra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Enterprise software reviews with user ratings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Reviews are user-submitted (noisy), no regulatory analysis, US-centric framing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Expert assessment, regulatory 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Gartner / Forrester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Analyst reports on AI vendors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Expensive (€30k+/yr), slow publishing cycles, broad not deep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Accessible pricing, faster updates, EU-first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AI newsletters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News and commentary on AI developments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Opinion-driven, no structured scoring, not actionable for procurement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Structured, decision-ready intelligence</w:t>
            </w:r>
          </w:p>
        </w:tc>
      </w:tr>
    </w:tbl>
    <w:p>
      <w:pPr>
        <w:spacing w:after="200"/>
        <w:jc w:val="left"/>
      </w:pPr>
      <w:r>
        <w:rPr>
          <w:rFonts w:ascii="Arial" w:cs="Arial" w:eastAsia="Arial" w:hAnsi="Arial"/>
          <w:color w:val="444444"/>
          <w:sz w:val="22"/>
          <w:szCs w:val="22"/>
        </w:rPr>
        <w:t xml:space="preserve"/>
      </w:r>
    </w:p>
    <w:p>
      <w:pPr>
        <w:spacing w:after="200"/>
        <w:jc w:val="left"/>
      </w:pPr>
      <w:r>
        <w:rPr>
          <w:rFonts w:ascii="Arial" w:cs="Arial" w:eastAsia="Arial" w:hAnsi="Arial"/>
          <w:b/>
          <w:bCs/>
          <w:color w:val="444444"/>
          <w:sz w:val="22"/>
          <w:szCs w:val="22"/>
        </w:rPr>
        <w:t xml:space="preserve">Positioning statement: </w:t>
      </w:r>
      <w:r>
        <w:rPr>
          <w:rFonts w:ascii="Arial" w:cs="Arial" w:eastAsia="Arial" w:hAnsi="Arial"/>
          <w:color w:val="444444"/>
          <w:sz w:val="22"/>
          <w:szCs w:val="22"/>
        </w:rPr>
        <w:t xml:space="preserve">EuroAI Score is the Gartner for European AI procurement, at a price SMBs can actually afford.</w:t>
      </w:r>
    </w:p>
    <w:p>
      <w:pPr>
        <w:pBdr>
          <w:bottom w:val="single" w:color="2E75B6" w:sz="4" w:space="1"/>
        </w:pBdr>
        <w:spacing w:after="300" w:before="300"/>
      </w:pPr>
    </w:p>
    <w:p>
      <w:pPr>
        <w:pStyle w:val="Heading1"/>
      </w:pPr>
      <w:r>
        <w:t xml:space="preserve">6. Revenue Model</w:t>
      </w:r>
    </w:p>
    <w:p>
      <w:pPr>
        <w:pStyle w:val="Heading2"/>
      </w:pPr>
      <w:r>
        <w:t xml:space="preserve">Phase 1: Platform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 — €49/month</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 €149/month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Access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Browse top-level scores, see tool names and composite ratings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Full dimension breakdowns, detailed assessments, comparison tool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Everything in Pro + exportable PDF reports, regulatory alerts, 5 user seats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Value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Discovery and awareness — builds trust and email list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Individual decision-makers doing vendor evaluation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Procurement teams running formal selection processes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Conversion goal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5–10% convert to Pro within 30 days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10–20% upgrade to Team within 6 months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Retain through ongoing value and regulatory updates</w:t>
            </w:r>
          </w:p>
        </w:tc>
      </w:tr>
    </w:tbl>
    <w:p>
      <w:pPr>
        <w:spacing w:after="200"/>
        <w:jc w:val="left"/>
      </w:pPr>
      <w:r>
        <w:rPr>
          <w:rFonts w:ascii="Arial" w:cs="Arial" w:eastAsia="Arial" w:hAnsi="Arial"/>
          <w:color w:val="444444"/>
          <w:sz w:val="22"/>
          <w:szCs w:val="22"/>
        </w:rPr>
        <w:t xml:space="preserve"/>
      </w:r>
    </w:p>
    <w:p>
      <w:pPr>
        <w:pStyle w:val="Heading2"/>
      </w:pPr>
      <w:r>
        <w:t xml:space="preserve">Phase 2: Education revenue (Month 4–6+)</w:t>
      </w:r>
    </w:p>
    <w:p>
      <w:pPr>
        <w:pStyle w:val="ListParagraph"/>
        <w:numPr>
          <w:ilvl w:val="0"/>
          <w:numId w:val="2"/>
        </w:numPr>
        <w:spacing w:after="100"/>
      </w:pPr>
      <w:r>
        <w:rPr>
          <w:rFonts w:ascii="Arial" w:cs="Arial" w:eastAsia="Arial" w:hAnsi="Arial"/>
          <w:color w:val="444444"/>
          <w:sz w:val="22"/>
          <w:szCs w:val="22"/>
        </w:rPr>
        <w:t xml:space="preserve">Cohort-based courses: “AI Procurement Masterclass for European Leaders” — €350–500 per seat, 4-week async program with live Q&amp;A sessions.</w:t>
      </w:r>
    </w:p>
    <w:p>
      <w:pPr>
        <w:pStyle w:val="ListParagraph"/>
        <w:numPr>
          <w:ilvl w:val="0"/>
          <w:numId w:val="2"/>
        </w:numPr>
        <w:spacing w:after="100"/>
      </w:pPr>
      <w:r>
        <w:rPr>
          <w:rFonts w:ascii="Arial" w:cs="Arial" w:eastAsia="Arial" w:hAnsi="Arial"/>
          <w:color w:val="444444"/>
          <w:sz w:val="22"/>
          <w:szCs w:val="22"/>
        </w:rPr>
        <w:t xml:space="preserve">On-demand modules: “Understanding the AI Act,” “Building Your AI Vendor Scorecard” — €99–149 each.</w:t>
      </w:r>
    </w:p>
    <w:p>
      <w:pPr>
        <w:pStyle w:val="ListParagraph"/>
        <w:numPr>
          <w:ilvl w:val="0"/>
          <w:numId w:val="2"/>
        </w:numPr>
        <w:spacing w:after="100"/>
      </w:pPr>
      <w:r>
        <w:rPr>
          <w:rFonts w:ascii="Arial" w:cs="Arial" w:eastAsia="Arial" w:hAnsi="Arial"/>
          <w:color w:val="444444"/>
          <w:sz w:val="22"/>
          <w:szCs w:val="22"/>
        </w:rPr>
        <w:t xml:space="preserve">Corporate workshops: Custom half-day sessions for companies — €2,000–5,000 per engagement.</w:t>
      </w:r>
    </w:p>
    <w:p>
      <w:pPr>
        <w:pStyle w:val="Heading3"/>
      </w:pPr>
      <w: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Free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5,000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Pro subscribers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Team subscribers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50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Platform MRR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€2,215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€8,860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€22,150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Education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€8,000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Total MRR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€2,215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€12,360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€30,150</w:t>
            </w:r>
          </w:p>
        </w:tc>
      </w:tr>
    </w:tbl>
    <w:p>
      <w:pPr>
        <w:spacing w:after="100"/>
        <w:jc w:val="left"/>
      </w:pPr>
      <w:r>
        <w:rPr>
          <w:rFonts w:ascii="Arial" w:cs="Arial" w:eastAsia="Arial" w:hAnsi="Arial"/>
          <w:color w:val="444444"/>
          <w:sz w:val="22"/>
          <w:szCs w:val="22"/>
        </w:rPr>
        <w:t xml:space="preserve"/>
      </w:r>
    </w:p>
    <w:p>
      <w:pPr>
        <w:spacing w:after="200"/>
        <w:jc w:val="left"/>
      </w:pPr>
      <w:r>
        <w:rPr>
          <w:rFonts w:ascii="Arial" w:cs="Arial" w:eastAsia="Arial" w:hAnsi="Arial"/>
          <w:color w:val="444444"/>
          <w:sz w:val="22"/>
          <w:szCs w:val="22"/>
        </w:rPr>
        <w:t xml:space="preserve">These figures assume modest conversion rates and no paid acquisition. Organic growth via SEO, LinkedIn content, and word-of-mouth within European business networks.</w:t>
      </w:r>
    </w:p>
    <w:p>
      <w:pPr>
        <w:pBdr>
          <w:bottom w:val="single" w:color="2E75B6" w:sz="4" w:space="1"/>
        </w:pBdr>
        <w:spacing w:after="300" w:before="300"/>
      </w:pPr>
    </w:p>
    <w:p>
      <w:pPr>
        <w:pStyle w:val="Heading1"/>
      </w:pPr>
      <w:r>
        <w:t xml:space="preserve">7. Go-to-Market Strategy</w:t>
      </w:r>
    </w:p>
    <w:p>
      <w:pPr>
        <w:pStyle w:val="Heading2"/>
      </w:pPr>
      <w:r>
        <w:t xml:space="preserve">Launch sequence</w:t>
      </w:r>
    </w:p>
    <w:p>
      <w:pPr>
        <w:pStyle w:val="ListParagraph"/>
        <w:numPr>
          <w:ilvl w:val="0"/>
          <w:numId w:val="3"/>
        </w:numPr>
        <w:spacing w:after="100"/>
      </w:pPr>
      <w:r>
        <w:rPr>
          <w:rFonts w:ascii="Arial" w:cs="Arial" w:eastAsia="Arial" w:hAnsi="Arial"/>
          <w:color w:val="444444"/>
          <w:sz w:val="22"/>
          <w:szCs w:val="22"/>
        </w:rPr>
        <w:t xml:space="preserve">Pre-launch (Weeks 1–4): Build MVP with 30–50 tools scored. Create landing page with email capture. Publish 3–5 LinkedIn articles establishing the thesis (“Why European companies are choosing AI tools blind”).</w:t>
      </w:r>
    </w:p>
    <w:p>
      <w:pPr>
        <w:pStyle w:val="ListParagraph"/>
        <w:numPr>
          <w:ilvl w:val="0"/>
          <w:numId w:val="3"/>
        </w:numPr>
        <w:spacing w:after="100"/>
      </w:pPr>
      <w:r>
        <w:rPr>
          <w:rFonts w:ascii="Arial" w:cs="Arial" w:eastAsia="Arial" w:hAnsi="Arial"/>
          <w:color w:val="444444"/>
          <w:sz w:val="22"/>
          <w:szCs w:val="22"/>
        </w:rPr>
        <w:t xml:space="preserve">Soft launch (Weeks 5–8): Open free tier. Share with target communities (LinkedIn, European tech/business groups, French Tech ecosystem). Gather feedback and iterate on scoring methodology.</w:t>
      </w:r>
    </w:p>
    <w:p>
      <w:pPr>
        <w:pStyle w:val="ListParagraph"/>
        <w:numPr>
          <w:ilvl w:val="0"/>
          <w:numId w:val="3"/>
        </w:numPr>
        <w:spacing w:after="100"/>
      </w:pPr>
      <w:r>
        <w:rPr>
          <w:rFonts w:ascii="Arial" w:cs="Arial" w:eastAsia="Arial" w:hAnsi="Arial"/>
          <w:color w:val="444444"/>
          <w:sz w:val="22"/>
          <w:szCs w:val="22"/>
        </w:rPr>
        <w:t xml:space="preserve">Paid launch (Weeks 9–12): Activate Pro and Team tiers. Publish the first “EuroAI Quarterly Report” (free, gated by email) as a lead magnet. Begin outreach to European business press.</w:t>
      </w:r>
    </w:p>
    <w:p>
      <w:pPr>
        <w:pStyle w:val="ListParagraph"/>
        <w:numPr>
          <w:ilvl w:val="0"/>
          <w:numId w:val="3"/>
        </w:numPr>
        <w:spacing w:after="100"/>
      </w:pPr>
      <w:r>
        <w:rPr>
          <w:rFonts w:ascii="Arial" w:cs="Arial" w:eastAsia="Arial" w:hAnsi="Arial"/>
          <w:color w:val="444444"/>
          <w:sz w:val="22"/>
          <w:szCs w:val="22"/>
        </w:rPr>
        <w:t xml:space="preserve">Education launch (Months 4–6): Announce first cohort. Use platform subscribers as warm audience. Partner with 1–2 European business schools or accelerators for credibility.</w:t>
      </w:r>
    </w:p>
    <w:p>
      <w:pPr>
        <w:pStyle w:val="Heading2"/>
      </w:pPr>
      <w:r>
        <w:t xml:space="preserve">Content and distribution</w:t>
      </w:r>
    </w:p>
    <w:p>
      <w:pPr>
        <w:spacing w:after="200"/>
        <w:jc w:val="left"/>
      </w:pPr>
      <w:r>
        <w:rPr>
          <w:rFonts w:ascii="Arial" w:cs="Arial" w:eastAsia="Arial" w:hAnsi="Arial"/>
          <w:color w:val="444444"/>
          <w:sz w:val="22"/>
          <w:szCs w:val="22"/>
        </w:rPr>
        <w:t xml:space="preserve">The core growth engine is content that demonstrates expertise and drives organic discovery. All content is producible with Claude as a research and drafting partner.</w:t>
      </w:r>
    </w:p>
    <w:p>
      <w:pPr>
        <w:pStyle w:val="ListParagraph"/>
        <w:numPr>
          <w:ilvl w:val="0"/>
          <w:numId w:val="2"/>
        </w:numPr>
        <w:spacing w:after="100"/>
      </w:pPr>
      <w:r>
        <w:rPr>
          <w:rFonts w:ascii="Arial" w:cs="Arial" w:eastAsia="Arial" w:hAnsi="Arial"/>
          <w:color w:val="444444"/>
          <w:sz w:val="22"/>
          <w:szCs w:val="22"/>
        </w:rPr>
        <w:t xml:space="preserve">LinkedIn: 2–3 posts per week. Mix of insight pieces (“What the AI Act means for your next vendor contract”), tool spotlights, and scoring methodology deep-dives. LinkedIn is where European executives spend professional attention.</w:t>
      </w:r>
    </w:p>
    <w:p>
      <w:pPr>
        <w:pStyle w:val="ListParagraph"/>
        <w:numPr>
          <w:ilvl w:val="0"/>
          <w:numId w:val="2"/>
        </w:numPr>
        <w:spacing w:after="100"/>
      </w:pPr>
      <w:r>
        <w:rPr>
          <w:rFonts w:ascii="Arial" w:cs="Arial" w:eastAsia="Arial" w:hAnsi="Arial"/>
          <w:color w:val="444444"/>
          <w:sz w:val="22"/>
          <w:szCs w:val="22"/>
        </w:rPr>
        <w:t xml:space="preserve">SEO: Target long-tail queries like “GDPR compliant AI tools,” “AI Act compliance checklist,” “best AI tools for European companies.” These have low competition and high intent.</w:t>
      </w:r>
    </w:p>
    <w:p>
      <w:pPr>
        <w:pStyle w:val="ListParagraph"/>
        <w:numPr>
          <w:ilvl w:val="0"/>
          <w:numId w:val="2"/>
        </w:numPr>
        <w:spacing w:after="100"/>
      </w:pPr>
      <w:r>
        <w:rPr>
          <w:rFonts w:ascii="Arial" w:cs="Arial" w:eastAsia="Arial" w:hAnsi="Arial"/>
          <w:color w:val="444444"/>
          <w:sz w:val="22"/>
          <w:szCs w:val="22"/>
        </w:rPr>
        <w:t xml:space="preserve">Quarterly report: A free downloadable report ranking the top 20 AI tools for European buyers. Gated by email. Designed to be shared internally within companies.</w:t>
      </w:r>
    </w:p>
    <w:p>
      <w:pPr>
        <w:pStyle w:val="ListParagraph"/>
        <w:numPr>
          <w:ilvl w:val="0"/>
          <w:numId w:val="2"/>
        </w:numPr>
        <w:spacing w:after="100"/>
      </w:pPr>
      <w:r>
        <w:rPr>
          <w:rFonts w:ascii="Arial" w:cs="Arial" w:eastAsia="Arial" w:hAnsi="Arial"/>
          <w:color w:val="444444"/>
          <w:sz w:val="22"/>
          <w:szCs w:val="22"/>
        </w:rPr>
        <w:t xml:space="preserve">Partnerships: Collaborate with European tech communities, accelerators (Station F, Startup Lisboa, etc.), and industry associations to co-brand content and reach established audiences.</w:t>
      </w:r>
    </w:p>
    <w:p>
      <w:pPr>
        <w:pBdr>
          <w:bottom w:val="single" w:color="2E75B6" w:sz="4" w:space="1"/>
        </w:pBdr>
        <w:spacing w:after="300" w:before="300"/>
      </w:pPr>
    </w:p>
    <w:p>
      <w:pPr>
        <w:pStyle w:val="Heading1"/>
      </w:pPr>
      <w:r>
        <w:t xml:space="preserve">8. Cost Structure</w:t>
      </w:r>
    </w:p>
    <w:p>
      <w:pPr>
        <w:pStyle w:val="Heading2"/>
      </w:pPr>
      <w:r>
        <w:t xml:space="preserve">Monthly operating costs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Hosting (Vercel/Netlify)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€20–50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Free tier likely sufficient at launch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Domain + DNS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€10–15</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Annual, amortized monthly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Claude Pro subscription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research and content production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Email service (Buttondown/Resend)</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€0–29</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Free tier initially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Payment processing (Stripe)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2.9% + €0.25/tx</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Variable, deducted from revenue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Analytics (Plausible/Fathom)</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€9–14</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Privacy-friendly, aligned with brand values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Miscellaneous tools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€30–50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Design, scheduling, etc.</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Total monthly</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444444"/>
                <w:sz w:val="20"/>
                <w:szCs w:val="20"/>
              </w:rPr>
              <w:t xml:space="preserve">€90–160</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Well within €200–500 budget</w:t>
            </w:r>
          </w:p>
        </w:tc>
      </w:tr>
    </w:tbl>
    <w:p>
      <w:pPr>
        <w:spacing w:after="200"/>
        <w:jc w:val="left"/>
      </w:pPr>
      <w:r>
        <w:rPr>
          <w:rFonts w:ascii="Arial" w:cs="Arial" w:eastAsia="Arial" w:hAnsi="Arial"/>
          <w:color w:val="444444"/>
          <w:sz w:val="22"/>
          <w:szCs w:val="22"/>
        </w:rPr>
        <w:t xml:space="preserve"/>
      </w:r>
    </w:p>
    <w:p>
      <w:pPr>
        <w:spacing w:after="200"/>
        <w:jc w:val="left"/>
      </w:pPr>
      <w:r>
        <w:rPr>
          <w:rFonts w:ascii="Arial" w:cs="Arial" w:eastAsia="Arial" w:hAnsi="Arial"/>
          <w:color w:val="444444"/>
          <w:sz w:val="22"/>
          <w:szCs w:val="22"/>
        </w:rPr>
        <w:t xml:space="preserve">The remaining budget (€100–350/month) provides headroom for paid promotion experiments, additional tool subscriptions, or contracting a freelance designer for brand identity work.</w:t>
      </w:r>
    </w:p>
    <w:p>
      <w:pPr>
        <w:pBdr>
          <w:bottom w:val="single" w:color="2E75B6" w:sz="4" w:space="1"/>
        </w:pBdr>
        <w:spacing w:after="300" w:before="300"/>
      </w:pPr>
    </w:p>
    <w:p>
      <w:pPr>
        <w:pStyle w:val="Heading1"/>
      </w:pPr>
      <w:r>
        <w:t xml:space="preserve">9. Technical Architecture (Overview)</w:t>
      </w:r>
    </w:p>
    <w:p>
      <w:pPr>
        <w:spacing w:after="200"/>
        <w:jc w:val="left"/>
      </w:pPr>
      <w:r>
        <w:rPr>
          <w:rFonts w:ascii="Arial" w:cs="Arial" w:eastAsia="Arial" w:hAnsi="Arial"/>
          <w:color w:val="444444"/>
          <w:sz w:val="22"/>
          <w:szCs w:val="22"/>
        </w:rPr>
        <w:t xml:space="preserve">The platform is intentionally simple. No complex backend infrastructure. The entire MVP can be built by one person using Claude for code generation and research.</w:t>
      </w:r>
    </w:p>
    <w:p>
      <w:pPr>
        <w:pStyle w:val="Heading2"/>
      </w:pPr>
      <w:r>
        <w:t xml:space="preserve">Stack</w:t>
      </w:r>
    </w:p>
    <w:p>
      <w:pPr>
        <w:pStyle w:val="ListParagraph"/>
        <w:numPr>
          <w:ilvl w:val="0"/>
          <w:numId w:val="2"/>
        </w:numPr>
        <w:spacing w:after="100"/>
      </w:pPr>
      <w:r>
        <w:rPr>
          <w:rFonts w:ascii="Arial" w:cs="Arial" w:eastAsia="Arial" w:hAnsi="Arial"/>
          <w:color w:val="444444"/>
          <w:sz w:val="22"/>
          <w:szCs w:val="22"/>
        </w:rPr>
        <w:t xml:space="preserve">Frontend: Next.js (React) deployed on Vercel. Static site generation for tool pages (fast, SEO-friendly). Dynamic elements only for search/filter and user authentication.</w:t>
      </w:r>
    </w:p>
    <w:p>
      <w:pPr>
        <w:pStyle w:val="ListParagraph"/>
        <w:numPr>
          <w:ilvl w:val="0"/>
          <w:numId w:val="2"/>
        </w:numPr>
        <w:spacing w:after="100"/>
      </w:pPr>
      <w:r>
        <w:rPr>
          <w:rFonts w:ascii="Arial" w:cs="Arial" w:eastAsia="Arial" w:hAnsi="Arial"/>
          <w:color w:val="444444"/>
          <w:sz w:val="22"/>
          <w:szCs w:val="22"/>
        </w:rPr>
        <w:t xml:space="preserve">Data layer: JSON or Markdown files in a Git repository. Each tool is a structured file with scores, assessment text, and metadata. No database needed at launch.</w:t>
      </w:r>
    </w:p>
    <w:p>
      <w:pPr>
        <w:pStyle w:val="ListParagraph"/>
        <w:numPr>
          <w:ilvl w:val="0"/>
          <w:numId w:val="2"/>
        </w:numPr>
        <w:spacing w:after="100"/>
      </w:pPr>
      <w:r>
        <w:rPr>
          <w:rFonts w:ascii="Arial" w:cs="Arial" w:eastAsia="Arial" w:hAnsi="Arial"/>
          <w:color w:val="444444"/>
          <w:sz w:val="22"/>
          <w:szCs w:val="22"/>
        </w:rPr>
        <w:t xml:space="preserve">Authentication: Clerk or NextAuth for user accounts and subscription gating.</w:t>
      </w:r>
    </w:p>
    <w:p>
      <w:pPr>
        <w:pStyle w:val="ListParagraph"/>
        <w:numPr>
          <w:ilvl w:val="0"/>
          <w:numId w:val="2"/>
        </w:numPr>
        <w:spacing w:after="100"/>
      </w:pPr>
      <w:r>
        <w:rPr>
          <w:rFonts w:ascii="Arial" w:cs="Arial" w:eastAsia="Arial" w:hAnsi="Arial"/>
          <w:color w:val="444444"/>
          <w:sz w:val="22"/>
          <w:szCs w:val="22"/>
        </w:rPr>
        <w:t xml:space="preserve">Payments: Stripe Checkout + Stripe Billing for subscription management.</w:t>
      </w:r>
    </w:p>
    <w:p>
      <w:pPr>
        <w:pStyle w:val="ListParagraph"/>
        <w:numPr>
          <w:ilvl w:val="0"/>
          <w:numId w:val="2"/>
        </w:numPr>
        <w:spacing w:after="100"/>
      </w:pPr>
      <w:r>
        <w:rPr>
          <w:rFonts w:ascii="Arial" w:cs="Arial" w:eastAsia="Arial" w:hAnsi="Arial"/>
          <w:color w:val="444444"/>
          <w:sz w:val="22"/>
          <w:szCs w:val="22"/>
        </w:rPr>
        <w:t xml:space="preserve">Email: Buttondown or Resend for newsletter delivery and transactional emails.</w:t>
      </w:r>
    </w:p>
    <w:p>
      <w:pPr>
        <w:pStyle w:val="ListParagraph"/>
        <w:numPr>
          <w:ilvl w:val="0"/>
          <w:numId w:val="2"/>
        </w:numPr>
        <w:spacing w:after="100"/>
      </w:pPr>
      <w:r>
        <w:rPr>
          <w:rFonts w:ascii="Arial" w:cs="Arial" w:eastAsia="Arial" w:hAnsi="Arial"/>
          <w:color w:val="444444"/>
          <w:sz w:val="22"/>
          <w:szCs w:val="22"/>
        </w:rPr>
        <w:t xml:space="preserve">Analytics: Plausible Analytics (EU-hosted, privacy-compliant — consistent with brand positioning).</w:t>
      </w:r>
    </w:p>
    <w:p>
      <w:pPr>
        <w:pStyle w:val="Heading2"/>
      </w:pPr>
      <w:r>
        <w:t xml:space="preserve">Why this stack works for you</w:t>
      </w:r>
    </w:p>
    <w:p>
      <w:pPr>
        <w:spacing w:after="200"/>
        <w:jc w:val="left"/>
      </w:pPr>
      <w:r>
        <w:rPr>
          <w:rFonts w:ascii="Arial" w:cs="Arial" w:eastAsia="Arial" w:hAnsi="Arial"/>
          <w:color w:val="444444"/>
          <w:sz w:val="22"/>
          <w:szCs w:val="22"/>
        </w:rPr>
        <w:t xml:space="preserve">Every component in this stack has extensive documentation that Claude can reference. Next.js, Stripe, and Clerk all have well-structured APIs that Claude can help you implement step by step. The data-as-files approach means you can update tool assessments by editing a JSON file and pushing to Git — no admin panel needed initially. Claude can generate the assessment content, you review and publish.</w:t>
      </w:r>
    </w:p>
    <w:p>
      <w:pPr>
        <w:pBdr>
          <w:bottom w:val="single" w:color="2E75B6" w:sz="4" w:space="1"/>
        </w:pBdr>
        <w:spacing w:after="300" w:before="300"/>
      </w:pPr>
    </w:p>
    <w:p>
      <w:pPr>
        <w:pStyle w:val="Heading1"/>
      </w:pPr>
      <w:r>
        <w:t xml:space="preserve">10.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Scoring credibility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Users question the methodology or accuracy of assessments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Publish methodology transparently. Invite vendor corrections. Start with fewer tools, scored deeply, rather than many tools scored shallowly.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Vendor pushback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AI vendors unhappy with low scores may pressure or threaten legal action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Score factually with documentation. Offer vendors a response/correction process. This is journalism-adjacent — editorial independence is the brand.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Slow initial traction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Takes longer than expected to build audience and convert to paid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 burn rate means long runway. Focus on SEO (compounds over time) and LinkedIn (free distribution). Consider one viral quarterly report to accelerate.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Incumbent response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G2 or similar platforms add EU compliance features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First-mover advantage in a niche. By the time incumbents respond, EuroAI Score has the brand, the SEO, and the community trust. Depth beats breadth.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Content freshness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AI tools update features and policies frequently; scores become stale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Prioritize top 50 tools for regular updates. Use Claude to monitor vendor changelogs and flag updates. Stale scores are clearly dated.</w:t>
            </w:r>
          </w:p>
        </w:tc>
      </w:tr>
    </w:tbl>
    <w:p>
      <w:pPr>
        <w:spacing w:after="200"/>
        <w:jc w:val="left"/>
      </w:pPr>
      <w:r>
        <w:rPr>
          <w:rFonts w:ascii="Arial" w:cs="Arial" w:eastAsia="Arial" w:hAnsi="Arial"/>
          <w:color w:val="444444"/>
          <w:sz w:val="22"/>
          <w:szCs w:val="22"/>
        </w:rPr>
        <w:t xml:space="preserve"/>
      </w:r>
    </w:p>
    <w:p>
      <w:pPr>
        <w:pBdr>
          <w:bottom w:val="single" w:color="2E75B6" w:sz="4" w:space="1"/>
        </w:pBdr>
        <w:spacing w:after="300" w:before="300"/>
      </w:pPr>
    </w:p>
    <w:p>
      <w:pPr>
        <w:pStyle w:val="Heading1"/>
      </w:pPr>
      <w:r>
        <w:t xml:space="preserve">11. Phase 2: The Education Expansion</w:t>
      </w:r>
    </w:p>
    <w:p>
      <w:pPr>
        <w:spacing w:after="200"/>
        <w:jc w:val="left"/>
      </w:pPr>
      <w:r>
        <w:rPr>
          <w:rFonts w:ascii="Arial" w:cs="Arial" w:eastAsia="Arial" w:hAnsi="Arial"/>
          <w:color w:val="444444"/>
          <w:sz w:val="22"/>
          <w:szCs w:val="22"/>
        </w:rPr>
        <w:t xml:space="preserve">The education layer isn’t a separate business — it’s the natural monetization of the trust and expertise built in Phase 1. Here’s why the sequencing matters:</w:t>
      </w:r>
    </w:p>
    <w:p>
      <w:pPr>
        <w:pStyle w:val="ListParagraph"/>
        <w:numPr>
          <w:ilvl w:val="0"/>
          <w:numId w:val="2"/>
        </w:numPr>
        <w:spacing w:after="100"/>
      </w:pPr>
      <w:r>
        <w:rPr>
          <w:rFonts w:ascii="Arial" w:cs="Arial" w:eastAsia="Arial" w:hAnsi="Arial"/>
          <w:color w:val="444444"/>
          <w:sz w:val="22"/>
          <w:szCs w:val="22"/>
        </w:rPr>
        <w:t xml:space="preserve">Platform data becomes course material: The scoring framework, vendor comparisons, and compliance analysis done for the platform directly feeds course content. No duplication of effort.</w:t>
      </w:r>
    </w:p>
    <w:p>
      <w:pPr>
        <w:pStyle w:val="ListParagraph"/>
        <w:numPr>
          <w:ilvl w:val="0"/>
          <w:numId w:val="2"/>
        </w:numPr>
        <w:spacing w:after="100"/>
      </w:pPr>
      <w:r>
        <w:rPr>
          <w:rFonts w:ascii="Arial" w:cs="Arial" w:eastAsia="Arial" w:hAnsi="Arial"/>
          <w:color w:val="444444"/>
          <w:sz w:val="22"/>
          <w:szCs w:val="22"/>
        </w:rPr>
        <w:t xml:space="preserve">Platform users become course students: Every Pro and Team subscriber is a warm lead for the €350–500 cohort courses. They’ve already demonstrated willingness to pay for AI procurement intelligence.</w:t>
      </w:r>
    </w:p>
    <w:p>
      <w:pPr>
        <w:pStyle w:val="ListParagraph"/>
        <w:numPr>
          <w:ilvl w:val="0"/>
          <w:numId w:val="2"/>
        </w:numPr>
        <w:spacing w:after="100"/>
      </w:pPr>
      <w:r>
        <w:rPr>
          <w:rFonts w:ascii="Arial" w:cs="Arial" w:eastAsia="Arial" w:hAnsi="Arial"/>
          <w:color w:val="444444"/>
          <w:sz w:val="22"/>
          <w:szCs w:val="22"/>
        </w:rPr>
        <w:t xml:space="preserve">Course graduates become platform evangelists: Executives who complete the course become more sophisticated users of the platform, more likely to upgrade to Team tier, and more likely to recommend both products within their networks.</w:t>
      </w:r>
    </w:p>
    <w:p>
      <w:pPr>
        <w:pStyle w:val="ListParagraph"/>
        <w:numPr>
          <w:ilvl w:val="0"/>
          <w:numId w:val="2"/>
        </w:numPr>
        <w:spacing w:after="100"/>
      </w:pPr>
      <w:r>
        <w:rPr>
          <w:rFonts w:ascii="Arial" w:cs="Arial" w:eastAsia="Arial" w:hAnsi="Arial"/>
          <w:color w:val="444444"/>
          <w:sz w:val="22"/>
          <w:szCs w:val="22"/>
        </w:rPr>
        <w:t xml:space="preserve">Higher margins, lower volume: Courses at €350–500 per seat with 15–20 students per cohort generate €5,000–10,000 per run at near-zero marginal cost. Three cohorts per year contributes meaningfully to revenue without requiring massive scale.</w:t>
      </w:r>
    </w:p>
    <w:p>
      <w:pPr>
        <w:spacing w:after="200"/>
        <w:jc w:val="left"/>
      </w:pPr>
      <w:r>
        <w:rPr>
          <w:rFonts w:ascii="Arial" w:cs="Arial" w:eastAsia="Arial" w:hAnsi="Arial"/>
          <w:b/>
          <w:bCs/>
          <w:color w:val="1B2A4A"/>
          <w:sz w:val="22"/>
          <w:szCs w:val="22"/>
        </w:rPr>
        <w:t xml:space="preserve">The flywheel: </w:t>
      </w:r>
      <w:r>
        <w:rPr>
          <w:rFonts w:ascii="Arial" w:cs="Arial" w:eastAsia="Arial" w:hAnsi="Arial"/>
          <w:color w:val="444444"/>
          <w:sz w:val="22"/>
          <w:szCs w:val="22"/>
        </w:rPr>
        <w:t xml:space="preserve">Platform credibility → Course enrollment → Deeper engagement → Higher retention → More referrals → Platform growth.</w:t>
      </w:r>
    </w:p>
    <w:p>
      <w:pPr>
        <w:pBdr>
          <w:bottom w:val="single" w:color="2E75B6" w:sz="4" w:space="1"/>
        </w:pBdr>
        <w:spacing w:after="300" w:before="300"/>
      </w:pPr>
    </w:p>
    <w:p>
      <w:pPr>
        <w:pStyle w:val="Heading1"/>
      </w:pPr>
      <w:r>
        <w:t xml:space="preserve">12. Immediate Next Steps</w:t>
      </w:r>
    </w:p>
    <w:p>
      <w:pPr>
        <w:spacing w:after="200"/>
        <w:jc w:val="left"/>
      </w:pPr>
      <w:r>
        <w:rPr>
          <w:rFonts w:ascii="Arial" w:cs="Arial" w:eastAsia="Arial" w:hAnsi="Arial"/>
          <w:color w:val="444444"/>
          <w:sz w:val="22"/>
          <w:szCs w:val="22"/>
        </w:rPr>
        <w:t xml:space="preserve">To move from strategy to execution, the following sequence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Finalize brand name, secure domain, create basic visual identity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Domain live, logo, color palette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Build scoring methodology document and select first 30 tools to evaluate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Published methodology page, tool shortlist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Score first 30 tools using Claude for research; build MVP frontend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Working site with searchable database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5–6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Add authentication and payment (Stripe). Soft launch to LinkedIn network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Live product with free/paid tiers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First quarterly report. Iterate based on user feedback. Begin SEO content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Lead magnet live, content calendar active</w:t>
            </w:r>
          </w:p>
        </w:tc>
      </w:tr>
    </w:tbl>
    <w:p>
      <w:pPr>
        <w:spacing w:after="400"/>
        <w:jc w:val="left"/>
      </w:pPr>
      <w:r>
        <w:rPr>
          <w:rFonts w:ascii="Arial" w:cs="Arial" w:eastAsia="Arial" w:hAnsi="Arial"/>
          <w:color w:val="444444"/>
          <w:sz w:val="22"/>
          <w:szCs w:val="22"/>
        </w:rPr>
        <w:t xml:space="preserve"/>
      </w:r>
    </w:p>
    <w:p>
      <w:pPr>
        <w:spacing w:after="200"/>
        <w:jc w:val="left"/>
      </w:pPr>
      <w:r>
        <w:rPr>
          <w:rFonts w:ascii="Arial" w:cs="Arial" w:eastAsia="Arial" w:hAnsi="Arial"/>
          <w:i/>
          <w:iCs/>
          <w:color w:val="999999"/>
          <w:sz w:val="22"/>
          <w:szCs w:val="22"/>
        </w:rPr>
        <w:t xml:space="preserve">This document is a living strategy. </w:t>
      </w:r>
      <w:r>
        <w:rPr>
          <w:rFonts w:ascii="Arial" w:cs="Arial" w:eastAsia="Arial" w:hAnsi="Arial"/>
          <w:i/>
          <w:iCs/>
          <w:color w:val="999999"/>
          <w:sz w:val="22"/>
          <w:szCs w:val="22"/>
        </w:rPr>
        <w:t xml:space="preserve">Revisit and update as market feedback comes in. The scoring framework, pricing, and positioning should all be treated as hypotheses to validate, not fixed commitments.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1" w:space="4"/>
      </w:pBdr>
      <w:jc w:val="center"/>
    </w:pPr>
    <w:r>
      <w:rPr>
        <w:rFonts w:ascii="Arial" w:cs="Arial" w:eastAsia="Arial" w:hAnsi="Arial"/>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2" w:space="4"/>
      </w:pBdr>
      <w:jc w:val="right"/>
    </w:pPr>
    <w:r>
      <w:rPr>
        <w:rFonts w:ascii="Arial" w:cs="Arial" w:eastAsia="Arial" w:hAnsi="Arial"/>
        <w:i/>
        <w:iCs/>
        <w:color w:val="999999"/>
        <w:sz w:val="16"/>
        <w:szCs w:val="16"/>
      </w:rPr>
      <w:t xml:space="preserve">EuroAI Score — Business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2026-03-18T17:18:52.545Z</dcterms:created>
  <dcterms:modified xsi:type="dcterms:W3CDTF">2026-03-18T17:18:52.546Z</dcterms:modified>
</cp:coreProperties>
</file>

<file path=docProps/custom.xml><?xml version="1.0" encoding="utf-8"?>
<Properties xmlns="http://schemas.openxmlformats.org/officeDocument/2006/custom-properties" xmlns:vt="http://schemas.openxmlformats.org/officeDocument/2006/docPropsVTypes"/>
</file>