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Universidad del Valle de Guatemala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Análisis de Sistemas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Lynette García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Carlos Calderón: 15219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Rodrigo Custodio: 15220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Gabriel Brolo: 15105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Eric Mendoza: 15002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Free Lanceros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Objetivos Generales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Objetivos específicos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Design thinking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Brief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  <w:t xml:space="preserve">Personas que trabajan por su propia cuenta o que empiezan con el emprendimiento de una empresa.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Empatía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  <w:t xml:space="preserve">Perfiles de personas que estarían interesadas en el uso de </w:t>
      </w:r>
      <w:r w:rsidDel="00000000" w:rsidR="00000000" w:rsidRPr="00000000">
        <w:rPr>
          <w:i w:val="1"/>
          <w:rtl w:val="0"/>
        </w:rPr>
        <w:t xml:space="preserve">FreeLanceros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Jovenazos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Jovenazozs con dinero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Definición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Entrevistas aquí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Mapa de empatía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Modelación del negocio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Descripción del negocio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  <w:t xml:space="preserve">Actualmente la forma en la que un freelancer puede vender su trabajo es dándose a conocer de persona en persona con su trabajo. Por ejemplo, una serie de pasos general que se seguirían serían los siguientes: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Ofrecer sus servicios a un conocido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 contratado por conocido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Realizar el trabajo para el conocido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Esperar a que otras personas observen el trabajo realizado para ser recomendado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 contactado por otra persona que observó su trabajo realizado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Modelo de casos de uso del negocio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ab/>
        <w:t xml:space="preserve">Descripción de los casos de uso del negocio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ab/>
        <w:t xml:space="preserve">Diagrama de actividades de cada caso de uso del negocio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ab/>
        <w:t xml:space="preserve">Diagrama de objetos del negocio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ab/>
        <w:t xml:space="preserve">Reglas del negocio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Generales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Por cada caso de uso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