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371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>
          <w:rFonts w:ascii="Go" w:hAnsi="Go" w:eastAsia="Go" w:cs="Go"/>
          <w:b/>
          <w:bCs/>
          <w:color w:val="000000"/>
          <w:sz w:val="24"/>
          <w:szCs w:val="24"/>
          <w:u w:val="none"/>
        </w:rPr>
      </w:pPr>
      <w:r>
        <w:rPr>
          <w:rFonts w:ascii="Go" w:hAnsi="Go" w:eastAsia="Go" w:cs="Go"/>
          <w:b/>
          <w:color w:val="000000"/>
          <w:sz w:val="24"/>
          <w:u w:val="none"/>
        </w:rPr>
        <w:t xml:space="preserve">Role &amp; Operational Boundaries:</w:t>
      </w:r>
      <w:r>
        <w:rPr>
          <w:rFonts w:ascii="Go" w:hAnsi="Go" w:eastAsia="Go" w:cs="Go"/>
          <w:sz w:val="24"/>
        </w:rPr>
      </w:r>
    </w:p>
    <w:p w14:paraId="4C29D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>
          <w:rFonts w:ascii="Go" w:hAnsi="Go" w:eastAsia="Go" w:cs="Go"/>
          <w:sz w:val="24"/>
          <w:szCs w:val="24"/>
        </w:rPr>
      </w:pPr>
      <w:r>
        <w:rPr>
          <w:rFonts w:ascii="Go" w:hAnsi="Go" w:eastAsia="Go" w:cs="Go"/>
          <w:b/>
          <w:color w:val="000000"/>
          <w:sz w:val="24"/>
          <w:u w:val="none"/>
        </w:rPr>
      </w:r>
      <w:r>
        <w:rPr>
          <w:rFonts w:ascii="Go" w:hAnsi="Go" w:eastAsia="Go" w:cs="Go"/>
          <w:color w:val="000000"/>
          <w:sz w:val="24"/>
        </w:rPr>
        <w:t xml:space="preserve">You are a low-level systems AI engineer specializing in high-performance Vulkan compute architectures. Your task is to design a state-of-the-art </w:t>
      </w:r>
      <w:r>
        <w:rPr>
          <w:rFonts w:ascii="Go" w:hAnsi="Go" w:eastAsia="Go" w:cs="Go"/>
          <w:b/>
          <w:color w:val="000000"/>
          <w:sz w:val="24"/>
          <w:u w:val="none"/>
        </w:rPr>
        <w:t xml:space="preserve">mixed-precision quantization pipeline</w:t>
      </w:r>
      <w:r>
        <w:rPr>
          <w:rFonts w:ascii="Go" w:hAnsi="Go" w:eastAsia="Go" w:cs="Go"/>
          <w:color w:val="000000"/>
          <w:sz w:val="24"/>
        </w:rPr>
        <w:t xml:space="preserve"> targeting an </w:t>
      </w:r>
      <w:r>
        <w:rPr>
          <w:rFonts w:ascii="Go" w:hAnsi="Go" w:eastAsia="Go" w:cs="Go"/>
          <w:b/>
          <w:color w:val="000000"/>
          <w:sz w:val="24"/>
          <w:u w:val="none"/>
        </w:rPr>
        <w:t xml:space="preserve">RTX 4080 Super (Ada Lovelace architecture)</w:t>
      </w:r>
      <w:r>
        <w:rPr>
          <w:rFonts w:ascii="Go" w:hAnsi="Go" w:eastAsia="Go" w:cs="Go"/>
          <w:color w:val="000000"/>
          <w:sz w:val="24"/>
        </w:rPr>
        <w:t xml:space="preserve">.</w:t>
      </w:r>
      <w:r/>
      <w:r/>
    </w:p>
    <w:p w14:paraId="088FA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>
          <w:rFonts w:ascii="Go" w:hAnsi="Go" w:eastAsia="Go" w:cs="Go"/>
          <w:b/>
          <w:bCs/>
          <w:color w:val="000000"/>
          <w:sz w:val="24"/>
          <w:szCs w:val="24"/>
          <w:u w:val="none"/>
        </w:rPr>
      </w:pPr>
      <w:r>
        <w:rPr>
          <w:rFonts w:ascii="Go" w:hAnsi="Go" w:eastAsia="Go" w:cs="Go"/>
          <w:b/>
          <w:color w:val="000000"/>
          <w:sz w:val="24"/>
          <w:u w:val="none"/>
        </w:rPr>
        <w:t xml:space="preserve">Strict Context Constraint:</w:t>
      </w:r>
      <w:r>
        <w:rPr>
          <w:rFonts w:ascii="Go" w:hAnsi="Go" w:eastAsia="Go" w:cs="Go"/>
          <w:sz w:val="24"/>
        </w:rPr>
      </w:r>
    </w:p>
    <w:p w14:paraId="5DF0E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>
          <w:rFonts w:ascii="Go" w:hAnsi="Go" w:eastAsia="Go" w:cs="Go"/>
          <w:sz w:val="24"/>
          <w:szCs w:val="24"/>
        </w:rPr>
      </w:pPr>
      <w:r>
        <w:rPr>
          <w:rFonts w:ascii="Go" w:hAnsi="Go" w:eastAsia="Go" w:cs="Go"/>
          <w:b/>
          <w:color w:val="000000"/>
          <w:sz w:val="24"/>
          <w:u w:val="none"/>
        </w:rPr>
      </w:r>
      <w:r>
        <w:rPr>
          <w:rFonts w:ascii="Go" w:hAnsi="Go" w:eastAsia="Go" w:cs="Go"/>
          <w:color w:val="000000"/>
          <w:sz w:val="24"/>
        </w:rPr>
        <w:t xml:space="preserve">You are </w:t>
      </w:r>
      <w:r>
        <w:rPr>
          <w:rFonts w:ascii="Go" w:hAnsi="Go" w:eastAsia="Go" w:cs="Go"/>
          <w:b/>
          <w:color w:val="000000"/>
          <w:sz w:val="24"/>
          <w:u w:val="none"/>
        </w:rPr>
        <w:t xml:space="preserve">strictly prohibited</w:t>
      </w:r>
      <w:r>
        <w:rPr>
          <w:rFonts w:ascii="Go" w:hAnsi="Go" w:eastAsia="Go" w:cs="Go"/>
          <w:color w:val="000000"/>
          <w:sz w:val="24"/>
        </w:rPr>
        <w:t xml:space="preserve"> from reading or modifying any files outside of the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memory_controller</w:t>
      </w:r>
      <w:r>
        <w:rPr>
          <w:rFonts w:ascii="Go" w:hAnsi="Go" w:eastAsia="Go" w:cs="Go"/>
          <w:color w:val="000000"/>
          <w:sz w:val="24"/>
        </w:rPr>
        <w:t xml:space="preserve"> module. Your previous subagents exceeded their context bounds; you must operate entirely within this module. It contains all host-side memory management logic necessary to implement the specifications below. Ignore all legacy file formats, as this system </w:t>
      </w:r>
      <w:r>
        <w:rPr>
          <w:rFonts w:ascii="Go" w:hAnsi="Go" w:eastAsia="Go" w:cs="Go"/>
          <w:color w:val="000000"/>
          <w:sz w:val="24"/>
        </w:rPr>
        <w:t xml:space="preserve">entirely redefines the model weight distribution format.</w:t>
      </w:r>
      <w:r/>
      <w:r/>
    </w:p>
    <w:p w14:paraId="5CD81A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Go" w:hAnsi="Go" w:eastAsia="Go" w:cs="Go"/>
          <w:b/>
          <w:color w:val="000000"/>
          <w:sz w:val="24"/>
        </w:rPr>
        <w:t xml:space="preserve">Task 1: Dual-Binding Sequential Memory Architecture with FFN Expansion Handlers</w:t>
      </w:r>
      <w:r/>
    </w:p>
    <w:p w14:paraId="6DF1D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Go" w:hAnsi="Go" w:eastAsia="Go" w:cs="Go"/>
          <w:color w:val="000000"/>
          <w:sz w:val="24"/>
        </w:rPr>
        <w:t xml:space="preserve">Implement a host-side allocation and descriptor layout structure within the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memory_controller</w:t>
      </w:r>
      <w:r>
        <w:rPr>
          <w:rFonts w:ascii="Go" w:hAnsi="Go" w:eastAsia="Go" w:cs="Go"/>
          <w:color w:val="000000"/>
          <w:sz w:val="24"/>
        </w:rPr>
        <w:t xml:space="preserve"> that manages exactly </w:t>
      </w:r>
      <w:r>
        <w:rPr>
          <w:rFonts w:ascii="Go" w:hAnsi="Go" w:eastAsia="Go" w:cs="Go"/>
          <w:b/>
          <w:color w:val="000000"/>
          <w:sz w:val="24"/>
          <w:u w:val="none"/>
        </w:rPr>
        <w:t xml:space="preserve">two descriptor bindings</w:t>
      </w:r>
      <w:r>
        <w:rPr>
          <w:rFonts w:ascii="Go" w:hAnsi="Go" w:eastAsia="Go" w:cs="Go"/>
          <w:color w:val="000000"/>
          <w:sz w:val="24"/>
        </w:rPr>
        <w:t xml:space="preserve"> across an alternating execution loop. Do not hardcode parameters; expose them dynamically via push constants or uniforms using mathematical formulas that handle both square Attention layers and wide, non-square FFN expansion layers.</w:t>
      </w:r>
      <w:r/>
    </w:p>
    <w:p w14:paraId="257851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>
          <w:rFonts w:ascii="Go" w:hAnsi="Go" w:eastAsia="Go" w:cs="Go"/>
          <w:b/>
          <w:bCs/>
          <w:color w:val="000000"/>
          <w:sz w:val="24"/>
          <w:szCs w:val="24"/>
          <w:u w:val="none"/>
        </w:rPr>
      </w:pPr>
      <w:r>
        <w:rPr>
          <w:rFonts w:ascii="Courier New" w:hAnsi="Courier New" w:eastAsia="Courier New" w:cs="Courier New"/>
          <w:b/>
          <w:color w:val="000000"/>
          <w:sz w:val="21"/>
          <w:u w:val="none"/>
        </w:rPr>
        <w:t xml:space="preserve">binding = 0</w:t>
      </w:r>
      <w:r>
        <w:rPr>
          <w:rFonts w:ascii="Go" w:hAnsi="Go" w:eastAsia="Go" w:cs="Go"/>
          <w:b/>
          <w:color w:val="000000"/>
          <w:sz w:val="24"/>
          <w:u w:val="none"/>
        </w:rPr>
        <w:t xml:space="preserve"> (The Ping-Pong Activation Space):</w:t>
      </w:r>
      <w:r>
        <w:rPr>
          <w:rFonts w:ascii="Go" w:hAnsi="Go" w:eastAsia="Go" w:cs="Go"/>
          <w:sz w:val="24"/>
        </w:rPr>
      </w:r>
      <w:r>
        <w:rPr>
          <w:rFonts w:ascii="Go" w:hAnsi="Go" w:eastAsia="Go" w:cs="Go"/>
          <w:color w:val="000000"/>
          <w:sz w:val="24"/>
          <w:highlight w:val="none"/>
          <w:u w:val="none"/>
        </w:rPr>
      </w:r>
      <w:r>
        <w:rPr>
          <w:rFonts w:ascii="Go" w:hAnsi="Go" w:eastAsia="Go" w:cs="Go"/>
          <w:color w:val="000000"/>
          <w:sz w:val="24"/>
          <w:highlight w:val="none"/>
          <w:u w:val="none"/>
        </w:rPr>
      </w:r>
      <w:r>
        <w:rPr>
          <w:rFonts w:ascii="Go" w:hAnsi="Go" w:eastAsia="Go" w:cs="Go"/>
          <w:color w:val="000000"/>
          <w:sz w:val="24"/>
          <w:highlight w:val="none"/>
          <w:u w:val="none"/>
        </w:rPr>
      </w:r>
      <w:r>
        <w:rPr>
          <w:rFonts w:ascii="Go" w:hAnsi="Go" w:eastAsia="Go" w:cs="Go"/>
          <w:b/>
          <w:bCs/>
          <w:color w:val="000000"/>
          <w:sz w:val="24"/>
          <w:szCs w:val="24"/>
          <w:u w:val="none"/>
        </w:rPr>
      </w:r>
    </w:p>
    <w:p w14:paraId="22BA09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 w:firstLine="0" w:left="709"/>
        <w:rPr>
          <w:rFonts w:ascii="Go" w:hAnsi="Go" w:eastAsia="Go" w:cs="Go"/>
          <w:sz w:val="24"/>
          <w:szCs w:val="24"/>
        </w:rPr>
      </w:pPr>
      <w:r>
        <w:rPr>
          <w:rFonts w:ascii="Go" w:hAnsi="Go" w:eastAsia="Go" w:cs="Go"/>
          <w:b/>
          <w:color w:val="000000"/>
          <w:sz w:val="24"/>
          <w:u w:val="none"/>
        </w:rPr>
      </w:r>
      <w:r>
        <w:rPr>
          <w:rFonts w:ascii="Go" w:hAnsi="Go" w:eastAsia="Go" w:cs="Go"/>
          <w:color w:val="000000"/>
          <w:sz w:val="24"/>
          <w:u w:val="none"/>
        </w:rPr>
        <w:t xml:space="preserve">A descriptor binding whose underlying physical buffer swaps roles layer-by-layer using two identical, pre-allocated memory blocks (</w:t>
      </w:r>
      <w:r>
        <w:rPr>
          <w:rFonts w:ascii="Go" w:hAnsi="Go" w:eastAsia="Go" w:cs="Go"/>
          <w:b/>
          <w:color w:val="000000"/>
          <w:sz w:val="24"/>
          <w:u w:val="none"/>
        </w:rPr>
        <w:t xml:space="preserve">Buffer A</w:t>
      </w:r>
      <w:r>
        <w:rPr>
          <w:rFonts w:ascii="Go" w:hAnsi="Go" w:eastAsia="Go" w:cs="Go"/>
          <w:color w:val="000000"/>
          <w:sz w:val="24"/>
          <w:u w:val="none"/>
        </w:rPr>
        <w:t xml:space="preserve"> and </w:t>
      </w:r>
      <w:r>
        <w:rPr>
          <w:rFonts w:ascii="Go" w:hAnsi="Go" w:eastAsia="Go" w:cs="Go"/>
          <w:b/>
          <w:color w:val="000000"/>
          <w:sz w:val="24"/>
          <w:u w:val="none"/>
        </w:rPr>
        <w:t xml:space="preserve">Buffer B</w:t>
      </w:r>
      <w:r>
        <w:rPr>
          <w:rFonts w:ascii="Go" w:hAnsi="Go" w:eastAsia="Go" w:cs="Go"/>
          <w:color w:val="000000"/>
          <w:sz w:val="24"/>
          <w:u w:val="none"/>
        </w:rPr>
        <w:t xml:space="preserve">).</w:t>
      </w:r>
      <w:r/>
      <w:r/>
    </w:p>
    <w:p w14:paraId="6235CEA1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Go" w:hAnsi="Go" w:eastAsia="Go" w:cs="Go"/>
          <w:b/>
          <w:color w:val="000000"/>
          <w:sz w:val="24"/>
          <w:u w:val="none"/>
        </w:rPr>
        <w:t xml:space="preserve">Role 1 (Read-Only Input Activations):</w:t>
      </w:r>
      <w:r>
        <w:rPr>
          <w:rFonts w:ascii="Go" w:hAnsi="Go" w:eastAsia="Go" w:cs="Go"/>
          <w:color w:val="000000"/>
          <w:sz w:val="24"/>
          <w:u w:val="none"/>
        </w:rPr>
        <w:t xml:space="preserve"> Points to the input features of the active layer. Size formula: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Sequence Length (Tokens) × Hidden Dimension (nDim) × 4 bytes (FP32)</w:t>
      </w:r>
      <w:r>
        <w:rPr>
          <w:rFonts w:ascii="Go" w:hAnsi="Go" w:eastAsia="Go" w:cs="Go"/>
          <w:color w:val="000000"/>
          <w:sz w:val="24"/>
          <w:u w:val="none"/>
        </w:rPr>
        <w:t xml:space="preserve">. For a 5,120-wide hidden dimension at 4,096 tokens, this resolves to exactly </w:t>
      </w:r>
      <w:r>
        <w:rPr>
          <w:rFonts w:ascii="Courier New" w:hAnsi="Courier New" w:eastAsia="Courier New" w:cs="Courier New"/>
          <w:b/>
          <w:color w:val="000000"/>
          <w:sz w:val="21"/>
          <w:u w:val="none"/>
        </w:rPr>
        <w:t xml:space="preserve">83,886,080</w:t>
      </w:r>
      <w:r>
        <w:rPr>
          <w:rFonts w:ascii="Go" w:hAnsi="Go" w:eastAsia="Go" w:cs="Go"/>
          <w:b/>
          <w:color w:val="000000"/>
          <w:sz w:val="24"/>
          <w:u w:val="none"/>
        </w:rPr>
        <w:t xml:space="preserve"> bytes (80.00 MiB)</w:t>
      </w:r>
      <w:r>
        <w:rPr>
          <w:rFonts w:ascii="Go" w:hAnsi="Go" w:eastAsia="Go" w:cs="Go"/>
          <w:color w:val="000000"/>
          <w:sz w:val="24"/>
          <w:u w:val="none"/>
        </w:rPr>
        <w:t xml:space="preserve">.</w:t>
      </w:r>
      <w:r/>
    </w:p>
    <w:p w14:paraId="7A08A816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Go" w:hAnsi="Go" w:eastAsia="Go" w:cs="Go"/>
          <w:b/>
          <w:color w:val="000000"/>
          <w:sz w:val="24"/>
          <w:u w:val="none"/>
        </w:rPr>
        <w:t xml:space="preserve">Role 2 (Writable Global Scratch Accumulator):</w:t>
      </w:r>
      <w:r>
        <w:rPr>
          <w:rFonts w:ascii="Go" w:hAnsi="Go" w:eastAsia="Go" w:cs="Go"/>
          <w:color w:val="000000"/>
          <w:sz w:val="24"/>
          <w:u w:val="none"/>
        </w:rPr>
        <w:t xml:space="preserve"> Points to the alternating buffer, cleared to zero via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vkCmdFillBuffer</w:t>
      </w:r>
      <w:r>
        <w:rPr>
          <w:rFonts w:ascii="Go" w:hAnsi="Go" w:eastAsia="Go" w:cs="Go"/>
          <w:color w:val="000000"/>
          <w:sz w:val="24"/>
          <w:u w:val="none"/>
        </w:rPr>
        <w:t xml:space="preserve"> at the start of a layer pass. Compute shaders write their partial row outputs directly into this space using atomic additions (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atomicAdd</w:t>
      </w:r>
      <w:r>
        <w:rPr>
          <w:rFonts w:ascii="Go" w:hAnsi="Go" w:eastAsia="Go" w:cs="Go"/>
          <w:color w:val="000000"/>
          <w:sz w:val="24"/>
          <w:u w:val="none"/>
        </w:rPr>
        <w:t xml:space="preserve">). At the end of the layer execution pass, a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VkBufferMemoryBarrier</w:t>
      </w:r>
      <w:r>
        <w:rPr>
          <w:rFonts w:ascii="Go" w:hAnsi="Go" w:eastAsia="Go" w:cs="Go"/>
          <w:color w:val="000000"/>
          <w:sz w:val="24"/>
          <w:u w:val="none"/>
        </w:rPr>
        <w:t xml:space="preserve"> enforces a Read-After-Write (RAW) choke point, transforming this scratch buffer into the clean input vector for the next layer.</w:t>
      </w:r>
      <w:r/>
    </w:p>
    <w:p w14:paraId="665B22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Courier New" w:hAnsi="Courier New" w:eastAsia="Courier New" w:cs="Courier New"/>
          <w:b/>
          <w:color w:val="000000"/>
          <w:sz w:val="21"/>
          <w:u w:val="none"/>
        </w:rPr>
        <w:t xml:space="preserve">binding = 1</w:t>
      </w:r>
      <w:r>
        <w:rPr>
          <w:rFonts w:ascii="Go" w:hAnsi="Go" w:eastAsia="Go" w:cs="Go"/>
          <w:b/>
          <w:color w:val="000000"/>
          <w:sz w:val="24"/>
          <w:u w:val="none"/>
        </w:rPr>
        <w:t xml:space="preserve"> (Paged Sparse Weight Tile Space with FFN Support):</w:t>
        <w:br/>
      </w:r>
      <w:r>
        <w:rPr>
          <w:rFonts w:ascii="Go" w:hAnsi="Go" w:eastAsia="Go" w:cs="Go"/>
          <w:color w:val="000000"/>
          <w:sz w:val="24"/>
          <w:u w:val="none"/>
        </w:rPr>
        <w:t xml:space="preserve">A dedicated, Read-Only memory descriptor mapping your model parameters paged dynamically via a Vulkan sparse buffer layout. Weights must be laid out in a continuous linear fashion, completely separate from activation spaces to maintain cache alignment. Wei</w:t>
      </w:r>
      <w:r>
        <w:rPr>
          <w:rFonts w:ascii="Go" w:hAnsi="Go" w:eastAsia="Go" w:cs="Go"/>
          <w:color w:val="000000"/>
          <w:sz w:val="24"/>
          <w:u w:val="none"/>
        </w:rPr>
        <w:t xml:space="preserve">ghts are stored as </w:t>
      </w:r>
      <w:r>
        <w:rPr>
          <w:rFonts w:ascii="Go" w:hAnsi="Go" w:eastAsia="Go" w:cs="Go"/>
          <w:b/>
          <w:color w:val="000000"/>
          <w:sz w:val="24"/>
          <w:u w:val="none"/>
        </w:rPr>
        <w:t xml:space="preserve">32 × 32 element tiles</w:t>
      </w:r>
      <w:r>
        <w:rPr>
          <w:rFonts w:ascii="Go" w:hAnsi="Go" w:eastAsia="Go" w:cs="Go"/>
          <w:color w:val="000000"/>
          <w:sz w:val="24"/>
          <w:u w:val="none"/>
        </w:rPr>
        <w:t xml:space="preserve"> in </w:t>
      </w:r>
      <w:r>
        <w:rPr>
          <w:rFonts w:ascii="Go" w:hAnsi="Go" w:eastAsia="Go" w:cs="Go"/>
          <w:b/>
          <w:color w:val="000000"/>
          <w:sz w:val="24"/>
          <w:u w:val="none"/>
        </w:rPr>
        <w:t xml:space="preserve">FP16</w:t>
      </w:r>
      <w:r>
        <w:rPr>
          <w:rFonts w:ascii="Go" w:hAnsi="Go" w:eastAsia="Go" w:cs="Go"/>
          <w:color w:val="000000"/>
          <w:sz w:val="24"/>
          <w:u w:val="none"/>
        </w:rPr>
        <w:t xml:space="preserve"> precision.</w:t>
      </w:r>
      <w:r>
        <w:rPr>
          <w:rFonts w:ascii="Go" w:hAnsi="Go" w:eastAsia="Go" w:cs="Go"/>
          <w:sz w:val="24"/>
        </w:rPr>
      </w:r>
    </w:p>
    <w:p w14:paraId="04C56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 w:firstLine="0" w:left="709"/>
        <w:rPr>
          <w:rFonts w:ascii="Go" w:hAnsi="Go" w:eastAsia="Go" w:cs="Go"/>
          <w:sz w:val="24"/>
          <w:szCs w:val="24"/>
        </w:rPr>
      </w:pPr>
      <w:r>
        <w:rPr>
          <w:rFonts w:ascii="Go" w:hAnsi="Go" w:eastAsia="Go" w:cs="Go"/>
          <w:color w:val="000000"/>
          <w:sz w:val="24"/>
          <w:highlight w:val="none"/>
          <w:u w:val="none"/>
        </w:rPr>
      </w:r>
      <w:r>
        <w:rPr>
          <w:rFonts w:ascii="Go" w:hAnsi="Go" w:eastAsia="Go" w:cs="Go"/>
          <w:color w:val="000000"/>
          <w:sz w:val="24"/>
          <w:highlight w:val="none"/>
          <w:u w:val="none"/>
        </w:rPr>
      </w:r>
      <w:r>
        <w:rPr>
          <w:rFonts w:ascii="Go" w:hAnsi="Go" w:eastAsia="Go" w:cs="Go"/>
          <w:color w:val="000000"/>
          <w:sz w:val="24"/>
          <w:highlight w:val="none"/>
          <w:u w:val="none"/>
        </w:rPr>
      </w:r>
    </w:p>
    <w:p w14:paraId="692C06EA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Go" w:hAnsi="Go" w:eastAsia="Go" w:cs="Go"/>
          <w:b/>
          <w:color w:val="000000"/>
          <w:sz w:val="24"/>
          <w:u w:val="none"/>
        </w:rPr>
        <w:t xml:space="preserve">Sizing Formula:</w:t>
      </w:r>
      <w:r>
        <w:rPr>
          <w:rFonts w:ascii="Go" w:hAnsi="Go" w:eastAsia="Go" w:cs="Go"/>
          <w:color w:val="000000"/>
          <w:sz w:val="24"/>
          <w:u w:val="none"/>
        </w:rPr>
        <w:t xml:space="preserve">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Input Dimension (nDim_in) × Output Dimension (nDim_out) × 2 bytes (FP16)</w:t>
      </w:r>
      <w:r>
        <w:rPr>
          <w:rFonts w:ascii="Go" w:hAnsi="Go" w:eastAsia="Go" w:cs="Go"/>
          <w:color w:val="000000"/>
          <w:sz w:val="24"/>
          <w:u w:val="none"/>
        </w:rPr>
        <w:t xml:space="preserve">.</w:t>
      </w:r>
      <w:r/>
    </w:p>
    <w:p w14:paraId="1292988C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Go" w:hAnsi="Go" w:eastAsia="Go" w:cs="Go"/>
          <w:b/>
          <w:color w:val="000000"/>
          <w:sz w:val="24"/>
          <w:u w:val="none"/>
        </w:rPr>
        <w:t xml:space="preserve">Attention Layer Size Configuration:</w:t>
      </w:r>
      <w:r>
        <w:rPr>
          <w:rFonts w:ascii="Go" w:hAnsi="Go" w:eastAsia="Go" w:cs="Go"/>
          <w:color w:val="000000"/>
          <w:sz w:val="24"/>
          <w:u w:val="none"/>
        </w:rPr>
        <w:t xml:space="preserve"> For a standard square layer (5120 × 5120), this resolves to exactly </w:t>
      </w:r>
      <w:r>
        <w:rPr>
          <w:rFonts w:ascii="Courier New" w:hAnsi="Courier New" w:eastAsia="Courier New" w:cs="Courier New"/>
          <w:b/>
          <w:color w:val="000000"/>
          <w:sz w:val="21"/>
          <w:u w:val="none"/>
        </w:rPr>
        <w:t xml:space="preserve">52,428,800</w:t>
      </w:r>
      <w:r>
        <w:rPr>
          <w:rFonts w:ascii="Go" w:hAnsi="Go" w:eastAsia="Go" w:cs="Go"/>
          <w:b/>
          <w:color w:val="000000"/>
          <w:sz w:val="24"/>
          <w:u w:val="none"/>
        </w:rPr>
        <w:t xml:space="preserve"> bytes (50.00 MiB)</w:t>
      </w:r>
      <w:r>
        <w:rPr>
          <w:rFonts w:ascii="Go" w:hAnsi="Go" w:eastAsia="Go" w:cs="Go"/>
          <w:color w:val="000000"/>
          <w:sz w:val="24"/>
          <w:u w:val="none"/>
        </w:rPr>
        <w:t xml:space="preserve">, composed of a grid of exactly 25,600 individual 2 KB tiles (160 horizontal × 160 vertical).</w:t>
      </w:r>
      <w:r/>
    </w:p>
    <w:p w14:paraId="7DE661A5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Go" w:hAnsi="Go" w:eastAsia="Go" w:cs="Go"/>
          <w:b/>
          <w:color w:val="000000"/>
          <w:sz w:val="24"/>
          <w:u w:val="none"/>
        </w:rPr>
        <w:t xml:space="preserve">FFN Layer Size Configuration (SwiGLU Expansion):</w:t>
      </w:r>
      <w:r>
        <w:rPr>
          <w:rFonts w:ascii="Go" w:hAnsi="Go" w:eastAsia="Go" w:cs="Go"/>
          <w:color w:val="000000"/>
          <w:sz w:val="24"/>
          <w:u w:val="none"/>
        </w:rPr>
        <w:t xml:space="preserve"> To handle Qwen's non-square SwiGLU gated network layers (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ffn_up</w:t>
      </w:r>
      <w:r>
        <w:rPr>
          <w:rFonts w:ascii="Go" w:hAnsi="Go" w:eastAsia="Go" w:cs="Go"/>
          <w:color w:val="000000"/>
          <w:sz w:val="24"/>
          <w:u w:val="none"/>
        </w:rPr>
        <w:t xml:space="preserve"> and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ffn_gate</w:t>
      </w:r>
      <w:r>
        <w:rPr>
          <w:rFonts w:ascii="Go" w:hAnsi="Go" w:eastAsia="Go" w:cs="Go"/>
          <w:color w:val="000000"/>
          <w:sz w:val="24"/>
          <w:u w:val="none"/>
        </w:rPr>
        <w:t xml:space="preserve">), the allocator must scale to accommodate the \(\frac{8}{3}\) hidden dimension expansion factor. For a 5,120-wide baseline model, the intermediate dimension scales to 17,408. The allocation size for an FFN tensor page becomes: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5,120 × 17,408 × 2 bytes</w:t>
      </w:r>
      <w:r>
        <w:rPr>
          <w:rFonts w:ascii="Go" w:hAnsi="Go" w:eastAsia="Go" w:cs="Go"/>
          <w:color w:val="000000"/>
          <w:sz w:val="24"/>
          <w:u w:val="none"/>
        </w:rPr>
        <w:t xml:space="preserve">, resolving to exactly </w:t>
      </w:r>
      <w:r>
        <w:rPr>
          <w:rFonts w:ascii="Courier New" w:hAnsi="Courier New" w:eastAsia="Courier New" w:cs="Courier New"/>
          <w:b/>
          <w:color w:val="000000"/>
          <w:sz w:val="21"/>
          <w:u w:val="none"/>
        </w:rPr>
        <w:t xml:space="preserve">178,257,920</w:t>
      </w:r>
      <w:r>
        <w:rPr>
          <w:rFonts w:ascii="Go" w:hAnsi="Go" w:eastAsia="Go" w:cs="Go"/>
          <w:b/>
          <w:color w:val="000000"/>
          <w:sz w:val="24"/>
          <w:u w:val="none"/>
        </w:rPr>
        <w:t xml:space="preserve"> bytes (170.00 MiB)</w:t>
      </w:r>
      <w:r>
        <w:rPr>
          <w:rFonts w:ascii="Go" w:hAnsi="Go" w:eastAsia="Go" w:cs="Go"/>
          <w:color w:val="000000"/>
          <w:sz w:val="24"/>
          <w:u w:val="none"/>
        </w:rPr>
        <w:t xml:space="preserve">, composed of a grid of 87,040 individual 2 KB tiles (160 horizontal × 544 vertical). Both dimensions remain perfectly divisible by 32.</w:t>
      </w:r>
      <w:r/>
    </w:p>
    <w:p w14:paraId="7FD6F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Go" w:hAnsi="Go" w:eastAsia="Go" w:cs="Go"/>
          <w:b/>
          <w:color w:val="000000"/>
          <w:sz w:val="24"/>
        </w:rPr>
        <w:t xml:space="preserve">Task 2: Randomized Empirical Hessian Estimation (Hutchinson's Estimator)</w:t>
      </w:r>
      <w:r/>
    </w:p>
    <w:p w14:paraId="312EC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Go" w:hAnsi="Go" w:eastAsia="Go" w:cs="Go"/>
          <w:color w:val="000000"/>
          <w:sz w:val="24"/>
        </w:rPr>
        <w:t xml:space="preserve">Design the compute pipeline and mathematical logic to estimate layer-wise Hessian sensitivity profiles without materializing dense matrices or computing second-order automatic differentiation loops.</w:t>
      </w:r>
      <w:r/>
    </w:p>
    <w:p w14:paraId="30CF6FF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Go" w:hAnsi="Go" w:eastAsia="Go" w:cs="Go"/>
          <w:b/>
          <w:color w:val="000000"/>
          <w:sz w:val="24"/>
          <w:u w:val="none"/>
        </w:rPr>
        <w:t xml:space="preserve">On-the-Fly Rademacher Projections:</w:t>
        <w:br/>
      </w:r>
      <w:r>
        <w:rPr>
          <w:rFonts w:ascii="Go" w:hAnsi="Go" w:eastAsia="Go" w:cs="Go"/>
          <w:color w:val="000000"/>
          <w:sz w:val="24"/>
          <w:u w:val="none"/>
        </w:rPr>
        <w:t xml:space="preserve">Instead of uploading random tensors from the host, the GLSL compute shaders must generate random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+1</w:t>
      </w:r>
      <w:r>
        <w:rPr>
          <w:rFonts w:ascii="Go" w:hAnsi="Go" w:eastAsia="Go" w:cs="Go"/>
          <w:color w:val="000000"/>
          <w:sz w:val="24"/>
          <w:u w:val="none"/>
        </w:rPr>
        <w:t xml:space="preserve"> and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-1</w:t>
      </w:r>
      <w:r>
        <w:rPr>
          <w:rFonts w:ascii="Go" w:hAnsi="Go" w:eastAsia="Go" w:cs="Go"/>
          <w:color w:val="000000"/>
          <w:sz w:val="24"/>
          <w:u w:val="none"/>
        </w:rPr>
        <w:t xml:space="preserve"> vector bits on the fly in local registers using a lightweight hardware-friendly pseudo-random number generator (PRNG) like PCG or Philox, seeded via push constants.</w:t>
      </w:r>
      <w:r/>
    </w:p>
    <w:p w14:paraId="1C91793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Go" w:hAnsi="Go" w:eastAsia="Go" w:cs="Go"/>
          <w:b/>
          <w:color w:val="000000"/>
          <w:sz w:val="24"/>
          <w:u w:val="none"/>
        </w:rPr>
        <w:t xml:space="preserve">Hardware Coalescing &amp; Shuffle Operations:</w:t>
        <w:br/>
      </w:r>
      <w:r>
        <w:rPr>
          <w:rFonts w:ascii="Go" w:hAnsi="Go" w:eastAsia="Go" w:cs="Go"/>
          <w:color w:val="000000"/>
          <w:sz w:val="24"/>
          <w:u w:val="none"/>
        </w:rPr>
        <w:t xml:space="preserve">Configure your workgroup footprint to exploit the 32-thread hardware warp size of the 4080 Super (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local_size_x = 32, local_size_y = 4</w:t>
      </w:r>
      <w:r>
        <w:rPr>
          <w:rFonts w:ascii="Go" w:hAnsi="Go" w:eastAsia="Go" w:cs="Go"/>
          <w:color w:val="000000"/>
          <w:sz w:val="24"/>
          <w:u w:val="none"/>
        </w:rPr>
        <w:t xml:space="preserve">). Implement the matrix-vector sensitivity loops using horizontal warp shuffles (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subgroupShuffle</w:t>
      </w:r>
      <w:r>
        <w:rPr>
          <w:rFonts w:ascii="Go" w:hAnsi="Go" w:eastAsia="Go" w:cs="Go"/>
          <w:color w:val="000000"/>
          <w:sz w:val="24"/>
          <w:u w:val="none"/>
        </w:rPr>
        <w:t xml:space="preserve">). Threads must load a single activation element from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binding = 0</w:t>
      </w:r>
      <w:r>
        <w:rPr>
          <w:rFonts w:ascii="Go" w:hAnsi="Go" w:eastAsia="Go" w:cs="Go"/>
          <w:color w:val="000000"/>
          <w:sz w:val="24"/>
          <w:u w:val="none"/>
        </w:rPr>
        <w:t xml:space="preserve">, broadcast it across the warp registers in a single clock cycle, and execute the sign-flip operations against the 32 × 32 tile parameters loaded into the Vector Register File (RF).</w:t>
      </w:r>
      <w:r/>
    </w:p>
    <w:p w14:paraId="4649F9D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Go" w:hAnsi="Go" w:eastAsia="Go" w:cs="Go"/>
          <w:b/>
          <w:color w:val="000000"/>
          <w:sz w:val="24"/>
          <w:u w:val="none"/>
        </w:rPr>
        <w:t xml:space="preserve">Trellis / Mixed-Precision Search Interface:</w:t>
        <w:br/>
      </w:r>
      <w:r>
        <w:rPr>
          <w:rFonts w:ascii="Go" w:hAnsi="Go" w:eastAsia="Go" w:cs="Go"/>
          <w:color w:val="000000"/>
          <w:sz w:val="24"/>
          <w:u w:val="none"/>
        </w:rPr>
        <w:t xml:space="preserve">The output of these random matrix-vector products (\(H v = X^T(Xv)\)) must be mapped directly to a localized Trellis quantization search loop. The system must evaluate directional error variance across the 32 × 32 tiles to dynamically allocate lower bit-ra</w:t>
      </w:r>
      <w:r>
        <w:rPr>
          <w:rFonts w:ascii="Go" w:hAnsi="Go" w:eastAsia="Go" w:cs="Go"/>
          <w:color w:val="000000"/>
          <w:sz w:val="24"/>
          <w:u w:val="none"/>
        </w:rPr>
        <w:t xml:space="preserve">tes to insensitive paths while preserving high-precision weights along paths where the random projections detect sharp error gradients.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o">
    <w:panose1 w:val="020B0600000000000000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F2E8B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b w:val="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1376B7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DB575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8467FF1"/>
    <w:lvl w:ilvl="0">
      <w:isLgl w:val="false"/>
      <w:lvlJc w:val="left"/>
      <w:lvlText w:val="v"/>
      <w:numFmt w:val="bullet"/>
      <w:pPr>
        <w:pBdr/>
        <w:spacing/>
        <w:ind w:hanging="360" w:left="36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08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520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240"/>
      </w:pPr>
      <w:rPr>
        <w:rFonts w:ascii="Symbol" w:hAnsi="Symbol" w:eastAsia="Symbol" w:cs="Symbol"/>
      </w:rPr>
      <w:start w:val="1"/>
      <w:suff w:val="tab"/>
    </w:lvl>
  </w:abstractNum>
  <w:abstractNum w:abstractNumId="4">
    <w:nsid w:val="3A04CEBB"/>
    <w:lvl w:ilvl="0">
      <w:isLgl w:val="false"/>
      <w:lvlJc w:val="left"/>
      <w:lvlText w:val="v"/>
      <w:numFmt w:val="bullet"/>
      <w:pPr>
        <w:pBdr/>
        <w:spacing/>
        <w:ind w:hanging="360" w:left="36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08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520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240"/>
      </w:pPr>
      <w:rPr>
        <w:rFonts w:ascii="Symbol" w:hAnsi="Symbol" w:eastAsia="Symbol" w:cs="Symbol"/>
      </w:rPr>
      <w:start w:val="1"/>
      <w:suff w:val="tab"/>
    </w:lvl>
  </w:abstractNum>
  <w:abstractNum w:abstractNumId="5">
    <w:nsid w:val="3C35045E"/>
    <w:lvl w:ilvl="0">
      <w:isLgl w:val="false"/>
      <w:lvlJc w:val="left"/>
      <w:lvlText w:val="v"/>
      <w:numFmt w:val="bullet"/>
      <w:pPr>
        <w:pBdr/>
        <w:spacing/>
        <w:ind w:hanging="360" w:left="36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08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520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240"/>
      </w:pPr>
      <w:rPr>
        <w:rFonts w:ascii="Symbol" w:hAnsi="Symbol" w:eastAsia="Symbol" w:cs="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2026-09-10T11:44:29Z</dcterms:modified>
</cp:coreProperties>
</file>