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4"/>
        </w:rPr>
        <w:t>ADJACENT CAPITAL, LP</w:t>
      </w:r>
    </w:p>
    <w:p>
      <w:pPr>
        <w:jc w:val="center"/>
      </w:pPr>
      <w:r>
        <w:rPr>
          <w:rFonts w:ascii="Times New Roman" w:hAnsi="Times New Roman"/>
          <w:b/>
          <w:i w:val="0"/>
          <w:color w:val="000000"/>
          <w:sz w:val="24"/>
        </w:rPr>
        <w:t>FUND FORMATION — DECISIONS AND OPEN QUESTIONS</w:t>
      </w:r>
    </w:p>
    <w:p>
      <w:pPr>
        <w:jc w:val="center"/>
      </w:pPr>
      <w:r>
        <w:rPr>
          <w:rFonts w:ascii="Times New Roman" w:hAnsi="Times New Roman"/>
          <w:b/>
          <w:i w:val="0"/>
          <w:color w:val="000000"/>
          <w:sz w:val="24"/>
        </w:rPr>
        <w:t>July 06, 2026</w:t>
      </w:r>
    </w:p>
    <w:p>
      <w:pPr>
        <w:jc w:val="both"/>
      </w:pPr>
      <w:r>
        <w:rPr>
          <w:rFonts w:ascii="Times New Roman" w:hAnsi="Times New Roman"/>
          <w:b w:val="0"/>
          <w:i/>
          <w:color w:val="000000"/>
          <w:sz w:val="24"/>
        </w:rPr>
        <w:t>Part 1 lists the decisions and working positions we have taken, with follow-ups for counsel in the margin. Part 2 is the consolidated list of open questions. Companion document: “Adjacent Capital — Term Sheet (Resolved Draft),” which carries clause-level elections and mark-up comments.</w:t>
      </w:r>
    </w:p>
    <w:p>
      <w:r>
        <w:rPr>
          <w:rFonts w:ascii="Times New Roman" w:hAnsi="Times New Roman"/>
          <w:b/>
          <w:i w:val="0"/>
          <w:color w:val="000000"/>
          <w:sz w:val="24"/>
        </w:rPr>
        <w:t>PART 1 — DECISIONS AND WORKING POSITIONS</w:t>
      </w:r>
    </w:p>
    <w:p>
      <w:r>
        <w:rPr>
          <w:rFonts w:ascii="Times New Roman" w:hAnsi="Times New Roman"/>
          <w:b/>
          <w:i w:val="0"/>
          <w:color w:val="000000"/>
          <w:sz w:val="24"/>
          <w:u w:val="single"/>
        </w:rPr>
        <w:t>Structure and entities</w:t>
      </w:r>
    </w:p>
    <w:p>
      <w:pPr>
        <w:pStyle w:val="ListBullet"/>
        <w:jc w:val="both"/>
      </w:pPr>
      <w:r>
        <w:rPr>
          <w:rFonts w:ascii="Times New Roman" w:hAnsi="Times New Roman"/>
          <w:b/>
          <w:i w:val="0"/>
          <w:color w:val="000000"/>
          <w:sz w:val="24"/>
        </w:rPr>
        <w:t xml:space="preserve">Fund entity: </w:t>
      </w:r>
      <w:r>
        <w:rPr>
          <w:rFonts w:ascii="Times New Roman" w:hAnsi="Times New Roman"/>
          <w:b w:val="0"/>
          <w:i w:val="0"/>
          <w:color w:val="000000"/>
          <w:sz w:val="24"/>
        </w:rPr>
        <w:t>Delaware LP</w:t>
      </w:r>
    </w:p>
    <w:p>
      <w:pPr>
        <w:pStyle w:val="ListBullet"/>
        <w:jc w:val="both"/>
      </w:pPr>
      <w:r>
        <w:rPr>
          <w:rFonts w:ascii="Times New Roman" w:hAnsi="Times New Roman"/>
          <w:b/>
          <w:i w:val="0"/>
          <w:color w:val="000000"/>
          <w:sz w:val="24"/>
        </w:rPr>
        <w:t xml:space="preserve">GP entity: </w:t>
      </w:r>
      <w:r>
        <w:rPr>
          <w:rFonts w:ascii="Times New Roman" w:hAnsi="Times New Roman"/>
          <w:b w:val="0"/>
          <w:i w:val="0"/>
          <w:color w:val="000000"/>
          <w:sz w:val="24"/>
        </w:rPr>
        <w:t>fund specific</w:t>
      </w:r>
    </w:p>
    <w:p>
      <w:pPr>
        <w:pStyle w:val="ListBullet"/>
        <w:jc w:val="both"/>
      </w:pPr>
      <w:r>
        <w:rPr>
          <w:rFonts w:ascii="Times New Roman" w:hAnsi="Times New Roman"/>
          <w:b/>
          <w:i w:val="0"/>
          <w:color w:val="000000"/>
          <w:sz w:val="24"/>
        </w:rPr>
        <w:t xml:space="preserve">Sponsor HoldCo above the Manager and GP entities: </w:t>
      </w:r>
      <w:r>
        <w:rPr>
          <w:rFonts w:ascii="Times New Roman" w:hAnsi="Times New Roman"/>
          <w:b w:val="0"/>
          <w:i w:val="0"/>
          <w:color w:val="000000"/>
          <w:sz w:val="24"/>
        </w:rPr>
        <w:t>yes</w:t>
      </w:r>
    </w:p>
    <w:p>
      <w:pPr>
        <w:pStyle w:val="ListBullet"/>
        <w:jc w:val="both"/>
      </w:pPr>
      <w:commentRangeStart w:id="0"/>
      <w:r>
        <w:rPr>
          <w:rFonts w:ascii="Times New Roman" w:hAnsi="Times New Roman"/>
          <w:b/>
          <w:i w:val="0"/>
          <w:color w:val="000000"/>
          <w:sz w:val="24"/>
        </w:rPr>
        <w:t xml:space="preserve">Carry vehicle: </w:t>
      </w:r>
      <w:r>
        <w:rPr>
          <w:rFonts w:ascii="Times New Roman" w:hAnsi="Times New Roman"/>
          <w:b w:val="0"/>
          <w:i w:val="0"/>
          <w:color w:val="000000"/>
          <w:sz w:val="24"/>
        </w:rPr>
        <w:t>Separate CarryCo. Thinking we go to a separate CarryCo</w:t>
      </w:r>
      <w:commentRangeEnd w:id="0"/>
      <w:r>
        <w:rPr>
          <w:rStyle w:val="CommentReference"/>
        </w:rPr>
        <w:commentReference w:id="0"/>
      </w:r>
    </w:p>
    <w:p>
      <w:pPr>
        <w:pStyle w:val="ListBullet"/>
        <w:jc w:val="both"/>
      </w:pPr>
      <w:r>
        <w:rPr>
          <w:rFonts w:ascii="Times New Roman" w:hAnsi="Times New Roman"/>
          <w:b/>
          <w:i w:val="0"/>
          <w:color w:val="000000"/>
          <w:sz w:val="24"/>
        </w:rPr>
        <w:t xml:space="preserve">Non-voting carry participants: </w:t>
      </w:r>
      <w:r>
        <w:rPr>
          <w:rFonts w:ascii="Times New Roman" w:hAnsi="Times New Roman"/>
          <w:b w:val="0"/>
          <w:i w:val="0"/>
          <w:color w:val="000000"/>
          <w:sz w:val="24"/>
        </w:rPr>
        <w:t>Yes, I would like it to be possible for non-voting participants in the GP receive carry w/o governance. For example, if someone helps bring in capital.</w:t>
      </w:r>
    </w:p>
    <w:p>
      <w:r>
        <w:rPr>
          <w:rFonts w:ascii="Times New Roman" w:hAnsi="Times New Roman"/>
          <w:b/>
          <w:i w:val="0"/>
          <w:color w:val="000000"/>
          <w:sz w:val="24"/>
          <w:u w:val="single"/>
        </w:rPr>
        <w:t>Regulatory and offering path</w:t>
      </w:r>
    </w:p>
    <w:p>
      <w:pPr>
        <w:pStyle w:val="ListBullet"/>
        <w:jc w:val="both"/>
      </w:pPr>
      <w:commentRangeStart w:id="1"/>
      <w:r>
        <w:rPr>
          <w:rFonts w:ascii="Times New Roman" w:hAnsi="Times New Roman"/>
          <w:b/>
          <w:i w:val="0"/>
          <w:color w:val="000000"/>
          <w:sz w:val="24"/>
        </w:rPr>
        <w:t xml:space="preserve">Fund exemption: </w:t>
      </w:r>
      <w:r>
        <w:rPr>
          <w:rFonts w:ascii="Times New Roman" w:hAnsi="Times New Roman"/>
          <w:b w:val="0"/>
          <w:i w:val="0"/>
          <w:color w:val="000000"/>
          <w:sz w:val="24"/>
        </w:rPr>
        <w:t>figure out if everyone is QP - leaning towards 3c7 and 506a</w:t>
      </w:r>
      <w:commentRangeEnd w:id="1"/>
      <w:r>
        <w:rPr>
          <w:rStyle w:val="CommentReference"/>
        </w:rPr>
        <w:commentReference w:id="1"/>
      </w:r>
    </w:p>
    <w:p>
      <w:pPr>
        <w:pStyle w:val="ListBullet"/>
        <w:jc w:val="both"/>
      </w:pPr>
      <w:commentRangeStart w:id="2"/>
      <w:r>
        <w:rPr>
          <w:rFonts w:ascii="Times New Roman" w:hAnsi="Times New Roman"/>
          <w:b/>
          <w:i w:val="0"/>
          <w:color w:val="000000"/>
          <w:sz w:val="24"/>
        </w:rPr>
        <w:t xml:space="preserve">Offering exemption: </w:t>
      </w:r>
      <w:r>
        <w:rPr>
          <w:rFonts w:ascii="Times New Roman" w:hAnsi="Times New Roman"/>
          <w:b w:val="0"/>
          <w:i w:val="0"/>
          <w:color w:val="000000"/>
          <w:sz w:val="24"/>
        </w:rPr>
        <w:t>506b</w:t>
      </w:r>
      <w:commentRangeEnd w:id="2"/>
      <w:r>
        <w:rPr>
          <w:rStyle w:val="CommentReference"/>
        </w:rPr>
        <w:commentReference w:id="2"/>
      </w:r>
    </w:p>
    <w:p>
      <w:r>
        <w:rPr>
          <w:rFonts w:ascii="Times New Roman" w:hAnsi="Times New Roman"/>
          <w:b/>
          <w:i w:val="0"/>
          <w:color w:val="000000"/>
          <w:sz w:val="24"/>
          <w:u w:val="single"/>
        </w:rPr>
        <w:t>Economics</w:t>
      </w:r>
    </w:p>
    <w:p>
      <w:pPr>
        <w:pStyle w:val="ListBullet"/>
        <w:jc w:val="both"/>
      </w:pPr>
      <w:r>
        <w:rPr>
          <w:rFonts w:ascii="Times New Roman" w:hAnsi="Times New Roman"/>
          <w:b/>
          <w:i w:val="0"/>
          <w:color w:val="000000"/>
          <w:sz w:val="24"/>
        </w:rPr>
        <w:t xml:space="preserve">Waterfall: </w:t>
      </w:r>
      <w:r>
        <w:rPr>
          <w:rFonts w:ascii="Times New Roman" w:hAnsi="Times New Roman"/>
          <w:b w:val="0"/>
          <w:i w:val="0"/>
          <w:color w:val="000000"/>
          <w:sz w:val="24"/>
        </w:rPr>
        <w:t>european seems fine ask the guys though</w:t>
      </w:r>
    </w:p>
    <w:p>
      <w:pPr>
        <w:pStyle w:val="ListBullet"/>
        <w:jc w:val="both"/>
      </w:pPr>
      <w:r>
        <w:rPr>
          <w:rFonts w:ascii="Times New Roman" w:hAnsi="Times New Roman"/>
          <w:b/>
          <w:i w:val="0"/>
          <w:color w:val="000000"/>
          <w:sz w:val="24"/>
        </w:rPr>
        <w:t xml:space="preserve">GP catch-up: </w:t>
      </w:r>
      <w:r>
        <w:rPr>
          <w:rFonts w:ascii="Times New Roman" w:hAnsi="Times New Roman"/>
          <w:b w:val="0"/>
          <w:i w:val="0"/>
          <w:color w:val="000000"/>
          <w:sz w:val="24"/>
        </w:rPr>
        <w:t>Yes (recorded on the Distributions clause).</w:t>
      </w:r>
    </w:p>
    <w:p>
      <w:pPr>
        <w:pStyle w:val="ListBullet"/>
        <w:jc w:val="both"/>
      </w:pPr>
      <w:commentRangeStart w:id="3"/>
      <w:r>
        <w:rPr>
          <w:rFonts w:ascii="Times New Roman" w:hAnsi="Times New Roman"/>
          <w:b/>
          <w:i w:val="0"/>
          <w:color w:val="000000"/>
          <w:sz w:val="24"/>
        </w:rPr>
        <w:t xml:space="preserve">Placement fees / fee offsets: </w:t>
      </w:r>
      <w:r>
        <w:rPr>
          <w:rFonts w:ascii="Times New Roman" w:hAnsi="Times New Roman"/>
          <w:b w:val="0"/>
          <w:i w:val="0"/>
          <w:color w:val="000000"/>
          <w:sz w:val="24"/>
        </w:rPr>
        <w:t>Ideally the placement fees are paid by the LPs.</w:t>
      </w:r>
      <w:commentRangeEnd w:id="3"/>
      <w:r>
        <w:rPr>
          <w:rStyle w:val="CommentReference"/>
        </w:rPr>
        <w:commentReference w:id="3"/>
      </w:r>
    </w:p>
    <w:p>
      <w:r>
        <w:rPr>
          <w:rFonts w:ascii="Times New Roman" w:hAnsi="Times New Roman"/>
          <w:b/>
          <w:i w:val="0"/>
          <w:color w:val="000000"/>
          <w:sz w:val="24"/>
          <w:u w:val="single"/>
        </w:rPr>
        <w:t>Investment mandate</w:t>
      </w:r>
    </w:p>
    <w:p>
      <w:pPr>
        <w:pStyle w:val="ListBullet"/>
        <w:jc w:val="both"/>
      </w:pPr>
      <w:r>
        <w:rPr>
          <w:rFonts w:ascii="Times New Roman" w:hAnsi="Times New Roman"/>
          <w:b/>
          <w:i w:val="0"/>
          <w:color w:val="000000"/>
          <w:sz w:val="24"/>
        </w:rPr>
        <w:t xml:space="preserve">Whitelist approach: </w:t>
      </w:r>
      <w:r>
        <w:rPr>
          <w:rFonts w:ascii="Times New Roman" w:hAnsi="Times New Roman"/>
          <w:b w:val="0"/>
          <w:i w:val="0"/>
          <w:color w:val="000000"/>
          <w:sz w:val="24"/>
        </w:rPr>
        <w:t>Yes — the fund will be limited to a Schedule A whitelist of companies. We are going to whitelist companies.</w:t>
      </w:r>
    </w:p>
    <w:p>
      <w:pPr>
        <w:pStyle w:val="ListBullet"/>
        <w:jc w:val="both"/>
      </w:pPr>
      <w:r>
        <w:rPr>
          <w:rFonts w:ascii="Times New Roman" w:hAnsi="Times New Roman"/>
          <w:b/>
          <w:i w:val="0"/>
          <w:color w:val="000000"/>
          <w:sz w:val="24"/>
        </w:rPr>
        <w:t xml:space="preserve">Changing the whitelist: </w:t>
      </w:r>
      <w:r>
        <w:rPr>
          <w:rFonts w:ascii="Times New Roman" w:hAnsi="Times New Roman"/>
          <w:b w:val="0"/>
          <w:i w:val="0"/>
          <w:color w:val="000000"/>
          <w:sz w:val="24"/>
        </w:rPr>
        <w:t>With limited partner consent, come up with structure</w:t>
      </w:r>
    </w:p>
    <w:p>
      <w:pPr>
        <w:pStyle w:val="ListBullet"/>
        <w:jc w:val="both"/>
      </w:pPr>
      <w:r>
        <w:rPr>
          <w:rFonts w:ascii="Times New Roman" w:hAnsi="Times New Roman"/>
          <w:b/>
          <w:i w:val="0"/>
          <w:color w:val="000000"/>
          <w:sz w:val="24"/>
        </w:rPr>
        <w:t xml:space="preserve">Investing outside the whitelist: </w:t>
      </w:r>
      <w:r>
        <w:rPr>
          <w:rFonts w:ascii="Times New Roman" w:hAnsi="Times New Roman"/>
          <w:b w:val="0"/>
          <w:i w:val="0"/>
          <w:color w:val="000000"/>
          <w:sz w:val="24"/>
        </w:rPr>
        <w:t>Yes, with LPAC or majority LP approval.</w:t>
      </w:r>
    </w:p>
    <w:p>
      <w:pPr>
        <w:pStyle w:val="ListBullet"/>
        <w:jc w:val="both"/>
      </w:pPr>
      <w:commentRangeStart w:id="4"/>
      <w:r>
        <w:rPr>
          <w:rFonts w:ascii="Times New Roman" w:hAnsi="Times New Roman"/>
          <w:b/>
          <w:i w:val="0"/>
          <w:color w:val="000000"/>
          <w:sz w:val="24"/>
        </w:rPr>
        <w:t xml:space="preserve">SPV interests, tender vehicles, forwards, secondary-access vehicles: </w:t>
      </w:r>
      <w:r>
        <w:rPr>
          <w:rFonts w:ascii="Times New Roman" w:hAnsi="Times New Roman"/>
          <w:b w:val="0"/>
          <w:i w:val="0"/>
          <w:color w:val="000000"/>
          <w:sz w:val="24"/>
        </w:rPr>
        <w:t>Yes. we want maximal qbility to invest in weird stuff. maybe have generic language that is like includluding but not limited to</w:t>
      </w:r>
      <w:commentRangeEnd w:id="4"/>
      <w:r>
        <w:rPr>
          <w:rStyle w:val="CommentReference"/>
        </w:rPr>
        <w:commentReference w:id="4"/>
      </w:r>
    </w:p>
    <w:p>
      <w:pPr>
        <w:pStyle w:val="ListBullet"/>
        <w:jc w:val="both"/>
      </w:pPr>
      <w:commentRangeStart w:id="5"/>
      <w:r>
        <w:rPr>
          <w:rFonts w:ascii="Times New Roman" w:hAnsi="Times New Roman"/>
          <w:b/>
          <w:i w:val="0"/>
          <w:color w:val="000000"/>
          <w:sz w:val="24"/>
        </w:rPr>
        <w:t xml:space="preserve">Non-U.S. companies / holding structures: </w:t>
      </w:r>
      <w:r>
        <w:rPr>
          <w:rFonts w:ascii="Times New Roman" w:hAnsi="Times New Roman"/>
          <w:b w:val="0"/>
          <w:i w:val="0"/>
          <w:color w:val="000000"/>
          <w:sz w:val="24"/>
        </w:rPr>
        <w:t>yes, flag for follow up though</w:t>
      </w:r>
      <w:commentRangeEnd w:id="5"/>
      <w:r>
        <w:rPr>
          <w:rStyle w:val="CommentReference"/>
        </w:rPr>
        <w:commentReference w:id="5"/>
      </w:r>
    </w:p>
    <w:p>
      <w:pPr>
        <w:pStyle w:val="ListBullet"/>
        <w:jc w:val="both"/>
      </w:pPr>
      <w:commentRangeStart w:id="6"/>
      <w:r>
        <w:rPr>
          <w:rFonts w:ascii="Times New Roman" w:hAnsi="Times New Roman"/>
          <w:b/>
          <w:i w:val="0"/>
          <w:color w:val="000000"/>
          <w:sz w:val="24"/>
        </w:rPr>
        <w:t xml:space="preserve">Follow-on investments after the investment period: </w:t>
      </w:r>
      <w:r>
        <w:rPr>
          <w:rFonts w:ascii="Times New Roman" w:hAnsi="Times New Roman"/>
          <w:b w:val="0"/>
          <w:i w:val="0"/>
          <w:color w:val="000000"/>
          <w:sz w:val="24"/>
        </w:rPr>
        <w:t>fifth anniversary of initial closing, majority interest,</w:t>
      </w:r>
      <w:commentRangeEnd w:id="6"/>
      <w:r>
        <w:rPr>
          <w:rStyle w:val="CommentReference"/>
        </w:rPr>
        <w:commentReference w:id="6"/>
      </w:r>
    </w:p>
    <w:p>
      <w:r>
        <w:rPr>
          <w:rFonts w:ascii="Times New Roman" w:hAnsi="Times New Roman"/>
          <w:b/>
          <w:i w:val="0"/>
          <w:color w:val="000000"/>
          <w:sz w:val="24"/>
          <w:u w:val="single"/>
        </w:rPr>
        <w:t>Capital calls</w:t>
      </w:r>
    </w:p>
    <w:p>
      <w:pPr>
        <w:pStyle w:val="ListBullet"/>
        <w:jc w:val="both"/>
      </w:pPr>
      <w:commentRangeStart w:id="7"/>
      <w:r>
        <w:rPr>
          <w:rFonts w:ascii="Times New Roman" w:hAnsi="Times New Roman"/>
          <w:b/>
          <w:i w:val="0"/>
          <w:color w:val="000000"/>
          <w:sz w:val="24"/>
        </w:rPr>
        <w:t xml:space="preserve">Capital call timing: </w:t>
      </w:r>
      <w:r>
        <w:rPr>
          <w:rFonts w:ascii="Times New Roman" w:hAnsi="Times New Roman"/>
          <w:b w:val="0"/>
          <w:i w:val="0"/>
          <w:color w:val="000000"/>
          <w:sz w:val="24"/>
        </w:rPr>
        <w:t>ideally 3-5 business days.</w:t>
      </w:r>
      <w:commentRangeEnd w:id="7"/>
      <w:r>
        <w:rPr>
          <w:rStyle w:val="CommentReference"/>
        </w:rPr>
        <w:commentReference w:id="7"/>
      </w:r>
    </w:p>
    <w:p>
      <w:r>
        <w:rPr>
          <w:rFonts w:ascii="Times New Roman" w:hAnsi="Times New Roman"/>
          <w:b/>
          <w:i w:val="0"/>
          <w:color w:val="000000"/>
          <w:sz w:val="24"/>
          <w:u w:val="single"/>
        </w:rPr>
        <w:t>Placement and sourcing</w:t>
      </w:r>
    </w:p>
    <w:p>
      <w:pPr>
        <w:pStyle w:val="ListBullet"/>
        <w:jc w:val="both"/>
      </w:pPr>
      <w:commentRangeStart w:id="8"/>
      <w:r>
        <w:rPr>
          <w:rFonts w:ascii="Times New Roman" w:hAnsi="Times New Roman"/>
          <w:b/>
          <w:i w:val="0"/>
          <w:color w:val="000000"/>
          <w:sz w:val="24"/>
        </w:rPr>
        <w:t xml:space="preserve">Conditional carry / incentive compensation: </w:t>
      </w:r>
      <w:r>
        <w:rPr>
          <w:rFonts w:ascii="Times New Roman" w:hAnsi="Times New Roman"/>
          <w:b w:val="0"/>
          <w:i w:val="0"/>
          <w:color w:val="000000"/>
          <w:sz w:val="24"/>
        </w:rPr>
        <w:t>we need the ability to compensate either lp placement or deal placement.</w:t>
      </w:r>
      <w:commentRangeEnd w:id="8"/>
      <w:r>
        <w:rPr>
          <w:rStyle w:val="CommentReference"/>
        </w:rPr>
        <w:commentReference w:id="8"/>
      </w:r>
    </w:p>
    <w:p>
      <w:pPr>
        <w:pStyle w:val="ListBullet"/>
        <w:jc w:val="both"/>
      </w:pPr>
      <w:r>
        <w:rPr>
          <w:rFonts w:ascii="Times New Roman" w:hAnsi="Times New Roman"/>
          <w:b/>
          <w:i w:val="0"/>
          <w:color w:val="000000"/>
          <w:sz w:val="24"/>
        </w:rPr>
        <w:t xml:space="preserve">Non-broker-dealer finders: </w:t>
      </w:r>
      <w:r>
        <w:rPr>
          <w:rFonts w:ascii="Times New Roman" w:hAnsi="Times New Roman"/>
          <w:b w:val="0"/>
          <w:i w:val="0"/>
          <w:color w:val="000000"/>
          <w:sz w:val="24"/>
        </w:rPr>
        <w:t>yes ideally, and we would like to potentially give carry</w:t>
      </w:r>
    </w:p>
    <w:p>
      <w:pPr>
        <w:pStyle w:val="ListBullet"/>
        <w:jc w:val="both"/>
      </w:pPr>
      <w:commentRangeStart w:id="9"/>
      <w:r>
        <w:rPr>
          <w:rFonts w:ascii="Times New Roman" w:hAnsi="Times New Roman"/>
          <w:b/>
          <w:i w:val="0"/>
          <w:color w:val="000000"/>
          <w:sz w:val="24"/>
        </w:rPr>
        <w:t xml:space="preserve">Sourcing / origination arrangements (requested language): </w:t>
      </w:r>
      <w:r>
        <w:rPr>
          <w:rFonts w:ascii="Times New Roman" w:hAnsi="Times New Roman"/>
          <w:b w:val="0"/>
          <w:i w:val="0"/>
          <w:color w:val="000000"/>
          <w:sz w:val="24"/>
        </w:rPr>
        <w:t>The Manager, GP, or affiliates may enter into sourcing, origination, consulting, brokerage, referral, or strategic relationship agreements with third parties in connection with identifying, sourcing, diligencing, acquiring, selling, or disposing of investments.</w:t>
      </w:r>
      <w:commentRangeEnd w:id="9"/>
      <w:r>
        <w:rPr>
          <w:rStyle w:val="CommentReference"/>
        </w:rPr>
        <w:commentReference w:id="9"/>
      </w:r>
    </w:p>
    <w:p>
      <w:pPr>
        <w:pStyle w:val="ListBullet"/>
        <w:jc w:val="both"/>
      </w:pPr>
      <w:r>
        <w:rPr>
          <w:rFonts w:ascii="Times New Roman" w:hAnsi="Times New Roman"/>
          <w:b/>
          <w:i w:val="0"/>
          <w:color w:val="000000"/>
          <w:sz w:val="24"/>
        </w:rPr>
        <w:t xml:space="preserve">Offering materials approval: </w:t>
      </w:r>
      <w:r>
        <w:rPr>
          <w:rFonts w:ascii="Times New Roman" w:hAnsi="Times New Roman"/>
          <w:b w:val="0"/>
          <w:i w:val="0"/>
          <w:color w:val="000000"/>
          <w:sz w:val="24"/>
        </w:rPr>
        <w:t>Management LLC</w:t>
      </w:r>
    </w:p>
    <w:p>
      <w:pPr>
        <w:pStyle w:val="ListBullet"/>
        <w:jc w:val="both"/>
      </w:pPr>
      <w:commentRangeStart w:id="10"/>
      <w:r>
        <w:rPr>
          <w:rFonts w:ascii="Times New Roman" w:hAnsi="Times New Roman"/>
          <w:b/>
          <w:i w:val="0"/>
          <w:color w:val="000000"/>
          <w:sz w:val="24"/>
        </w:rPr>
        <w:t xml:space="preserve">Placement compensation disclosure: </w:t>
      </w:r>
      <w:r>
        <w:rPr>
          <w:rFonts w:ascii="Times New Roman" w:hAnsi="Times New Roman"/>
          <w:b w:val="0"/>
          <w:i w:val="0"/>
          <w:color w:val="000000"/>
          <w:sz w:val="24"/>
        </w:rPr>
        <w:t>Probably A, follow up</w:t>
      </w:r>
      <w:commentRangeEnd w:id="10"/>
      <w:r>
        <w:rPr>
          <w:rStyle w:val="CommentReference"/>
        </w:rPr>
        <w:commentReference w:id="10"/>
      </w:r>
    </w:p>
    <w:p>
      <w:r>
        <w:rPr>
          <w:rFonts w:ascii="Times New Roman" w:hAnsi="Times New Roman"/>
          <w:b/>
          <w:i w:val="0"/>
          <w:color w:val="000000"/>
          <w:sz w:val="24"/>
        </w:rPr>
        <w:t>PART 2 — OPEN QUESTIONS</w:t>
      </w:r>
    </w:p>
    <w:p>
      <w:pPr>
        <w:jc w:val="both"/>
      </w:pPr>
      <w:r>
        <w:rPr>
          <w:rFonts w:ascii="Times New Roman" w:hAnsi="Times New Roman"/>
          <w:b w:val="0"/>
          <w:i/>
          <w:color w:val="000000"/>
          <w:sz w:val="24"/>
        </w:rPr>
        <w:t>These remain open on our side. Questions that were effectively answered elsewhere have been removed; where an open question connects to a change we made in the term sheet, the connection is noted.</w:t>
      </w:r>
    </w:p>
    <w:p>
      <w:r>
        <w:rPr>
          <w:rFonts w:ascii="Times New Roman" w:hAnsi="Times New Roman"/>
          <w:b/>
          <w:i w:val="0"/>
          <w:color w:val="000000"/>
          <w:sz w:val="24"/>
          <w:u w:val="single"/>
        </w:rPr>
        <w:t>Structure and entities</w:t>
      </w:r>
    </w:p>
    <w:p>
      <w:pPr>
        <w:pStyle w:val="ListBullet"/>
        <w:jc w:val="both"/>
      </w:pPr>
      <w:r>
        <w:rPr>
          <w:rFonts w:ascii="Times New Roman" w:hAnsi="Times New Roman"/>
          <w:b w:val="0"/>
          <w:i w:val="0"/>
          <w:color w:val="000000"/>
          <w:sz w:val="24"/>
        </w:rPr>
        <w:t>Manager entity — conflicting answers recorded: one answer says a single platform Manager LLC across all funds (with the Management LLC approving offering materials); another says no separate management company, with management fees paid to the GPs. Which structure should we use?</w:t>
      </w:r>
    </w:p>
    <w:p>
      <w:pPr>
        <w:pStyle w:val="ListBullet"/>
        <w:jc w:val="both"/>
      </w:pPr>
      <w:r>
        <w:rPr>
          <w:rFonts w:ascii="Times New Roman" w:hAnsi="Times New Roman"/>
          <w:b w:val="0"/>
          <w:i w:val="0"/>
          <w:color w:val="000000"/>
          <w:sz w:val="24"/>
        </w:rPr>
        <w:t>If CarryCo is used, does it own the GP LLC or merely receive carry economics from the GP?</w:t>
      </w:r>
    </w:p>
    <w:p>
      <w:pPr>
        <w:pStyle w:val="ListBullet"/>
        <w:jc w:val="both"/>
      </w:pPr>
      <w:r>
        <w:rPr>
          <w:rFonts w:ascii="Times New Roman" w:hAnsi="Times New Roman"/>
          <w:b w:val="0"/>
          <w:i w:val="0"/>
          <w:color w:val="000000"/>
          <w:sz w:val="24"/>
        </w:rPr>
        <w:t>How are clawback obligations allocated among ultimate carry recipients?</w:t>
      </w:r>
    </w:p>
    <w:p>
      <w:pPr>
        <w:pStyle w:val="ListBullet2"/>
      </w:pPr>
      <w:r>
        <w:rPr>
          <w:rFonts w:ascii="Times New Roman" w:hAnsi="Times New Roman"/>
          <w:b w:val="0"/>
          <w:i/>
          <w:color w:val="000000"/>
          <w:sz w:val="20"/>
        </w:rPr>
        <w:t>Related: we rejected the General Partner Clawback clause in the term sheet — please advise whether that is viable and how clawback should work if not.</w:t>
      </w:r>
    </w:p>
    <w:p>
      <w:pPr>
        <w:pStyle w:val="ListBullet"/>
        <w:jc w:val="both"/>
      </w:pPr>
      <w:r>
        <w:rPr>
          <w:rFonts w:ascii="Times New Roman" w:hAnsi="Times New Roman"/>
          <w:b w:val="0"/>
          <w:i w:val="0"/>
          <w:color w:val="000000"/>
          <w:sz w:val="24"/>
        </w:rPr>
        <w:t>Who has voting control at each level: GP, Manager, Sponsor HoldCo, CarryCo?</w:t>
      </w:r>
    </w:p>
    <w:p>
      <w:pPr>
        <w:pStyle w:val="ListBullet2"/>
      </w:pPr>
      <w:r>
        <w:rPr>
          <w:rFonts w:ascii="Times New Roman" w:hAnsi="Times New Roman"/>
          <w:b w:val="0"/>
          <w:i/>
          <w:color w:val="000000"/>
          <w:sz w:val="20"/>
        </w:rPr>
        <w:t>Partially answered ('we') — needs completion.</w:t>
      </w:r>
    </w:p>
    <w:p>
      <w:r>
        <w:rPr>
          <w:rFonts w:ascii="Times New Roman" w:hAnsi="Times New Roman"/>
          <w:b/>
          <w:i w:val="0"/>
          <w:color w:val="000000"/>
          <w:sz w:val="24"/>
          <w:u w:val="single"/>
        </w:rPr>
        <w:t>Investment mandate</w:t>
      </w:r>
    </w:p>
    <w:p>
      <w:pPr>
        <w:pStyle w:val="ListBullet"/>
        <w:jc w:val="both"/>
      </w:pPr>
      <w:r>
        <w:rPr>
          <w:rFonts w:ascii="Times New Roman" w:hAnsi="Times New Roman"/>
          <w:b w:val="0"/>
          <w:i w:val="0"/>
          <w:color w:val="000000"/>
          <w:sz w:val="24"/>
        </w:rPr>
        <w:t>Are we doing asset-specific funds, or one fund with a generic whitelist?</w:t>
      </w:r>
    </w:p>
    <w:p>
      <w:pPr>
        <w:pStyle w:val="ListBullet2"/>
      </w:pPr>
      <w:r>
        <w:rPr>
          <w:rFonts w:ascii="Times New Roman" w:hAnsi="Times New Roman"/>
          <w:b w:val="0"/>
          <w:i/>
          <w:color w:val="000000"/>
          <w:sz w:val="20"/>
        </w:rPr>
        <w:t>This decision drives the Investment Objectives clause and the whitelist mechanics.</w:t>
      </w:r>
    </w:p>
    <w:p>
      <w:pPr>
        <w:pStyle w:val="ListBullet"/>
        <w:jc w:val="both"/>
      </w:pPr>
      <w:r>
        <w:rPr>
          <w:rFonts w:ascii="Times New Roman" w:hAnsi="Times New Roman"/>
          <w:b w:val="0"/>
          <w:i w:val="0"/>
          <w:color w:val="000000"/>
          <w:sz w:val="24"/>
        </w:rPr>
        <w:t>How should transfer restrictions, ROFRs, company consent, tender rules, and lockups be disclosed?</w:t>
      </w:r>
    </w:p>
    <w:p>
      <w:r>
        <w:rPr>
          <w:rFonts w:ascii="Times New Roman" w:hAnsi="Times New Roman"/>
          <w:b/>
          <w:i w:val="0"/>
          <w:color w:val="000000"/>
          <w:sz w:val="24"/>
          <w:u w:val="single"/>
        </w:rPr>
        <w:t>Capital calls and warehousing</w:t>
      </w:r>
    </w:p>
    <w:p>
      <w:pPr>
        <w:pStyle w:val="ListBullet"/>
        <w:jc w:val="both"/>
      </w:pPr>
      <w:r>
        <w:rPr>
          <w:rFonts w:ascii="Times New Roman" w:hAnsi="Times New Roman"/>
          <w:b w:val="0"/>
          <w:i w:val="0"/>
          <w:color w:val="000000"/>
          <w:sz w:val="24"/>
        </w:rPr>
        <w:t>What is the emergency/special capital call notice period for time-sensitive secondary deals?</w:t>
      </w:r>
    </w:p>
    <w:p>
      <w:pPr>
        <w:pStyle w:val="ListBullet"/>
        <w:jc w:val="both"/>
      </w:pPr>
      <w:r>
        <w:rPr>
          <w:rFonts w:ascii="Times New Roman" w:hAnsi="Times New Roman"/>
          <w:b w:val="0"/>
          <w:i w:val="0"/>
          <w:color w:val="000000"/>
          <w:sz w:val="24"/>
        </w:rPr>
        <w:t>Can the GP call capital for deposits, broken-deal expenses, legal diligence, and reserves?</w:t>
      </w:r>
    </w:p>
    <w:p>
      <w:pPr>
        <w:pStyle w:val="ListBullet"/>
        <w:jc w:val="both"/>
      </w:pPr>
      <w:r>
        <w:rPr>
          <w:rFonts w:ascii="Times New Roman" w:hAnsi="Times New Roman"/>
          <w:b w:val="0"/>
          <w:i w:val="0"/>
          <w:color w:val="000000"/>
          <w:sz w:val="24"/>
        </w:rPr>
        <w:t>What default remedies apply if an LP misses a capital call?</w:t>
      </w:r>
    </w:p>
    <w:p>
      <w:pPr>
        <w:pStyle w:val="ListBullet"/>
        <w:jc w:val="both"/>
      </w:pPr>
      <w:r>
        <w:rPr>
          <w:rFonts w:ascii="Times New Roman" w:hAnsi="Times New Roman"/>
          <w:b w:val="0"/>
          <w:i w:val="0"/>
          <w:color w:val="000000"/>
          <w:sz w:val="24"/>
        </w:rPr>
        <w:t>Can the fund borrow under a bridge facility or subscription line?</w:t>
      </w:r>
    </w:p>
    <w:p>
      <w:pPr>
        <w:pStyle w:val="ListBullet"/>
        <w:jc w:val="both"/>
      </w:pPr>
      <w:r>
        <w:rPr>
          <w:rFonts w:ascii="Times New Roman" w:hAnsi="Times New Roman"/>
          <w:b w:val="0"/>
          <w:i w:val="0"/>
          <w:color w:val="000000"/>
          <w:sz w:val="24"/>
        </w:rPr>
        <w:t>Can the GP or an affiliate advance funds to the fund?</w:t>
      </w:r>
    </w:p>
    <w:p>
      <w:pPr>
        <w:pStyle w:val="ListBullet"/>
        <w:jc w:val="both"/>
      </w:pPr>
      <w:r>
        <w:rPr>
          <w:rFonts w:ascii="Times New Roman" w:hAnsi="Times New Roman"/>
          <w:b w:val="0"/>
          <w:i w:val="0"/>
          <w:color w:val="000000"/>
          <w:sz w:val="24"/>
        </w:rPr>
        <w:t>What approvals are needed for warehoused investments, and how are warehousing costs, interest, legal fees, and conflict disclosures handled?</w:t>
      </w:r>
    </w:p>
    <w:p>
      <w:pPr>
        <w:pStyle w:val="ListBullet2"/>
      </w:pPr>
      <w:r>
        <w:rPr>
          <w:rFonts w:ascii="Times New Roman" w:hAnsi="Times New Roman"/>
          <w:b w:val="0"/>
          <w:i/>
          <w:color w:val="000000"/>
          <w:sz w:val="20"/>
        </w:rPr>
        <w:t>Related: we struck the Warehoused Securities clause because we did not understand it well enough — please walk us through whether we need it.</w:t>
      </w:r>
    </w:p>
    <w:p>
      <w:r>
        <w:rPr>
          <w:rFonts w:ascii="Times New Roman" w:hAnsi="Times New Roman"/>
          <w:b/>
          <w:i w:val="0"/>
          <w:color w:val="000000"/>
          <w:sz w:val="24"/>
          <w:u w:val="single"/>
        </w:rPr>
        <w:t>Buy-side placement / capital formation</w:t>
      </w:r>
    </w:p>
    <w:p>
      <w:pPr>
        <w:pStyle w:val="ListBullet"/>
        <w:jc w:val="both"/>
      </w:pPr>
      <w:r>
        <w:rPr>
          <w:rFonts w:ascii="Times New Roman" w:hAnsi="Times New Roman"/>
          <w:b w:val="0"/>
          <w:i w:val="0"/>
          <w:color w:val="000000"/>
          <w:sz w:val="24"/>
        </w:rPr>
        <w:t>Who can solicit LPs?</w:t>
      </w:r>
    </w:p>
    <w:p>
      <w:pPr>
        <w:pStyle w:val="ListBullet"/>
        <w:jc w:val="both"/>
      </w:pPr>
      <w:r>
        <w:rPr>
          <w:rFonts w:ascii="Times New Roman" w:hAnsi="Times New Roman"/>
          <w:b w:val="0"/>
          <w:i w:val="0"/>
          <w:color w:val="000000"/>
          <w:sz w:val="24"/>
        </w:rPr>
        <w:t>Must any compensated LP placement be through a registered broker-dealer?</w:t>
      </w:r>
    </w:p>
    <w:p>
      <w:pPr>
        <w:pStyle w:val="ListBullet"/>
        <w:jc w:val="both"/>
      </w:pPr>
      <w:r>
        <w:rPr>
          <w:rFonts w:ascii="Times New Roman" w:hAnsi="Times New Roman"/>
          <w:b w:val="0"/>
          <w:i w:val="0"/>
          <w:color w:val="000000"/>
          <w:sz w:val="24"/>
        </w:rPr>
        <w:t>Is placement compensation paid by the Fund, GP, Manager, CarryCo, or an affiliate?</w:t>
      </w:r>
    </w:p>
    <w:p>
      <w:pPr>
        <w:pStyle w:val="ListBullet"/>
        <w:jc w:val="both"/>
      </w:pPr>
      <w:r>
        <w:rPr>
          <w:rFonts w:ascii="Times New Roman" w:hAnsi="Times New Roman"/>
          <w:b w:val="0"/>
          <w:i w:val="0"/>
          <w:color w:val="000000"/>
          <w:sz w:val="24"/>
        </w:rPr>
        <w:t>Is placement compensation treated as a Fund Expense, Manager expense, or GP/carry sharing?</w:t>
      </w:r>
    </w:p>
    <w:p>
      <w:pPr>
        <w:pStyle w:val="ListBullet"/>
        <w:jc w:val="both"/>
      </w:pPr>
      <w:r>
        <w:rPr>
          <w:rFonts w:ascii="Times New Roman" w:hAnsi="Times New Roman"/>
          <w:b w:val="0"/>
          <w:i w:val="0"/>
          <w:color w:val="000000"/>
          <w:sz w:val="24"/>
        </w:rPr>
        <w:t>Will placement parties receive a tail on LPs introduced before termination?</w:t>
      </w:r>
    </w:p>
    <w:p>
      <w:pPr>
        <w:pStyle w:val="ListBullet"/>
        <w:jc w:val="both"/>
      </w:pPr>
      <w:r>
        <w:rPr>
          <w:rFonts w:ascii="Times New Roman" w:hAnsi="Times New Roman"/>
          <w:b w:val="0"/>
          <w:i w:val="0"/>
          <w:color w:val="000000"/>
          <w:sz w:val="24"/>
        </w:rPr>
        <w:t>How will 506(b) relationship rules or 506(c) verification rules be handled?</w:t>
      </w:r>
    </w:p>
    <w:p>
      <w:pPr>
        <w:pStyle w:val="ListBullet2"/>
      </w:pPr>
      <w:r>
        <w:rPr>
          <w:rFonts w:ascii="Times New Roman" w:hAnsi="Times New Roman"/>
          <w:b w:val="0"/>
          <w:i/>
          <w:color w:val="000000"/>
          <w:sz w:val="20"/>
        </w:rPr>
        <w:t>Please cover pros/cons of each path.</w:t>
      </w:r>
    </w:p>
    <w:p>
      <w:r>
        <w:rPr>
          <w:rFonts w:ascii="Times New Roman" w:hAnsi="Times New Roman"/>
          <w:b/>
          <w:i w:val="0"/>
          <w:color w:val="000000"/>
          <w:sz w:val="24"/>
          <w:u w:val="single"/>
        </w:rPr>
        <w:t>Sell-side sourcing / origination</w:t>
      </w:r>
    </w:p>
    <w:p>
      <w:pPr>
        <w:pStyle w:val="ListBullet"/>
        <w:jc w:val="both"/>
      </w:pPr>
      <w:r>
        <w:rPr>
          <w:rFonts w:ascii="Times New Roman" w:hAnsi="Times New Roman"/>
          <w:b w:val="0"/>
          <w:i w:val="0"/>
          <w:color w:val="000000"/>
          <w:sz w:val="24"/>
        </w:rPr>
        <w:t>Who can source secondary opportunities, and who has authority to approve sourced deals?</w:t>
      </w:r>
    </w:p>
    <w:p>
      <w:pPr>
        <w:pStyle w:val="ListBullet"/>
        <w:jc w:val="both"/>
      </w:pPr>
      <w:r>
        <w:rPr>
          <w:rFonts w:ascii="Times New Roman" w:hAnsi="Times New Roman"/>
          <w:b w:val="0"/>
          <w:i w:val="0"/>
          <w:color w:val="000000"/>
          <w:sz w:val="24"/>
        </w:rPr>
        <w:t>Can sourcing parties receive cash fees, deal-by-deal carry, fund carry, or revenue share?</w:t>
      </w:r>
    </w:p>
    <w:p>
      <w:pPr>
        <w:pStyle w:val="ListBullet"/>
        <w:jc w:val="both"/>
      </w:pPr>
      <w:r>
        <w:rPr>
          <w:rFonts w:ascii="Times New Roman" w:hAnsi="Times New Roman"/>
          <w:b w:val="0"/>
          <w:i w:val="0"/>
          <w:color w:val="000000"/>
          <w:sz w:val="24"/>
        </w:rPr>
        <w:t>Can a deal source negotiate terms, or only introduce opportunities? Can a deal source also represent sellers?</w:t>
      </w:r>
    </w:p>
    <w:p>
      <w:pPr>
        <w:pStyle w:val="ListBullet"/>
        <w:jc w:val="both"/>
      </w:pPr>
      <w:r>
        <w:rPr>
          <w:rFonts w:ascii="Times New Roman" w:hAnsi="Times New Roman"/>
          <w:b w:val="0"/>
          <w:i w:val="0"/>
          <w:color w:val="000000"/>
          <w:sz w:val="24"/>
        </w:rPr>
        <w:t>Do deal-source payments create broker-dealer concerns?</w:t>
      </w:r>
    </w:p>
    <w:p>
      <w:pPr>
        <w:pStyle w:val="ListBullet"/>
        <w:jc w:val="both"/>
      </w:pPr>
      <w:r>
        <w:rPr>
          <w:rFonts w:ascii="Times New Roman" w:hAnsi="Times New Roman"/>
          <w:b w:val="0"/>
          <w:i w:val="0"/>
          <w:color w:val="000000"/>
          <w:sz w:val="24"/>
        </w:rPr>
        <w:t>Are sourcing fees Fund Expenses or Manager/GP expenses?</w:t>
      </w:r>
    </w:p>
    <w:p>
      <w:pPr>
        <w:pStyle w:val="ListBullet"/>
        <w:jc w:val="both"/>
      </w:pPr>
      <w:r>
        <w:rPr>
          <w:rFonts w:ascii="Times New Roman" w:hAnsi="Times New Roman"/>
          <w:b w:val="0"/>
          <w:i w:val="0"/>
          <w:color w:val="000000"/>
          <w:sz w:val="24"/>
        </w:rPr>
        <w:t>Are there exclusivity, non-circumvention, or tail periods for sourcing relationships?</w:t>
      </w:r>
    </w:p>
    <w:p>
      <w:pPr>
        <w:pStyle w:val="ListBullet"/>
        <w:jc w:val="both"/>
      </w:pPr>
      <w:r>
        <w:rPr>
          <w:rFonts w:ascii="Times New Roman" w:hAnsi="Times New Roman"/>
          <w:b w:val="0"/>
          <w:i w:val="0"/>
          <w:color w:val="000000"/>
          <w:sz w:val="24"/>
        </w:rPr>
        <w:t>What disclosures are required for affiliated or related-party sourcing?</w:t>
      </w:r>
    </w:p>
    <w:p>
      <w:pPr>
        <w:pStyle w:val="ListBullet"/>
        <w:jc w:val="both"/>
      </w:pPr>
      <w:r>
        <w:rPr>
          <w:rFonts w:ascii="Times New Roman" w:hAnsi="Times New Roman"/>
          <w:b w:val="0"/>
          <w:i w:val="0"/>
          <w:color w:val="000000"/>
          <w:sz w:val="24"/>
        </w:rPr>
        <w:t>How are conflicts handled if a source also participates in another vehicle?</w:t>
      </w:r>
    </w:p>
    <w:p>
      <w:r>
        <w:rPr>
          <w:rFonts w:ascii="Times New Roman" w:hAnsi="Times New Roman"/>
          <w:b/>
          <w:i w:val="0"/>
          <w:color w:val="000000"/>
          <w:sz w:val="24"/>
          <w:u w:val="single"/>
        </w:rPr>
        <w:t>Future funds, SPVs, and allocations</w:t>
      </w:r>
    </w:p>
    <w:p>
      <w:pPr>
        <w:pStyle w:val="ListBullet"/>
        <w:jc w:val="both"/>
      </w:pPr>
      <w:r>
        <w:rPr>
          <w:rFonts w:ascii="Times New Roman" w:hAnsi="Times New Roman"/>
          <w:b w:val="0"/>
          <w:i w:val="0"/>
          <w:color w:val="000000"/>
          <w:sz w:val="24"/>
        </w:rPr>
        <w:t>What carveouts are needed for co-invest vehicles, single-deal SPVs, feeders, blockers, alternative investment vehicles, holding vehicles, and overflow vehicles?</w:t>
      </w:r>
    </w:p>
    <w:p>
      <w:pPr>
        <w:pStyle w:val="ListBullet2"/>
      </w:pPr>
      <w:r>
        <w:rPr>
          <w:rFonts w:ascii="Times New Roman" w:hAnsi="Times New Roman"/>
          <w:b w:val="0"/>
          <w:i/>
          <w:color w:val="000000"/>
          <w:sz w:val="20"/>
        </w:rPr>
        <w:t>Related: we struck the Other Competitive Activity / Successor Fund clause — we do not want a successor-fund restriction. Please advise on implications.</w:t>
      </w:r>
    </w:p>
    <w:p>
      <w:pPr>
        <w:pStyle w:val="ListBullet"/>
        <w:jc w:val="both"/>
      </w:pPr>
      <w:r>
        <w:rPr>
          <w:rFonts w:ascii="Times New Roman" w:hAnsi="Times New Roman"/>
          <w:b w:val="0"/>
          <w:i w:val="0"/>
          <w:color w:val="000000"/>
          <w:sz w:val="24"/>
        </w:rPr>
        <w:t>Can the Manager manage multiple funds at once?</w:t>
      </w:r>
    </w:p>
    <w:p>
      <w:pPr>
        <w:pStyle w:val="ListBullet"/>
        <w:jc w:val="both"/>
      </w:pPr>
      <w:r>
        <w:rPr>
          <w:rFonts w:ascii="Times New Roman" w:hAnsi="Times New Roman"/>
          <w:b w:val="0"/>
          <w:i w:val="0"/>
          <w:color w:val="000000"/>
          <w:sz w:val="24"/>
        </w:rPr>
        <w:t>How are opportunities allocated among Fund I, Fund II, co-invests, parallel funds, SPVs, affiliates, and insiders?</w:t>
      </w:r>
    </w:p>
    <w:p>
      <w:pPr>
        <w:pStyle w:val="ListBullet"/>
        <w:jc w:val="both"/>
      </w:pPr>
      <w:r>
        <w:rPr>
          <w:rFonts w:ascii="Times New Roman" w:hAnsi="Times New Roman"/>
          <w:b w:val="0"/>
          <w:i w:val="0"/>
          <w:color w:val="000000"/>
          <w:sz w:val="24"/>
        </w:rPr>
        <w:t>Can LPs get co-investment rights?</w:t>
      </w:r>
    </w:p>
    <w:p>
      <w:pPr>
        <w:pStyle w:val="ListBullet"/>
        <w:jc w:val="both"/>
      </w:pPr>
      <w:r>
        <w:rPr>
          <w:rFonts w:ascii="Times New Roman" w:hAnsi="Times New Roman"/>
          <w:b w:val="0"/>
          <w:i w:val="0"/>
          <w:color w:val="000000"/>
          <w:sz w:val="24"/>
        </w:rPr>
        <w:t>Can insiders invest personally alongside the fund?</w:t>
      </w:r>
    </w:p>
    <w:p>
      <w:pPr>
        <w:pStyle w:val="ListBullet"/>
        <w:jc w:val="both"/>
      </w:pPr>
      <w:r>
        <w:rPr>
          <w:rFonts w:ascii="Times New Roman" w:hAnsi="Times New Roman"/>
          <w:b w:val="0"/>
          <w:i w:val="0"/>
          <w:color w:val="000000"/>
          <w:sz w:val="24"/>
        </w:rPr>
        <w:t>Can the fund invest through a vehicle that charges its own fees/carry?</w:t>
      </w:r>
    </w:p>
    <w:p>
      <w:pPr>
        <w:pStyle w:val="ListBullet"/>
        <w:jc w:val="both"/>
      </w:pPr>
      <w:r>
        <w:rPr>
          <w:rFonts w:ascii="Times New Roman" w:hAnsi="Times New Roman"/>
          <w:b w:val="0"/>
          <w:i w:val="0"/>
          <w:color w:val="000000"/>
          <w:sz w:val="24"/>
        </w:rPr>
        <w:t>Will LPAC approval be needed for certain conflicts or allocation decisions?</w:t>
      </w:r>
    </w:p>
    <w:p>
      <w:pPr>
        <w:pStyle w:val="ListBullet2"/>
      </w:pPr>
      <w:r>
        <w:rPr>
          <w:rFonts w:ascii="Times New Roman" w:hAnsi="Times New Roman"/>
          <w:b w:val="0"/>
          <w:i/>
          <w:color w:val="000000"/>
          <w:sz w:val="20"/>
        </w:rPr>
        <w:t>Related: we are unsure whether we need an LPAC at all — please advise on what is standard.</w:t>
      </w:r>
    </w:p>
    <w:p>
      <w:r>
        <w:rPr>
          <w:rFonts w:ascii="Times New Roman" w:hAnsi="Times New Roman"/>
          <w:b/>
          <w:i w:val="0"/>
          <w:color w:val="000000"/>
          <w:sz w:val="24"/>
          <w:u w:val="single"/>
        </w:rPr>
        <w:t>Fees and sponsor economics</w:t>
      </w:r>
    </w:p>
    <w:p>
      <w:pPr>
        <w:pStyle w:val="ListBullet"/>
        <w:jc w:val="both"/>
      </w:pPr>
      <w:r>
        <w:rPr>
          <w:rFonts w:ascii="Times New Roman" w:hAnsi="Times New Roman"/>
          <w:b w:val="0"/>
          <w:i w:val="0"/>
          <w:color w:val="000000"/>
          <w:sz w:val="24"/>
        </w:rPr>
        <w:t>What is standard for the maximum management fee?</w:t>
      </w:r>
    </w:p>
    <w:p>
      <w:pPr>
        <w:pStyle w:val="ListBullet2"/>
      </w:pPr>
      <w:r>
        <w:rPr>
          <w:rFonts w:ascii="Times New Roman" w:hAnsi="Times New Roman"/>
          <w:b w:val="0"/>
          <w:i/>
          <w:color w:val="000000"/>
          <w:sz w:val="20"/>
        </w:rPr>
        <w:t>Also: do we need the second part of the Management Fee Offset clause?</w:t>
      </w:r>
    </w:p>
    <w:p>
      <w:pPr>
        <w:pStyle w:val="ListBullet"/>
        <w:jc w:val="both"/>
      </w:pPr>
      <w:r>
        <w:rPr>
          <w:rFonts w:ascii="Times New Roman" w:hAnsi="Times New Roman"/>
          <w:b w:val="0"/>
          <w:i w:val="0"/>
          <w:color w:val="000000"/>
          <w:sz w:val="24"/>
        </w:rPr>
        <w:t>Do we need a GP/sponsor capital commitment at all? Ideally zero.</w:t>
      </w:r>
    </w:p>
    <w:p>
      <w:pPr>
        <w:pStyle w:val="ListBullet2"/>
      </w:pPr>
      <w:r>
        <w:rPr>
          <w:rFonts w:ascii="Times New Roman" w:hAnsi="Times New Roman"/>
          <w:b w:val="0"/>
          <w:i/>
          <w:color w:val="000000"/>
          <w:sz w:val="20"/>
        </w:rPr>
        <w:t>We struck the Sponsor Capital Commitment clause; if some commitment is required, can it be cashless (notes, warehoused securities, or fee waiver)?</w:t>
      </w:r>
    </w:p>
    <w:p>
      <w:r>
        <w:rPr>
          <w:rFonts w:ascii="Times New Roman" w:hAnsi="Times New Roman"/>
          <w:b/>
          <w:i w:val="0"/>
          <w:color w:val="000000"/>
          <w:sz w:val="24"/>
          <w:u w:val="single"/>
        </w:rPr>
        <w:t>Regulatory, compliance, and operations</w:t>
      </w:r>
    </w:p>
    <w:p>
      <w:pPr>
        <w:pStyle w:val="ListBullet"/>
        <w:jc w:val="both"/>
      </w:pPr>
      <w:r>
        <w:rPr>
          <w:rFonts w:ascii="Times New Roman" w:hAnsi="Times New Roman"/>
          <w:b w:val="0"/>
          <w:i w:val="0"/>
          <w:color w:val="000000"/>
          <w:sz w:val="24"/>
        </w:rPr>
        <w:t>Will the manager rely on an investment adviser exemption or register?</w:t>
      </w:r>
    </w:p>
    <w:p>
      <w:pPr>
        <w:pStyle w:val="ListBullet"/>
        <w:jc w:val="both"/>
      </w:pPr>
      <w:r>
        <w:rPr>
          <w:rFonts w:ascii="Times New Roman" w:hAnsi="Times New Roman"/>
          <w:b w:val="0"/>
          <w:i w:val="0"/>
          <w:color w:val="000000"/>
          <w:sz w:val="24"/>
        </w:rPr>
        <w:t>What state-level adviser requirements apply?</w:t>
      </w:r>
    </w:p>
    <w:p>
      <w:pPr>
        <w:pStyle w:val="ListBullet"/>
        <w:jc w:val="both"/>
      </w:pPr>
      <w:r>
        <w:rPr>
          <w:rFonts w:ascii="Times New Roman" w:hAnsi="Times New Roman"/>
          <w:b w:val="0"/>
          <w:i w:val="0"/>
          <w:color w:val="000000"/>
          <w:sz w:val="24"/>
        </w:rPr>
        <w:t>Who handles AML/KYC and bad actor checks?</w:t>
      </w:r>
    </w:p>
    <w:p>
      <w:pPr>
        <w:pStyle w:val="ListBullet"/>
        <w:jc w:val="both"/>
      </w:pPr>
      <w:r>
        <w:rPr>
          <w:rFonts w:ascii="Times New Roman" w:hAnsi="Times New Roman"/>
          <w:b w:val="0"/>
          <w:i w:val="0"/>
          <w:color w:val="000000"/>
          <w:sz w:val="24"/>
        </w:rPr>
        <w:t>Who will be fund administrator?</w:t>
      </w:r>
    </w:p>
    <w:p>
      <w:pPr>
        <w:pStyle w:val="ListBullet"/>
        <w:jc w:val="both"/>
      </w:pPr>
      <w:r>
        <w:rPr>
          <w:rFonts w:ascii="Times New Roman" w:hAnsi="Times New Roman"/>
          <w:b w:val="0"/>
          <w:i w:val="0"/>
          <w:color w:val="000000"/>
          <w:sz w:val="24"/>
        </w:rPr>
        <w:t>Who values private positions and SPV interests?</w:t>
      </w:r>
    </w:p>
    <w:p>
      <w:pPr>
        <w:pStyle w:val="ListBullet"/>
        <w:jc w:val="both"/>
      </w:pPr>
      <w:r>
        <w:rPr>
          <w:rFonts w:ascii="Times New Roman" w:hAnsi="Times New Roman"/>
          <w:b w:val="0"/>
          <w:i w:val="0"/>
          <w:color w:val="000000"/>
          <w:sz w:val="24"/>
        </w:rPr>
        <w:t>What cyber/privacy/data-room procedures are needed?</w:t>
      </w:r>
    </w:p>
    <w:p>
      <w:pPr>
        <w:pStyle w:val="ListBullet"/>
        <w:jc w:val="both"/>
      </w:pPr>
      <w:r>
        <w:rPr>
          <w:rFonts w:ascii="Times New Roman" w:hAnsi="Times New Roman"/>
          <w:b w:val="0"/>
          <w:i w:val="0"/>
          <w:color w:val="000000"/>
          <w:sz w:val="24"/>
        </w:rPr>
        <w:t>What insurance and indemnity coverage should be maintained?</w:t>
      </w:r>
    </w:p>
    <w:p>
      <w:pPr>
        <w:pStyle w:val="ListBullet"/>
        <w:jc w:val="both"/>
      </w:pPr>
      <w:r>
        <w:rPr>
          <w:rFonts w:ascii="Times New Roman" w:hAnsi="Times New Roman"/>
          <w:b w:val="0"/>
          <w:i w:val="0"/>
          <w:color w:val="000000"/>
          <w:sz w:val="24"/>
        </w:rPr>
        <w:t>What records must be kept for placement, sourcing, investment decisions, valuation, and conflicts?</w:t>
      </w:r>
    </w:p>
    <w:p>
      <w:r>
        <w:rPr>
          <w:rFonts w:ascii="Times New Roman" w:hAnsi="Times New Roman"/>
          <w:b/>
          <w:i w:val="0"/>
          <w:color w:val="000000"/>
          <w:sz w:val="24"/>
          <w:u w:val="single"/>
        </w:rPr>
        <w:t>Fund lifecycle, distributions, and tax</w:t>
      </w:r>
    </w:p>
    <w:p>
      <w:pPr>
        <w:pStyle w:val="ListBullet"/>
        <w:jc w:val="both"/>
      </w:pPr>
      <w:r>
        <w:rPr>
          <w:rFonts w:ascii="Times New Roman" w:hAnsi="Times New Roman"/>
          <w:b w:val="0"/>
          <w:i w:val="0"/>
          <w:color w:val="000000"/>
          <w:sz w:val="24"/>
        </w:rPr>
        <w:t>Side letter and MFN policy?</w:t>
      </w:r>
    </w:p>
    <w:p>
      <w:pPr>
        <w:pStyle w:val="ListBullet"/>
        <w:jc w:val="both"/>
      </w:pPr>
      <w:r>
        <w:rPr>
          <w:rFonts w:ascii="Times New Roman" w:hAnsi="Times New Roman"/>
          <w:b w:val="0"/>
          <w:i w:val="0"/>
          <w:color w:val="000000"/>
          <w:sz w:val="24"/>
        </w:rPr>
        <w:t>Subsequent-closing true-up and interest?</w:t>
      </w:r>
    </w:p>
    <w:p>
      <w:pPr>
        <w:pStyle w:val="ListBullet"/>
        <w:jc w:val="both"/>
      </w:pPr>
      <w:r>
        <w:rPr>
          <w:rFonts w:ascii="Times New Roman" w:hAnsi="Times New Roman"/>
          <w:b w:val="0"/>
          <w:i w:val="0"/>
          <w:color w:val="000000"/>
          <w:sz w:val="24"/>
        </w:rPr>
        <w:t>Recycling and reinvestment of proceeds?</w:t>
      </w:r>
    </w:p>
    <w:p>
      <w:pPr>
        <w:pStyle w:val="ListBullet"/>
        <w:jc w:val="both"/>
      </w:pPr>
      <w:r>
        <w:rPr>
          <w:rFonts w:ascii="Times New Roman" w:hAnsi="Times New Roman"/>
          <w:b w:val="0"/>
          <w:i w:val="0"/>
          <w:color w:val="000000"/>
          <w:sz w:val="24"/>
        </w:rPr>
        <w:t>In-kind distributions of non-marketable private shares?</w:t>
      </w:r>
    </w:p>
    <w:p>
      <w:pPr>
        <w:pStyle w:val="ListBullet"/>
        <w:jc w:val="both"/>
      </w:pPr>
      <w:r>
        <w:rPr>
          <w:rFonts w:ascii="Times New Roman" w:hAnsi="Times New Roman"/>
          <w:b w:val="0"/>
          <w:i w:val="0"/>
          <w:color w:val="000000"/>
          <w:sz w:val="24"/>
        </w:rPr>
        <w:t>Tax-exempt and non-U.S. investor accommodations?</w:t>
      </w:r>
    </w:p>
    <w:p>
      <w:r>
        <w:rPr>
          <w:rFonts w:ascii="Times New Roman" w:hAnsi="Times New Roman"/>
          <w:b/>
          <w:i w:val="0"/>
          <w:color w:val="000000"/>
          <w:sz w:val="24"/>
          <w:u w:val="single"/>
        </w:rPr>
        <w:t>Term sheet mark-up (see comments in the resolved draft)</w:t>
      </w:r>
    </w:p>
    <w:p>
      <w:pPr>
        <w:pStyle w:val="ListBullet"/>
        <w:jc w:val="both"/>
      </w:pPr>
      <w:r>
        <w:rPr>
          <w:rFonts w:ascii="Times New Roman" w:hAnsi="Times New Roman"/>
          <w:b w:val="0"/>
          <w:i w:val="0"/>
          <w:color w:val="000000"/>
          <w:sz w:val="24"/>
        </w:rPr>
        <w:t>Investment Limitations: we want the ability to potentially invest the entire fund in one asset — possibly a Schedule A that is just Anthropic and a Schedule B list of companies capped at 20% each. We also want the ability to invest in weaponry and gambling. Please restructure.</w:t>
      </w:r>
    </w:p>
    <w:p>
      <w:pPr>
        <w:pStyle w:val="ListBullet"/>
        <w:jc w:val="both"/>
      </w:pPr>
      <w:r>
        <w:rPr>
          <w:rFonts w:ascii="Times New Roman" w:hAnsi="Times New Roman"/>
          <w:b w:val="0"/>
          <w:i w:val="0"/>
          <w:color w:val="000000"/>
          <w:sz w:val="24"/>
        </w:rPr>
        <w:t>Management clause: rewrite requested (structure depends on the Manager-entity question above).</w:t>
      </w:r>
    </w:p>
    <w:p>
      <w:pPr>
        <w:pStyle w:val="ListBullet"/>
        <w:jc w:val="both"/>
      </w:pPr>
      <w:r>
        <w:rPr>
          <w:rFonts w:ascii="Times New Roman" w:hAnsi="Times New Roman"/>
          <w:b w:val="0"/>
          <w:i w:val="0"/>
          <w:color w:val="000000"/>
          <w:sz w:val="24"/>
        </w:rPr>
        <w:t>Investment Objectives: rewrite requested — strategy language for frontier model development and inference and the associated stack.</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djacent Capital" w:initials="AC" w:date="2026-07-06T23:03:37Z">
    <w:p>
      <w:pPr>
        <w:pStyle w:val="CommentText"/>
      </w:pPr>
      <w:r>
        <w:rPr>
          <w:rStyle w:val="CommentReference"/>
        </w:rPr>
        <w:annotationRef/>
      </w:r>
      <w:r>
        <w:t>Please confirm whether a separate carry company is standard here, or whether carry can simply be split inside the GP LLC operating agreement.</w:t>
      </w:r>
    </w:p>
  </w:comment>
  <w:comment w:id="1" w:author="Adjacent Capital" w:initials="AC" w:date="2026-07-06T23:03:37Z">
    <w:p>
      <w:pPr>
        <w:pStyle w:val="CommentText"/>
      </w:pPr>
      <w:r>
        <w:rPr>
          <w:rStyle w:val="CommentReference"/>
        </w:rPr>
        <w:annotationRef/>
      </w:r>
      <w:r>
        <w:t>Please confirm the 3(c)(7) / all-QP path.</w:t>
      </w:r>
    </w:p>
  </w:comment>
  <w:comment w:id="2" w:author="Adjacent Capital" w:initials="AC" w:date="2026-07-06T23:03:37Z">
    <w:p>
      <w:pPr>
        <w:pStyle w:val="CommentText"/>
      </w:pPr>
      <w:r>
        <w:rPr>
          <w:rStyle w:val="CommentReference"/>
        </w:rPr>
        <w:annotationRef/>
      </w:r>
      <w:r>
        <w:t>ensure this makes sense with lawyer</w:t>
      </w:r>
    </w:p>
  </w:comment>
  <w:comment w:id="3" w:author="Adjacent Capital" w:initials="AC" w:date="2026-07-06T23:03:37Z">
    <w:p>
      <w:pPr>
        <w:pStyle w:val="CommentText"/>
      </w:pPr>
      <w:r>
        <w:rPr>
          <w:rStyle w:val="CommentReference"/>
        </w:rPr>
        <w:annotationRef/>
      </w:r>
      <w:r>
        <w:t>how do we set aside money for this/take it out of the LP pool? Can we bake it into an all in price for the asset?</w:t>
      </w:r>
    </w:p>
  </w:comment>
  <w:comment w:id="4" w:author="Adjacent Capital" w:initials="AC" w:date="2026-07-06T23:03:37Z">
    <w:p>
      <w:pPr>
        <w:pStyle w:val="CommentText"/>
      </w:pPr>
      <w:r>
        <w:rPr>
          <w:rStyle w:val="CommentReference"/>
        </w:rPr>
        <w:annotationRef/>
      </w:r>
      <w:r>
        <w:t>see if my language is ok</w:t>
      </w:r>
    </w:p>
  </w:comment>
  <w:comment w:id="5" w:author="Adjacent Capital" w:initials="AC" w:date="2026-07-06T23:03:37Z">
    <w:p>
      <w:pPr>
        <w:pStyle w:val="CommentText"/>
      </w:pPr>
      <w:r>
        <w:rPr>
          <w:rStyle w:val="CommentReference"/>
        </w:rPr>
        <w:annotationRef/>
      </w:r>
      <w:r>
        <w:t>does this introduce any legal issues</w:t>
      </w:r>
    </w:p>
  </w:comment>
  <w:comment w:id="6" w:author="Adjacent Capital" w:initials="AC" w:date="2026-07-06T23:03:37Z">
    <w:p>
      <w:pPr>
        <w:pStyle w:val="CommentText"/>
      </w:pPr>
      <w:r>
        <w:rPr>
          <w:rStyle w:val="CommentReference"/>
        </w:rPr>
        <w:annotationRef/>
      </w:r>
      <w:r>
        <w:t>Recorded as a partial answer — please confirm the intended follow-on mechanics.</w:t>
      </w:r>
    </w:p>
  </w:comment>
  <w:comment w:id="7" w:author="Adjacent Capital" w:initials="AC" w:date="2026-07-06T23:03:37Z">
    <w:p>
      <w:pPr>
        <w:pStyle w:val="CommentText"/>
      </w:pPr>
      <w:r>
        <w:rPr>
          <w:rStyle w:val="CommentReference"/>
        </w:rPr>
        <w:annotationRef/>
      </w:r>
      <w:r>
        <w:t>follow up on standard practices here/thanasi</w:t>
      </w:r>
    </w:p>
  </w:comment>
  <w:comment w:id="8" w:author="Adjacent Capital" w:initials="AC" w:date="2026-07-06T23:03:37Z">
    <w:p>
      <w:pPr>
        <w:pStyle w:val="CommentText"/>
      </w:pPr>
      <w:r>
        <w:rPr>
          <w:rStyle w:val="CommentReference"/>
        </w:rPr>
        <w:annotationRef/>
      </w:r>
      <w:r>
        <w:t>Open follow-up: can LP placement be paid out of management fees, and what does the structure look like?</w:t>
      </w:r>
    </w:p>
  </w:comment>
  <w:comment w:id="9" w:author="Adjacent Capital" w:initials="AC" w:date="2026-07-06T23:03:37Z">
    <w:p>
      <w:pPr>
        <w:pStyle w:val="CommentText"/>
      </w:pPr>
      <w:r>
        <w:rPr>
          <w:rStyle w:val="CommentReference"/>
        </w:rPr>
        <w:annotationRef/>
      </w:r>
      <w:r>
        <w:t>Do we need this language at all?</w:t>
      </w:r>
    </w:p>
  </w:comment>
  <w:comment w:id="10" w:author="Adjacent Capital" w:initials="AC" w:date="2026-07-06T23:03:37Z">
    <w:p>
      <w:pPr>
        <w:pStyle w:val="CommentText"/>
      </w:pPr>
      <w:r>
        <w:rPr>
          <w:rStyle w:val="CommentReference"/>
        </w:rPr>
        <w:annotationRef/>
      </w:r>
      <w:r>
        <w:t>Please advise on standard practice for disclosing placement compensation.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