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ADJACENT CAPITAL, LP</w:t>
      </w: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FUND FORMATION — DECISIONS AND OPEN QUESTIONS</w:t>
      </w: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July 06, 2026</w:t>
      </w:r>
    </w:p>
    <w:p>
      <w:pPr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Part 1 summarizes the decisions and working positions we have taken; margin comments flag the points where we would like your confirmation or advice. Part 2 collects the questions that remain open on our side. Clause-specific requests (deletions, rewrites, and drafting questions) are marked as comments in the companion document, “Adjacent Capital — Term Sheet (Resolved Draft),” and are not repeated here.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PART 1 — DECISIONS AND WORKING POSITIONS</w:t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Fund and entities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Fund. </w:t>
      </w:r>
      <w:r>
        <w:rPr>
          <w:rFonts w:ascii="Times New Roman" w:hAnsi="Times New Roman"/>
          <w:b w:val="0"/>
          <w:i w:val="0"/>
          <w:color w:val="000000"/>
          <w:sz w:val="24"/>
        </w:rPr>
        <w:t>Adjacent Capital, LP, a Delaware limited partnership.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General Partner. </w:t>
      </w:r>
      <w:r>
        <w:rPr>
          <w:rFonts w:ascii="Times New Roman" w:hAnsi="Times New Roman"/>
          <w:b w:val="0"/>
          <w:i w:val="0"/>
          <w:color w:val="000000"/>
          <w:sz w:val="24"/>
        </w:rPr>
        <w:t>A fund-specific GP entity for each fund.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Sponsor HoldCo. </w:t>
      </w:r>
      <w:r>
        <w:rPr>
          <w:rFonts w:ascii="Times New Roman" w:hAnsi="Times New Roman"/>
          <w:b w:val="0"/>
          <w:i w:val="0"/>
          <w:color w:val="000000"/>
          <w:sz w:val="24"/>
        </w:rPr>
        <w:t>Yes — a sponsor holding company will sit above the Manager and GP entities.</w:t>
      </w:r>
    </w:p>
    <w:p>
      <w:pPr>
        <w:pStyle w:val="ListBullet"/>
        <w:jc w:val="both"/>
      </w:pPr>
      <w:commentRangeStart w:id="0"/>
      <w:r>
        <w:rPr>
          <w:rFonts w:ascii="Times New Roman" w:hAnsi="Times New Roman"/>
          <w:b/>
          <w:i w:val="0"/>
          <w:color w:val="000000"/>
          <w:sz w:val="24"/>
        </w:rPr>
        <w:t xml:space="preserve">Carry vehicle. </w:t>
      </w:r>
      <w:r>
        <w:rPr>
          <w:rFonts w:ascii="Times New Roman" w:hAnsi="Times New Roman"/>
          <w:b w:val="0"/>
          <w:i w:val="0"/>
          <w:color w:val="000000"/>
          <w:sz w:val="24"/>
        </w:rPr>
        <w:t>A separate CarryCo will receive the carried interest.</w:t>
      </w:r>
      <w:commentRangeEnd w:id="0"/>
      <w:r>
        <w:rPr>
          <w:rStyle w:val="CommentReference"/>
        </w:rPr>
        <w:commentReference w:id="0"/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Non-voting carry participants. </w:t>
      </w:r>
      <w:r>
        <w:rPr>
          <w:rFonts w:ascii="Times New Roman" w:hAnsi="Times New Roman"/>
          <w:b w:val="0"/>
          <w:i w:val="0"/>
          <w:color w:val="000000"/>
          <w:sz w:val="24"/>
        </w:rPr>
        <w:t>We want the ability to grant carry to non-voting economic participants (for example, someone who helps bring in capital) without giving them governance rights.</w:t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Regulatory and offering path</w:t>
      </w:r>
    </w:p>
    <w:p>
      <w:pPr>
        <w:pStyle w:val="ListBullet"/>
        <w:jc w:val="both"/>
      </w:pPr>
      <w:commentRangeStart w:id="1"/>
      <w:r>
        <w:rPr>
          <w:rFonts w:ascii="Times New Roman" w:hAnsi="Times New Roman"/>
          <w:b/>
          <w:i w:val="0"/>
          <w:color w:val="000000"/>
          <w:sz w:val="24"/>
        </w:rPr>
        <w:t xml:space="preserve">Fund exemption. </w:t>
      </w:r>
      <w:r>
        <w:rPr>
          <w:rFonts w:ascii="Times New Roman" w:hAnsi="Times New Roman"/>
          <w:b w:val="0"/>
          <w:i w:val="0"/>
          <w:color w:val="000000"/>
          <w:sz w:val="24"/>
        </w:rPr>
        <w:t>Leaning toward Section 3(c)(7) with all investors as qualified purchasers.</w:t>
      </w:r>
      <w:commentRangeEnd w:id="1"/>
      <w:r>
        <w:rPr>
          <w:rStyle w:val="CommentReference"/>
        </w:rPr>
        <w:commentReference w:id="1"/>
      </w:r>
    </w:p>
    <w:p>
      <w:pPr>
        <w:pStyle w:val="ListBullet"/>
        <w:jc w:val="both"/>
      </w:pPr>
      <w:commentRangeStart w:id="2"/>
      <w:r>
        <w:rPr>
          <w:rFonts w:ascii="Times New Roman" w:hAnsi="Times New Roman"/>
          <w:b/>
          <w:i w:val="0"/>
          <w:color w:val="000000"/>
          <w:sz w:val="24"/>
        </w:rPr>
        <w:t xml:space="preserve">Offering exemption. </w:t>
      </w:r>
      <w:r>
        <w:rPr>
          <w:rFonts w:ascii="Times New Roman" w:hAnsi="Times New Roman"/>
          <w:b w:val="0"/>
          <w:i w:val="0"/>
          <w:color w:val="000000"/>
          <w:sz w:val="24"/>
        </w:rPr>
        <w:t>Rule 506(b).</w:t>
      </w:r>
      <w:commentRangeEnd w:id="2"/>
      <w:r>
        <w:rPr>
          <w:rStyle w:val="CommentReference"/>
        </w:rPr>
        <w:commentReference w:id="2"/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Economics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Fund size. </w:t>
      </w:r>
      <w:r>
        <w:rPr>
          <w:rFonts w:ascii="Times New Roman" w:hAnsi="Times New Roman"/>
          <w:b w:val="0"/>
          <w:i w:val="0"/>
          <w:color w:val="000000"/>
          <w:sz w:val="24"/>
        </w:rPr>
        <w:t>Target of approximately $100 million; hard cap of $500 million.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Management fee. </w:t>
      </w:r>
      <w:r>
        <w:rPr>
          <w:rFonts w:ascii="Times New Roman" w:hAnsi="Times New Roman"/>
          <w:b w:val="0"/>
          <w:i w:val="0"/>
          <w:color w:val="000000"/>
          <w:sz w:val="24"/>
        </w:rPr>
        <w:t>2.0% per annum on commitments, stepping down after the investment period (as elected in the term sheet).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Waterfall. </w:t>
      </w:r>
      <w:r>
        <w:rPr>
          <w:rFonts w:ascii="Times New Roman" w:hAnsi="Times New Roman"/>
          <w:b w:val="0"/>
          <w:i w:val="0"/>
          <w:color w:val="000000"/>
          <w:sz w:val="24"/>
        </w:rPr>
        <w:t>European (whole-of-fund) waterfall with a full GP catch-up.</w:t>
      </w:r>
    </w:p>
    <w:p>
      <w:pPr>
        <w:pStyle w:val="ListBullet"/>
        <w:jc w:val="both"/>
      </w:pPr>
      <w:commentRangeStart w:id="3"/>
      <w:r>
        <w:rPr>
          <w:rFonts w:ascii="Times New Roman" w:hAnsi="Times New Roman"/>
          <w:b/>
          <w:i w:val="0"/>
          <w:color w:val="000000"/>
          <w:sz w:val="24"/>
        </w:rPr>
        <w:t xml:space="preserve">Placement fees. </w:t>
      </w:r>
      <w:r>
        <w:rPr>
          <w:rFonts w:ascii="Times New Roman" w:hAnsi="Times New Roman"/>
          <w:b w:val="0"/>
          <w:i w:val="0"/>
          <w:color w:val="000000"/>
          <w:sz w:val="24"/>
        </w:rPr>
        <w:t>Placement costs should ideally be borne by the LPs rather than the sponsor.</w:t>
      </w:r>
      <w:commentRangeEnd w:id="3"/>
      <w:r>
        <w:rPr>
          <w:rStyle w:val="CommentReference"/>
        </w:rPr>
        <w:commentReference w:id="3"/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Investment mandate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Whitelist approach. </w:t>
      </w:r>
      <w:r>
        <w:rPr>
          <w:rFonts w:ascii="Times New Roman" w:hAnsi="Times New Roman"/>
          <w:b w:val="0"/>
          <w:i w:val="0"/>
          <w:color w:val="000000"/>
          <w:sz w:val="24"/>
        </w:rPr>
        <w:t>The fund will invest in a Schedule A whitelist of named late-stage private technology companies.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Changing the whitelist. </w:t>
      </w:r>
      <w:r>
        <w:rPr>
          <w:rFonts w:ascii="Times New Roman" w:hAnsi="Times New Roman"/>
          <w:b w:val="0"/>
          <w:i w:val="0"/>
          <w:color w:val="000000"/>
          <w:sz w:val="24"/>
        </w:rPr>
        <w:t>Additions and removals will require limited partner consent; we need a workable structure for this.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Outside the whitelist. </w:t>
      </w:r>
      <w:r>
        <w:rPr>
          <w:rFonts w:ascii="Times New Roman" w:hAnsi="Times New Roman"/>
          <w:b w:val="0"/>
          <w:i w:val="0"/>
          <w:color w:val="000000"/>
          <w:sz w:val="24"/>
        </w:rPr>
        <w:t>Investments outside the whitelist will be permitted with LPAC or majority-LP approval.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Instruments. </w:t>
      </w:r>
      <w:r>
        <w:rPr>
          <w:rFonts w:ascii="Times New Roman" w:hAnsi="Times New Roman"/>
          <w:b w:val="0"/>
          <w:i w:val="0"/>
          <w:color w:val="000000"/>
          <w:sz w:val="24"/>
        </w:rPr>
        <w:t>The fund may invest through SPV interests, tender vehicles, forward contracts, contractual rights, and other secondary-access structures.</w:t>
      </w:r>
    </w:p>
    <w:p>
      <w:pPr>
        <w:pStyle w:val="ListBullet"/>
        <w:jc w:val="both"/>
      </w:pPr>
      <w:commentRangeStart w:id="4"/>
      <w:r>
        <w:rPr>
          <w:rFonts w:ascii="Times New Roman" w:hAnsi="Times New Roman"/>
          <w:b/>
          <w:i w:val="0"/>
          <w:color w:val="000000"/>
          <w:sz w:val="24"/>
        </w:rPr>
        <w:t xml:space="preserve">Non-U.S. exposure. </w:t>
      </w:r>
      <w:r>
        <w:rPr>
          <w:rFonts w:ascii="Times New Roman" w:hAnsi="Times New Roman"/>
          <w:b w:val="0"/>
          <w:i w:val="0"/>
          <w:color w:val="000000"/>
          <w:sz w:val="24"/>
        </w:rPr>
        <w:t>The fund should be able to invest in non-U.S. companies and non-U.S. holding structures.</w:t>
      </w:r>
      <w:commentRangeEnd w:id="4"/>
      <w:r>
        <w:rPr>
          <w:rStyle w:val="CommentReference"/>
        </w:rPr>
        <w:commentReference w:id="4"/>
      </w:r>
    </w:p>
    <w:p>
      <w:pPr>
        <w:pStyle w:val="ListBullet"/>
        <w:jc w:val="both"/>
      </w:pPr>
      <w:commentRangeStart w:id="5"/>
      <w:r>
        <w:rPr>
          <w:rFonts w:ascii="Times New Roman" w:hAnsi="Times New Roman"/>
          <w:b/>
          <w:i w:val="0"/>
          <w:color w:val="000000"/>
          <w:sz w:val="24"/>
        </w:rPr>
        <w:t xml:space="preserve">Follow-ons. </w:t>
      </w:r>
      <w:r>
        <w:rPr>
          <w:rFonts w:ascii="Times New Roman" w:hAnsi="Times New Roman"/>
          <w:b w:val="0"/>
          <w:i w:val="0"/>
          <w:color w:val="000000"/>
          <w:sz w:val="24"/>
        </w:rPr>
        <w:t>Follow-on investments after the investment period should be permitted through the fifth anniversary of the initial closing with majority-in-interest consent.</w:t>
      </w:r>
      <w:commentRangeEnd w:id="5"/>
      <w:r>
        <w:rPr>
          <w:rStyle w:val="CommentReference"/>
        </w:rPr>
        <w:commentReference w:id="5"/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Capital calls</w:t>
      </w:r>
    </w:p>
    <w:p>
      <w:pPr>
        <w:pStyle w:val="ListBullet"/>
        <w:jc w:val="both"/>
      </w:pPr>
      <w:commentRangeStart w:id="6"/>
      <w:r>
        <w:rPr>
          <w:rFonts w:ascii="Times New Roman" w:hAnsi="Times New Roman"/>
          <w:b/>
          <w:i w:val="0"/>
          <w:color w:val="000000"/>
          <w:sz w:val="24"/>
        </w:rPr>
        <w:t xml:space="preserve">Notice period. </w:t>
      </w:r>
      <w:r>
        <w:rPr>
          <w:rFonts w:ascii="Times New Roman" w:hAnsi="Times New Roman"/>
          <w:b w:val="0"/>
          <w:i w:val="0"/>
          <w:color w:val="000000"/>
          <w:sz w:val="24"/>
        </w:rPr>
        <w:t>Capital call notice of 3–5 business days, to support time-sensitive secondary purchases.</w:t>
      </w:r>
      <w:commentRangeEnd w:id="6"/>
      <w:r>
        <w:rPr>
          <w:rStyle w:val="CommentReference"/>
        </w:rPr>
        <w:commentReference w:id="6"/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Placement and sourcing</w:t>
      </w:r>
    </w:p>
    <w:p>
      <w:pPr>
        <w:pStyle w:val="ListBullet"/>
        <w:jc w:val="both"/>
      </w:pPr>
      <w:commentRangeStart w:id="7"/>
      <w:r>
        <w:rPr>
          <w:rFonts w:ascii="Times New Roman" w:hAnsi="Times New Roman"/>
          <w:b/>
          <w:i w:val="0"/>
          <w:color w:val="000000"/>
          <w:sz w:val="24"/>
        </w:rPr>
        <w:t xml:space="preserve">Placement compensation. </w:t>
      </w:r>
      <w:r>
        <w:rPr>
          <w:rFonts w:ascii="Times New Roman" w:hAnsi="Times New Roman"/>
          <w:b w:val="0"/>
          <w:i w:val="0"/>
          <w:color w:val="000000"/>
          <w:sz w:val="24"/>
        </w:rPr>
        <w:t>We need the ability to compensate people for LP placement and for deal sourcing, potentially including carried interest.</w:t>
      </w:r>
      <w:commentRangeEnd w:id="7"/>
      <w:r>
        <w:rPr>
          <w:rStyle w:val="CommentReference"/>
        </w:rPr>
        <w:commentReference w:id="7"/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Finders. </w:t>
      </w:r>
      <w:r>
        <w:rPr>
          <w:rFonts w:ascii="Times New Roman" w:hAnsi="Times New Roman"/>
          <w:b w:val="0"/>
          <w:i w:val="0"/>
          <w:color w:val="000000"/>
          <w:sz w:val="24"/>
        </w:rPr>
        <w:t>We would like to be able to use non-broker-dealer finders and consultants, ideally with carry as a component of compensation.</w:t>
      </w:r>
    </w:p>
    <w:p>
      <w:pPr>
        <w:pStyle w:val="ListBullet"/>
        <w:jc w:val="both"/>
      </w:pPr>
      <w:commentRangeStart w:id="8"/>
      <w:r>
        <w:rPr>
          <w:rFonts w:ascii="Times New Roman" w:hAnsi="Times New Roman"/>
          <w:b/>
          <w:i w:val="0"/>
          <w:color w:val="000000"/>
          <w:sz w:val="24"/>
        </w:rPr>
        <w:t xml:space="preserve">Sourcing arrangements. </w:t>
      </w:r>
      <w:r>
        <w:rPr>
          <w:rFonts w:ascii="Times New Roman" w:hAnsi="Times New Roman"/>
          <w:b w:val="0"/>
          <w:i w:val="0"/>
          <w:color w:val="000000"/>
          <w:sz w:val="24"/>
        </w:rPr>
        <w:t>We have proposed language permitting the Manager, GP, or affiliates to enter into sourcing, origination, consulting, brokerage, referral, or strategic relationship agreements in connection with investments.</w:t>
      </w:r>
      <w:commentRangeEnd w:id="8"/>
      <w:r>
        <w:rPr>
          <w:rStyle w:val="CommentReference"/>
        </w:rPr>
        <w:commentReference w:id="8"/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Offering materials. </w:t>
      </w:r>
      <w:r>
        <w:rPr>
          <w:rFonts w:ascii="Times New Roman" w:hAnsi="Times New Roman"/>
          <w:b w:val="0"/>
          <w:i w:val="0"/>
          <w:color w:val="000000"/>
          <w:sz w:val="24"/>
        </w:rPr>
        <w:t>Offering materials and investor communications will be approved by the management entity.</w:t>
      </w:r>
    </w:p>
    <w:p>
      <w:pPr>
        <w:pStyle w:val="ListBullet"/>
        <w:jc w:val="both"/>
      </w:pPr>
      <w:commentRangeStart w:id="9"/>
      <w:r>
        <w:rPr>
          <w:rFonts w:ascii="Times New Roman" w:hAnsi="Times New Roman"/>
          <w:b/>
          <w:i w:val="0"/>
          <w:color w:val="000000"/>
          <w:sz w:val="24"/>
        </w:rPr>
        <w:t xml:space="preserve">Disclosure. </w:t>
      </w:r>
      <w:r>
        <w:rPr>
          <w:rFonts w:ascii="Times New Roman" w:hAnsi="Times New Roman"/>
          <w:b w:val="0"/>
          <w:i w:val="0"/>
          <w:color w:val="000000"/>
          <w:sz w:val="24"/>
        </w:rPr>
        <w:t>We expect to disclose placement compensation to investors.</w:t>
      </w:r>
      <w:commentRangeEnd w:id="9"/>
      <w:r>
        <w:rPr>
          <w:rStyle w:val="CommentReference"/>
        </w:rPr>
        <w:commentReference w:id="9"/>
      </w:r>
    </w:p>
    <w:p>
      <w:r>
        <w:rPr>
          <w:rFonts w:ascii="Times New Roman" w:hAnsi="Times New Roman"/>
          <w:b/>
          <w:i w:val="0"/>
          <w:color w:val="000000"/>
          <w:sz w:val="24"/>
        </w:rPr>
        <w:t>PART 2 — OPEN QUESTIONS</w:t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Management entity: we have gone back and forth between a single platform Manager LLC across all funds and having no separate management company at all, with management fees paid directly to the GP. What are the trade-offs, and what do you recommend for our situation?</w:t>
      </w:r>
    </w:p>
    <w:p>
      <w:pPr>
        <w:pStyle w:val="ListBullet2"/>
      </w:pPr>
      <w:r>
        <w:rPr>
          <w:rFonts w:ascii="Times New Roman" w:hAnsi="Times New Roman"/>
          <w:b w:val="0"/>
          <w:i/>
          <w:color w:val="000000"/>
          <w:sz w:val="20"/>
        </w:rPr>
        <w:t>This decision also drives the redraft of the Management clause in the term sheet.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If we use a CarryCo, should it own the GP LLC, or merely receive carry economics from the GP?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We still need to finalize voting control at each level (GP, Manager, Sponsor HoldCo, CarryCo). Guidance on typical control structures would be helpful.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Are we better served by asset-specific funds (one fund per company) or a single fund with the whitelist mandate?</w:t>
      </w:r>
    </w:p>
    <w:p>
      <w:pPr>
        <w:pStyle w:val="ListBullet2"/>
      </w:pPr>
      <w:r>
        <w:rPr>
          <w:rFonts w:ascii="Times New Roman" w:hAnsi="Times New Roman"/>
          <w:b w:val="0"/>
          <w:i/>
          <w:color w:val="000000"/>
          <w:sz w:val="20"/>
        </w:rPr>
        <w:t>This drives the Investment Objectives clause and the whitelist mechanics.</w:t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Capital calls and defaults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What emergency or special capital call notice period is available for time-sensitive secondary deals?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Can the GP call capital for deposits, broken-deal expenses, legal diligence, and reserves?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What default remedies should apply if an LP misses a capital call?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Can the fund borrow under a bridge facility or subscription line, and can the GP or an affiliate advance funds to the fund?</w:t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Placement (buy-side)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Who may solicit LPs, and must any compensated LP placement run through a registered broker-dealer?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Should placement compensation be paid by the Fund, the GP, the Manager, CarryCo, or an affiliate — and is it treated as a Fund Expense, a Manager expense, or GP/carry sharing?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Will placement parties receive a tail on LPs they introduced before termination of the arrangement?</w:t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Sourcing (sell-side)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Who may source secondary opportunities, and who has authority to approve sourced deals?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What forms of compensation can deal sources receive (cash fees, deal-by-deal carry, fund carry, revenue share), and do such payments raise broker-dealer concerns?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Can a deal source negotiate terms or only make introductions — and can a deal source also represent the seller?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Are sourcing fees Fund Expenses or Manager/GP expenses?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What exclusivity, non-circumvention, or tail protections are standard for sourcing relationships, and what disclosures are required for affiliated or related-party sourcing?</w:t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Future funds, SPVs, and allocations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What carveouts do we need for co-invest vehicles, single-deal SPVs, feeders, blockers, alternative investment vehicles, holding vehicles, and overflow vehicles?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Can the Manager run multiple funds at once, and how should investment opportunities be allocated among Fund I, later funds, co-invests, parallel vehicles, SPVs, affiliates, and insiders?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Can LPs receive co-investment rights, and can insiders invest personally alongside the fund?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Can the fund invest through a vehicle that charges its own fees or carry?</w:t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Regulatory, compliance, and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Will the Manager rely on an investment adviser exemption or register, and what state-level adviser requirements apply?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Who should handle AML/KYC and bad-actor checks, and who will serve as fund administrator?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Who values private positions and SPV interests?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What insurance and indemnity coverage should be maintained, and what records must we keep for placement, sourcing, investment decisions, valuation, and conflicts?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How should transfer restrictions, ROFRs, company consents, tender rules, and lockups be disclosed to investors?</w:t>
      </w:r>
    </w:p>
    <w:p>
      <w:r>
        <w:rPr>
          <w:rFonts w:ascii="Times New Roman" w:hAnsi="Times New Roman"/>
          <w:b/>
          <w:i w:val="0"/>
          <w:color w:val="000000"/>
          <w:sz w:val="24"/>
          <w:u w:val="single"/>
        </w:rPr>
        <w:t>Fund lifecycle, distributions, and tax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What should our side letter and MFN policy be?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How should subsequent-closing true-ups and interest work?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What recycling and reinvestment of proceeds should be permitted?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How should in-kind distributions of non-marketable private shares be handled?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What accommodations do tax-exempt and non-U.S. investors need?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Please confirm this is the standard approach, or whether carry can simply be allocated inside the GP LLC operating agreement without a separate entity.</w:t>
      </w:r>
    </w:p>
  </w:comment>
  <w:comment w:id="1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Please confirm this path works for our expected investor base.</w:t>
      </w:r>
    </w:p>
  </w:comment>
  <w:comment w:id="2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Please confirm, and give us the practical pros and cons of 506(b) relationship rules versus 506(c) verification.</w:t>
      </w:r>
    </w:p>
  </w:comment>
  <w:comment w:id="3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How is this best structured — can it be set aside from the LP pool or baked into an all-in price for the asset?</w:t>
      </w:r>
    </w:p>
  </w:comment>
  <w:comment w:id="4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Does this raise legal or tax issues we should plan for?</w:t>
      </w:r>
    </w:p>
  </w:comment>
  <w:comment w:id="5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Please confirm the mechanics here reflect what is standard.</w:t>
      </w:r>
    </w:p>
  </w:comment>
  <w:comment w:id="6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Please confirm this is workable and what is standard.</w:t>
      </w:r>
    </w:p>
  </w:comment>
  <w:comment w:id="7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Can LP placement be paid out of management fees, and what should the structure look like?</w:t>
      </w:r>
    </w:p>
  </w:comment>
  <w:comment w:id="8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Is this language needed, and is it drafted correctly?</w:t>
      </w:r>
    </w:p>
  </w:comment>
  <w:comment w:id="9" w:author="Adjacent Capital" w:initials="AC" w:date="2026-07-07T02:35:02Z">
    <w:p>
      <w:pPr>
        <w:pStyle w:val="CommentText"/>
      </w:pPr>
      <w:r>
        <w:rPr>
          <w:rStyle w:val="CommentReference"/>
        </w:rPr>
        <w:annotationRef/>
      </w:r>
      <w:r>
        <w:t>Please advise on the standard scope and placement of that disclosure.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