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Blind Pool Fund Structuring</w:t>
      </w:r>
    </w:p>
    <w:p>
      <w:pPr>
        <w:jc w:val="center"/>
      </w:pPr>
      <w:r>
        <w:rPr>
          <w:i/>
          <w:color w:val="595959"/>
          <w:sz w:val="26"/>
        </w:rPr>
        <w:t>Additional Documents, Open Questions, and Term Sheet Change Requests</w:t>
      </w:r>
    </w:p>
    <w:p>
      <w:pPr>
        <w:jc w:val="center"/>
      </w:pPr>
      <w:r>
        <w:rPr>
          <w:color w:val="595959"/>
          <w:sz w:val="18"/>
        </w:rPr>
        <w:t>Prepared: July 03, 2026</w:t>
      </w:r>
    </w:p>
    <w:tbl>
      <w:tblPr>
        <w:tblW w:type="auto" w:w="0"/>
        <w:jc w:val="center"/>
        <w:tblLook w:firstColumn="1" w:firstRow="1" w:lastColumn="0" w:lastRow="0" w:noHBand="0" w:noVBand="1" w:val="04A0"/>
      </w:tblPr>
      <w:tblGrid>
        <w:gridCol w:w="10224"/>
      </w:tblGrid>
      <w:tr>
        <w:tc>
          <w:tcPr>
            <w:tcW w:type="dxa" w:w="10224"/>
            <w:shd w:fill="EAF2F8"/>
            <w:tcBorders>
              <w:top w:val="single" w:sz="8" w:space="0" w:color="2F5597"/>
              <w:left w:val="single" w:sz="8" w:space="0" w:color="2F5597"/>
              <w:bottom w:val="single" w:sz="8" w:space="0" w:color="2F5597"/>
              <w:right w:val="single" w:sz="8" w:space="0" w:color="2F5597"/>
            </w:tcBorders>
          </w:tcPr>
          <w:p>
            <w:r>
              <w:rPr>
                <w:b/>
                <w:color w:val="2F5597"/>
                <w:sz w:val="20"/>
              </w:rPr>
              <w:t>Purpose</w:t>
            </w:r>
          </w:p>
          <w:p>
            <w:pPr>
              <w:spacing w:after="0"/>
            </w:pPr>
            <w:r>
              <w:rPr>
                <w:sz w:val="18"/>
              </w:rPr>
              <w:t>This document converts the Orrick fund term sheet review into a working checklist for counsel. It focuses on a generic blind-pool fund for late-stage private technology secondaries, with flexibility for buy-side placement relationships, sell-side sourcing relationships, conditional carry or incentive arrangements, fast capital calls, warehousing, and investment through non-standard secondary vehicles.</w:t>
            </w:r>
          </w:p>
        </w:tc>
      </w:tr>
    </w:tbl>
    <w:p>
      <w:pPr>
        <w:pStyle w:val="Heading1"/>
      </w:pPr>
      <w:r>
        <w:t>Executive Summary</w:t>
      </w:r>
    </w:p>
    <w:p>
      <w:pPr>
        <w:pStyle w:val="ListBullet"/>
      </w:pPr>
      <w:r>
        <w:rPr>
          <w:sz w:val="20"/>
        </w:rPr>
        <w:t>The Orrick form is a useful baseline for a Delaware LP private fund with a General Partner, optional Management Company, capital commitments, capital calls, management fees, carry, LPAC, and additional vehicles.</w:t>
      </w:r>
    </w:p>
    <w:p>
      <w:pPr>
        <w:pStyle w:val="ListBullet"/>
      </w:pPr>
      <w:r>
        <w:rPr>
          <w:sz w:val="20"/>
        </w:rPr>
        <w:t>The main customization need is not the existence of a basic fund skeleton; it is building enough flexibility for secondary-market mechanics: fast allocations, SPVs, tender vehicles, blockers, warehousing, expedited capital calls, and third-party placement or sourcing economics.</w:t>
      </w:r>
    </w:p>
    <w:p>
      <w:pPr>
        <w:pStyle w:val="ListBullet"/>
      </w:pPr>
      <w:r>
        <w:rPr>
          <w:sz w:val="20"/>
        </w:rPr>
        <w:t>The fund documents should generally disclose categories of compensation and conflicts. Detailed terms for a specific placement party, deal source, or conditional carry participant can usually sit in separate agreements, subject to counsel review and applicable securities laws.</w:t>
      </w:r>
    </w:p>
    <w:p>
      <w:pPr>
        <w:pStyle w:val="ListBullet"/>
      </w:pPr>
      <w:r>
        <w:rPr>
          <w:sz w:val="20"/>
        </w:rPr>
        <w:t>The team must decide whether to keep carry economics inside the fund-specific GP LLC or add a separate fund-specific CarryCo/SponsorCo. A separate CarryCo is not mandatory, but it can make non-voting, fund-specific economics cleaner.</w:t>
      </w:r>
    </w:p>
    <w:p>
      <w:pPr>
        <w:pStyle w:val="Heading1"/>
      </w:pPr>
      <w:r>
        <w:t>1. Additional Documents Needed</w:t>
      </w:r>
    </w:p>
    <w:tbl>
      <w:tblPr>
        <w:tblW w:type="auto" w:w="0"/>
        <w:jc w:val="center"/>
        <w:tblLook w:firstColumn="1" w:firstRow="1" w:lastColumn="0" w:lastRow="0" w:noHBand="0" w:noVBand="1" w:val="04A0"/>
      </w:tblPr>
      <w:tblGrid>
        <w:gridCol w:w="10224"/>
      </w:tblGrid>
      <w:tr>
        <w:tc>
          <w:tcPr>
            <w:tcW w:type="dxa" w:w="10224"/>
            <w:shd w:fill="EAF2F8"/>
            <w:tcBorders>
              <w:top w:val="single" w:sz="8" w:space="0" w:color="2F5597"/>
              <w:left w:val="single" w:sz="8" w:space="0" w:color="2F5597"/>
              <w:bottom w:val="single" w:sz="8" w:space="0" w:color="2F5597"/>
              <w:right w:val="single" w:sz="8" w:space="0" w:color="2F5597"/>
            </w:tcBorders>
          </w:tcPr>
          <w:p>
            <w:r>
              <w:rPr>
                <w:b/>
                <w:color w:val="2F5597"/>
                <w:sz w:val="20"/>
              </w:rPr>
              <w:t>Working principle</w:t>
            </w:r>
          </w:p>
          <w:p>
            <w:pPr>
              <w:spacing w:after="0"/>
            </w:pPr>
            <w:r>
              <w:rPr>
                <w:sz w:val="18"/>
              </w:rPr>
              <w:t>The term sheet is not enough by itself. The fund structure requires core fund documents, sponsor/entity documents, placement and sourcing templates, and operating policies.</w:t>
            </w:r>
          </w:p>
        </w:tc>
      </w:tr>
    </w:tbl>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76"/>
            <w:shd w:fill="1F4E79"/>
            <w:vAlign w:val="center"/>
          </w:tcPr>
          <w:p>
            <w:r/>
            <w:r>
              <w:rPr>
                <w:b/>
                <w:color w:val="FFFFFF"/>
                <w:sz w:val="17"/>
              </w:rPr>
              <w:t>Core Fund Document</w:t>
            </w:r>
          </w:p>
        </w:tc>
        <w:tc>
          <w:tcPr>
            <w:tcW w:type="dxa" w:w="2520"/>
            <w:shd w:fill="1F4E79"/>
            <w:vAlign w:val="center"/>
          </w:tcPr>
          <w:p>
            <w:r/>
            <w:r>
              <w:rPr>
                <w:b/>
                <w:color w:val="FFFFFF"/>
                <w:sz w:val="17"/>
              </w:rPr>
              <w:t>Purpose</w:t>
            </w:r>
          </w:p>
        </w:tc>
        <w:tc>
          <w:tcPr>
            <w:tcW w:type="dxa" w:w="5688"/>
            <w:shd w:fill="1F4E79"/>
            <w:vAlign w:val="center"/>
          </w:tcPr>
          <w:p>
            <w:r/>
            <w:r>
              <w:rPr>
                <w:b/>
                <w:color w:val="FFFFFF"/>
                <w:sz w:val="17"/>
              </w:rPr>
              <w:t>Notes / Customization Needed</w:t>
            </w:r>
          </w:p>
        </w:tc>
      </w:tr>
      <w:tr>
        <w:tc>
          <w:tcPr>
            <w:tcW w:type="dxa" w:w="2376"/>
            <w:vAlign w:val="top"/>
          </w:tcPr>
          <w:p>
            <w:r/>
            <w:r>
              <w:rPr>
                <w:b w:val="0"/>
                <w:sz w:val="16"/>
              </w:rPr>
              <w:t>Fund LPA / Fund Agreement</w:t>
            </w:r>
          </w:p>
        </w:tc>
        <w:tc>
          <w:tcPr>
            <w:tcW w:type="dxa" w:w="2520"/>
            <w:vAlign w:val="top"/>
          </w:tcPr>
          <w:p>
            <w:r/>
            <w:r>
              <w:rPr>
                <w:b w:val="0"/>
                <w:sz w:val="16"/>
              </w:rPr>
              <w:t>Full governing agreement for the Fund LP.</w:t>
            </w:r>
          </w:p>
        </w:tc>
        <w:tc>
          <w:tcPr>
            <w:tcW w:type="dxa" w:w="5688"/>
            <w:vAlign w:val="top"/>
          </w:tcPr>
          <w:p>
            <w:r/>
            <w:r>
              <w:rPr>
                <w:b w:val="0"/>
                <w:sz w:val="16"/>
              </w:rPr>
              <w:t>Must authorize secondary strategy, capital calls, expenses, additional vehicles, conflicts, fees, carry, borrowing, and investment limitations.</w:t>
            </w:r>
          </w:p>
        </w:tc>
      </w:tr>
      <w:tr>
        <w:tc>
          <w:tcPr>
            <w:tcW w:type="dxa" w:w="2376"/>
            <w:vAlign w:val="top"/>
          </w:tcPr>
          <w:p>
            <w:r/>
            <w:r>
              <w:rPr>
                <w:b w:val="0"/>
                <w:sz w:val="16"/>
              </w:rPr>
              <w:t>Subscription Agreement</w:t>
            </w:r>
          </w:p>
        </w:tc>
        <w:tc>
          <w:tcPr>
            <w:tcW w:type="dxa" w:w="2520"/>
            <w:vAlign w:val="top"/>
          </w:tcPr>
          <w:p>
            <w:r/>
            <w:r>
              <w:rPr>
                <w:b w:val="0"/>
                <w:sz w:val="16"/>
              </w:rPr>
              <w:t>Investor commitments and representations.</w:t>
            </w:r>
          </w:p>
        </w:tc>
        <w:tc>
          <w:tcPr>
            <w:tcW w:type="dxa" w:w="5688"/>
            <w:vAlign w:val="top"/>
          </w:tcPr>
          <w:p>
            <w:r/>
            <w:r>
              <w:rPr>
                <w:b w:val="0"/>
                <w:sz w:val="16"/>
              </w:rPr>
              <w:t>Accredited investor / qualified purchaser status, bad actor, AML/KYC, tax forms, ERISA reps, side letter integration.</w:t>
            </w:r>
          </w:p>
        </w:tc>
      </w:tr>
      <w:tr>
        <w:tc>
          <w:tcPr>
            <w:tcW w:type="dxa" w:w="2376"/>
            <w:vAlign w:val="top"/>
          </w:tcPr>
          <w:p>
            <w:r/>
            <w:r>
              <w:rPr>
                <w:b w:val="0"/>
                <w:sz w:val="16"/>
              </w:rPr>
              <w:t>PPM / Offering Memorandum</w:t>
            </w:r>
          </w:p>
        </w:tc>
        <w:tc>
          <w:tcPr>
            <w:tcW w:type="dxa" w:w="2520"/>
            <w:vAlign w:val="top"/>
          </w:tcPr>
          <w:p>
            <w:r/>
            <w:r>
              <w:rPr>
                <w:b w:val="0"/>
                <w:sz w:val="16"/>
              </w:rPr>
              <w:t>Main disclosure document.</w:t>
            </w:r>
          </w:p>
        </w:tc>
        <w:tc>
          <w:tcPr>
            <w:tcW w:type="dxa" w:w="5688"/>
            <w:vAlign w:val="top"/>
          </w:tcPr>
          <w:p>
            <w:r/>
            <w:r>
              <w:rPr>
                <w:b w:val="0"/>
                <w:sz w:val="16"/>
              </w:rPr>
              <w:t>Should disclose strategy, secondary risks, placement/sourcing arrangements, conflicts, fees, carry, transfer restrictions, valuation uncertainty.</w:t>
            </w:r>
          </w:p>
        </w:tc>
      </w:tr>
      <w:tr>
        <w:tc>
          <w:tcPr>
            <w:tcW w:type="dxa" w:w="2376"/>
            <w:vAlign w:val="top"/>
          </w:tcPr>
          <w:p>
            <w:r/>
            <w:r>
              <w:rPr>
                <w:b w:val="0"/>
                <w:sz w:val="16"/>
              </w:rPr>
              <w:t>Form D and state blue-sky filings</w:t>
            </w:r>
          </w:p>
        </w:tc>
        <w:tc>
          <w:tcPr>
            <w:tcW w:type="dxa" w:w="2520"/>
            <w:vAlign w:val="top"/>
          </w:tcPr>
          <w:p>
            <w:r/>
            <w:r>
              <w:rPr>
                <w:b w:val="0"/>
                <w:sz w:val="16"/>
              </w:rPr>
              <w:t>Securities notice filings after first sale.</w:t>
            </w:r>
          </w:p>
        </w:tc>
        <w:tc>
          <w:tcPr>
            <w:tcW w:type="dxa" w:w="5688"/>
            <w:vAlign w:val="top"/>
          </w:tcPr>
          <w:p>
            <w:r/>
            <w:r>
              <w:rPr>
                <w:b w:val="0"/>
                <w:sz w:val="16"/>
              </w:rPr>
              <w:t>Coordinate with counsel immediately after first investor becomes contractually committed.</w:t>
            </w:r>
          </w:p>
        </w:tc>
      </w:tr>
      <w:tr>
        <w:tc>
          <w:tcPr>
            <w:tcW w:type="dxa" w:w="2376"/>
            <w:vAlign w:val="top"/>
          </w:tcPr>
          <w:p>
            <w:r/>
            <w:r>
              <w:rPr>
                <w:b w:val="0"/>
                <w:sz w:val="16"/>
              </w:rPr>
              <w:t>Side Letter Template</w:t>
            </w:r>
          </w:p>
        </w:tc>
        <w:tc>
          <w:tcPr>
            <w:tcW w:type="dxa" w:w="2520"/>
            <w:vAlign w:val="top"/>
          </w:tcPr>
          <w:p>
            <w:r/>
            <w:r>
              <w:rPr>
                <w:b w:val="0"/>
                <w:sz w:val="16"/>
              </w:rPr>
              <w:t>Special investor terms.</w:t>
            </w:r>
          </w:p>
        </w:tc>
        <w:tc>
          <w:tcPr>
            <w:tcW w:type="dxa" w:w="5688"/>
            <w:vAlign w:val="top"/>
          </w:tcPr>
          <w:p>
            <w:r/>
            <w:r>
              <w:rPr>
                <w:b w:val="0"/>
                <w:sz w:val="16"/>
              </w:rPr>
              <w:t>MFN, fee/carry discounts, reporting, transfer, co-investment, excuse rights, confidentiality.</w:t>
            </w:r>
          </w:p>
        </w:tc>
      </w:tr>
    </w:tbl>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20"/>
            <w:shd w:fill="1F4E79"/>
            <w:vAlign w:val="center"/>
          </w:tcPr>
          <w:p>
            <w:r/>
            <w:r>
              <w:rPr>
                <w:b/>
                <w:color w:val="FFFFFF"/>
                <w:sz w:val="17"/>
              </w:rPr>
              <w:t>Sponsor / Management Document</w:t>
            </w:r>
          </w:p>
        </w:tc>
        <w:tc>
          <w:tcPr>
            <w:tcW w:type="dxa" w:w="2376"/>
            <w:shd w:fill="1F4E79"/>
            <w:vAlign w:val="center"/>
          </w:tcPr>
          <w:p>
            <w:r/>
            <w:r>
              <w:rPr>
                <w:b/>
                <w:color w:val="FFFFFF"/>
                <w:sz w:val="17"/>
              </w:rPr>
              <w:t>Purpose</w:t>
            </w:r>
          </w:p>
        </w:tc>
        <w:tc>
          <w:tcPr>
            <w:tcW w:type="dxa" w:w="5688"/>
            <w:shd w:fill="1F4E79"/>
            <w:vAlign w:val="center"/>
          </w:tcPr>
          <w:p>
            <w:r/>
            <w:r>
              <w:rPr>
                <w:b/>
                <w:color w:val="FFFFFF"/>
                <w:sz w:val="17"/>
              </w:rPr>
              <w:t>Notes / Customization Needed</w:t>
            </w:r>
          </w:p>
        </w:tc>
      </w:tr>
      <w:tr>
        <w:tc>
          <w:tcPr>
            <w:tcW w:type="dxa" w:w="2520"/>
            <w:vAlign w:val="top"/>
          </w:tcPr>
          <w:p>
            <w:r/>
            <w:r>
              <w:rPr>
                <w:b w:val="0"/>
                <w:sz w:val="16"/>
              </w:rPr>
              <w:t>GP LLC Operating Agreement</w:t>
            </w:r>
          </w:p>
        </w:tc>
        <w:tc>
          <w:tcPr>
            <w:tcW w:type="dxa" w:w="2376"/>
            <w:vAlign w:val="top"/>
          </w:tcPr>
          <w:p>
            <w:r/>
            <w:r>
              <w:rPr>
                <w:b w:val="0"/>
                <w:sz w:val="16"/>
              </w:rPr>
              <w:t>Creates legal control of the fund and carry recipient if no CarryCo is used.</w:t>
            </w:r>
          </w:p>
        </w:tc>
        <w:tc>
          <w:tcPr>
            <w:tcW w:type="dxa" w:w="5688"/>
            <w:vAlign w:val="top"/>
          </w:tcPr>
          <w:p>
            <w:r/>
            <w:r>
              <w:rPr>
                <w:b w:val="0"/>
                <w:sz w:val="16"/>
              </w:rPr>
              <w:t>Must separate voting/control from economics if non-control parties receive carry.</w:t>
            </w:r>
          </w:p>
        </w:tc>
      </w:tr>
      <w:tr>
        <w:tc>
          <w:tcPr>
            <w:tcW w:type="dxa" w:w="2520"/>
            <w:vAlign w:val="top"/>
          </w:tcPr>
          <w:p>
            <w:r/>
            <w:r>
              <w:rPr>
                <w:b w:val="0"/>
                <w:sz w:val="16"/>
              </w:rPr>
              <w:t>Manager LLC Operating Agreement</w:t>
            </w:r>
          </w:p>
        </w:tc>
        <w:tc>
          <w:tcPr>
            <w:tcW w:type="dxa" w:w="2376"/>
            <w:vAlign w:val="top"/>
          </w:tcPr>
          <w:p>
            <w:r/>
            <w:r>
              <w:rPr>
                <w:b w:val="0"/>
                <w:sz w:val="16"/>
              </w:rPr>
              <w:t>Ongoing management/advisory business.</w:t>
            </w:r>
          </w:p>
        </w:tc>
        <w:tc>
          <w:tcPr>
            <w:tcW w:type="dxa" w:w="5688"/>
            <w:vAlign w:val="top"/>
          </w:tcPr>
          <w:p>
            <w:r/>
            <w:r>
              <w:rPr>
                <w:b w:val="0"/>
                <w:sz w:val="16"/>
              </w:rPr>
              <w:t>Defines ownership of management fee profits, authority, expenses, employment/consulting, adviser registration implications.</w:t>
            </w:r>
          </w:p>
        </w:tc>
      </w:tr>
      <w:tr>
        <w:tc>
          <w:tcPr>
            <w:tcW w:type="dxa" w:w="2520"/>
            <w:vAlign w:val="top"/>
          </w:tcPr>
          <w:p>
            <w:r/>
            <w:r>
              <w:rPr>
                <w:b w:val="0"/>
                <w:sz w:val="16"/>
              </w:rPr>
              <w:t>Investment Management Agreement</w:t>
            </w:r>
          </w:p>
        </w:tc>
        <w:tc>
          <w:tcPr>
            <w:tcW w:type="dxa" w:w="2376"/>
            <w:vAlign w:val="top"/>
          </w:tcPr>
          <w:p>
            <w:r/>
            <w:r>
              <w:rPr>
                <w:b w:val="0"/>
                <w:sz w:val="16"/>
              </w:rPr>
              <w:t>Fund/GP engages Manager to provide advisory/admin services.</w:t>
            </w:r>
          </w:p>
        </w:tc>
        <w:tc>
          <w:tcPr>
            <w:tcW w:type="dxa" w:w="5688"/>
            <w:vAlign w:val="top"/>
          </w:tcPr>
          <w:p>
            <w:r/>
            <w:r>
              <w:rPr>
                <w:b w:val="0"/>
                <w:sz w:val="16"/>
              </w:rPr>
              <w:t>Defines delegated authority, fees, reimbursements, termination, indemnity, compliance obligations.</w:t>
            </w:r>
          </w:p>
        </w:tc>
      </w:tr>
      <w:tr>
        <w:tc>
          <w:tcPr>
            <w:tcW w:type="dxa" w:w="2520"/>
            <w:vAlign w:val="top"/>
          </w:tcPr>
          <w:p>
            <w:r/>
            <w:r>
              <w:rPr>
                <w:b w:val="0"/>
                <w:sz w:val="16"/>
              </w:rPr>
              <w:t>Sponsor HoldCo Agreement, if used</w:t>
            </w:r>
          </w:p>
        </w:tc>
        <w:tc>
          <w:tcPr>
            <w:tcW w:type="dxa" w:w="2376"/>
            <w:vAlign w:val="top"/>
          </w:tcPr>
          <w:p>
            <w:r/>
            <w:r>
              <w:rPr>
                <w:b w:val="0"/>
                <w:sz w:val="16"/>
              </w:rPr>
              <w:t>Platform-level ownership above Manager and possibly GP entities.</w:t>
            </w:r>
          </w:p>
        </w:tc>
        <w:tc>
          <w:tcPr>
            <w:tcW w:type="dxa" w:w="5688"/>
            <w:vAlign w:val="top"/>
          </w:tcPr>
          <w:p>
            <w:r/>
            <w:r>
              <w:rPr>
                <w:b w:val="0"/>
                <w:sz w:val="16"/>
              </w:rPr>
              <w:t>Only use if useful for long-term platform economics; avoid giving fund-specific economics accidentally across all funds.</w:t>
            </w:r>
          </w:p>
        </w:tc>
      </w:tr>
      <w:tr>
        <w:tc>
          <w:tcPr>
            <w:tcW w:type="dxa" w:w="2520"/>
            <w:vAlign w:val="top"/>
          </w:tcPr>
          <w:p>
            <w:r/>
            <w:r>
              <w:rPr>
                <w:b w:val="0"/>
                <w:sz w:val="16"/>
              </w:rPr>
              <w:t>Fund-specific CarryCo / SponsorCo Agreement, if used</w:t>
            </w:r>
          </w:p>
        </w:tc>
        <w:tc>
          <w:tcPr>
            <w:tcW w:type="dxa" w:w="2376"/>
            <w:vAlign w:val="top"/>
          </w:tcPr>
          <w:p>
            <w:r/>
            <w:r>
              <w:rPr>
                <w:b w:val="0"/>
                <w:sz w:val="16"/>
              </w:rPr>
              <w:t>Splits carry for a particular fund.</w:t>
            </w:r>
          </w:p>
        </w:tc>
        <w:tc>
          <w:tcPr>
            <w:tcW w:type="dxa" w:w="5688"/>
            <w:vAlign w:val="top"/>
          </w:tcPr>
          <w:p>
            <w:r/>
            <w:r>
              <w:rPr>
                <w:b w:val="0"/>
                <w:sz w:val="16"/>
              </w:rPr>
              <w:t>Useful for Class A voting control, Class B non-voting conditional carry, passive economics, vesting, forfeiture, clawback sharing.</w:t>
            </w:r>
          </w:p>
        </w:tc>
      </w:tr>
    </w:tbl>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1F4E79"/>
            <w:vAlign w:val="center"/>
          </w:tcPr>
          <w:p>
            <w:r/>
            <w:r>
              <w:rPr>
                <w:b/>
                <w:color w:val="FFFFFF"/>
                <w:sz w:val="17"/>
              </w:rPr>
              <w:t>Placement / Sourcing Document</w:t>
            </w:r>
          </w:p>
        </w:tc>
        <w:tc>
          <w:tcPr>
            <w:tcW w:type="dxa" w:w="2232"/>
            <w:shd w:fill="1F4E79"/>
            <w:vAlign w:val="center"/>
          </w:tcPr>
          <w:p>
            <w:r/>
            <w:r>
              <w:rPr>
                <w:b/>
                <w:color w:val="FFFFFF"/>
                <w:sz w:val="17"/>
              </w:rPr>
              <w:t>Purpose</w:t>
            </w:r>
          </w:p>
        </w:tc>
        <w:tc>
          <w:tcPr>
            <w:tcW w:type="dxa" w:w="5760"/>
            <w:shd w:fill="1F4E79"/>
            <w:vAlign w:val="center"/>
          </w:tcPr>
          <w:p>
            <w:r/>
            <w:r>
              <w:rPr>
                <w:b/>
                <w:color w:val="FFFFFF"/>
                <w:sz w:val="17"/>
              </w:rPr>
              <w:t>Notes / Customization Needed</w:t>
            </w:r>
          </w:p>
        </w:tc>
      </w:tr>
      <w:tr>
        <w:tc>
          <w:tcPr>
            <w:tcW w:type="dxa" w:w="2592"/>
            <w:vAlign w:val="top"/>
          </w:tcPr>
          <w:p>
            <w:r/>
            <w:r>
              <w:rPr>
                <w:b w:val="0"/>
                <w:sz w:val="16"/>
              </w:rPr>
              <w:t>Registered Broker-Dealer Placement Agreement</w:t>
            </w:r>
          </w:p>
        </w:tc>
        <w:tc>
          <w:tcPr>
            <w:tcW w:type="dxa" w:w="2232"/>
            <w:vAlign w:val="top"/>
          </w:tcPr>
          <w:p>
            <w:r/>
            <w:r>
              <w:rPr>
                <w:b w:val="0"/>
                <w:sz w:val="16"/>
              </w:rPr>
              <w:t>For registered placement agents.</w:t>
            </w:r>
          </w:p>
        </w:tc>
        <w:tc>
          <w:tcPr>
            <w:tcW w:type="dxa" w:w="5760"/>
            <w:vAlign w:val="top"/>
          </w:tcPr>
          <w:p>
            <w:r/>
            <w:r>
              <w:rPr>
                <w:b w:val="0"/>
                <w:sz w:val="16"/>
              </w:rPr>
              <w:t>Compensation, tail, permitted investors, offering materials, compliance review, FINRA/SEC obligations, indemnity.</w:t>
            </w:r>
          </w:p>
        </w:tc>
      </w:tr>
      <w:tr>
        <w:tc>
          <w:tcPr>
            <w:tcW w:type="dxa" w:w="2592"/>
            <w:vAlign w:val="top"/>
          </w:tcPr>
          <w:p>
            <w:r/>
            <w:r>
              <w:rPr>
                <w:b w:val="0"/>
                <w:sz w:val="16"/>
              </w:rPr>
              <w:t>Generic Capital Formation / Placement Agreement</w:t>
            </w:r>
          </w:p>
        </w:tc>
        <w:tc>
          <w:tcPr>
            <w:tcW w:type="dxa" w:w="2232"/>
            <w:vAlign w:val="top"/>
          </w:tcPr>
          <w:p>
            <w:r/>
            <w:r>
              <w:rPr>
                <w:b w:val="0"/>
                <w:sz w:val="16"/>
              </w:rPr>
              <w:t>Template for buy-side LP placement relationships.</w:t>
            </w:r>
          </w:p>
        </w:tc>
        <w:tc>
          <w:tcPr>
            <w:tcW w:type="dxa" w:w="5760"/>
            <w:vAlign w:val="top"/>
          </w:tcPr>
          <w:p>
            <w:r/>
            <w:r>
              <w:rPr>
                <w:b w:val="0"/>
                <w:sz w:val="16"/>
              </w:rPr>
              <w:t>Must be limited by securities-law compliance; specify no authority to bind the fund, no custody, no investment discretion.</w:t>
            </w:r>
          </w:p>
        </w:tc>
      </w:tr>
      <w:tr>
        <w:tc>
          <w:tcPr>
            <w:tcW w:type="dxa" w:w="2592"/>
            <w:vAlign w:val="top"/>
          </w:tcPr>
          <w:p>
            <w:r/>
            <w:r>
              <w:rPr>
                <w:b w:val="0"/>
                <w:sz w:val="16"/>
              </w:rPr>
              <w:t>Conditional Carry Participation Agreement</w:t>
            </w:r>
          </w:p>
        </w:tc>
        <w:tc>
          <w:tcPr>
            <w:tcW w:type="dxa" w:w="2232"/>
            <w:vAlign w:val="top"/>
          </w:tcPr>
          <w:p>
            <w:r/>
            <w:r>
              <w:rPr>
                <w:b w:val="0"/>
                <w:sz w:val="16"/>
              </w:rPr>
              <w:t>Carry or economics based on capital commitments placed.</w:t>
            </w:r>
          </w:p>
        </w:tc>
        <w:tc>
          <w:tcPr>
            <w:tcW w:type="dxa" w:w="5760"/>
            <w:vAlign w:val="top"/>
          </w:tcPr>
          <w:p>
            <w:r/>
            <w:r>
              <w:rPr>
                <w:b w:val="0"/>
                <w:sz w:val="16"/>
              </w:rPr>
              <w:t>May reference GP/CarryCo operating agreement. Include vesting thresholds, accepted commitments, tail, forfeiture, compliance conditions.</w:t>
            </w:r>
          </w:p>
        </w:tc>
      </w:tr>
      <w:tr>
        <w:tc>
          <w:tcPr>
            <w:tcW w:type="dxa" w:w="2592"/>
            <w:vAlign w:val="top"/>
          </w:tcPr>
          <w:p>
            <w:r/>
            <w:r>
              <w:rPr>
                <w:b w:val="0"/>
                <w:sz w:val="16"/>
              </w:rPr>
              <w:t>Finder / Consultant Agreement</w:t>
            </w:r>
          </w:p>
        </w:tc>
        <w:tc>
          <w:tcPr>
            <w:tcW w:type="dxa" w:w="2232"/>
            <w:vAlign w:val="top"/>
          </w:tcPr>
          <w:p>
            <w:r/>
            <w:r>
              <w:rPr>
                <w:b w:val="0"/>
                <w:sz w:val="16"/>
              </w:rPr>
              <w:t>Only for non-BD relationships if counsel approves.</w:t>
            </w:r>
          </w:p>
        </w:tc>
        <w:tc>
          <w:tcPr>
            <w:tcW w:type="dxa" w:w="5760"/>
            <w:vAlign w:val="top"/>
          </w:tcPr>
          <w:p>
            <w:r/>
            <w:r>
              <w:rPr>
                <w:b w:val="0"/>
                <w:sz w:val="16"/>
              </w:rPr>
              <w:t>Use carefully. Avoid transaction-based compensation unless counsel confirms path. Include reps and limitations.</w:t>
            </w:r>
          </w:p>
        </w:tc>
      </w:tr>
      <w:tr>
        <w:tc>
          <w:tcPr>
            <w:tcW w:type="dxa" w:w="2592"/>
            <w:vAlign w:val="top"/>
          </w:tcPr>
          <w:p>
            <w:r/>
            <w:r>
              <w:rPr>
                <w:b w:val="0"/>
                <w:sz w:val="16"/>
              </w:rPr>
              <w:t>Sell-Side Sourcing / Origination Agreement</w:t>
            </w:r>
          </w:p>
        </w:tc>
        <w:tc>
          <w:tcPr>
            <w:tcW w:type="dxa" w:w="2232"/>
            <w:vAlign w:val="top"/>
          </w:tcPr>
          <w:p>
            <w:r/>
            <w:r>
              <w:rPr>
                <w:b w:val="0"/>
                <w:sz w:val="16"/>
              </w:rPr>
              <w:t>For deal sources, brokers, consultants, or strategic relationships.</w:t>
            </w:r>
          </w:p>
        </w:tc>
        <w:tc>
          <w:tcPr>
            <w:tcW w:type="dxa" w:w="5760"/>
            <w:vAlign w:val="top"/>
          </w:tcPr>
          <w:p>
            <w:r/>
            <w:r>
              <w:rPr>
                <w:b w:val="0"/>
                <w:sz w:val="16"/>
              </w:rPr>
              <w:t>Define introduction-only vs negotiation role; compensation; exclusivity; confidentiality; no authority to bind fund.</w:t>
            </w:r>
          </w:p>
        </w:tc>
      </w:tr>
      <w:tr>
        <w:tc>
          <w:tcPr>
            <w:tcW w:type="dxa" w:w="2592"/>
            <w:vAlign w:val="top"/>
          </w:tcPr>
          <w:p>
            <w:r/>
            <w:r>
              <w:rPr>
                <w:b w:val="0"/>
                <w:sz w:val="16"/>
              </w:rPr>
              <w:t>Secondary Transaction / Broker Agreement</w:t>
            </w:r>
          </w:p>
        </w:tc>
        <w:tc>
          <w:tcPr>
            <w:tcW w:type="dxa" w:w="2232"/>
            <w:vAlign w:val="top"/>
          </w:tcPr>
          <w:p>
            <w:r/>
            <w:r>
              <w:rPr>
                <w:b w:val="0"/>
                <w:sz w:val="16"/>
              </w:rPr>
              <w:t>For parties helping acquire or dispose of private securities.</w:t>
            </w:r>
          </w:p>
        </w:tc>
        <w:tc>
          <w:tcPr>
            <w:tcW w:type="dxa" w:w="5760"/>
            <w:vAlign w:val="top"/>
          </w:tcPr>
          <w:p>
            <w:r/>
            <w:r>
              <w:rPr>
                <w:b w:val="0"/>
                <w:sz w:val="16"/>
              </w:rPr>
              <w:t>Broker-dealer analysis likely needed if compensation is transaction-based or party negotiates securities transactions.</w:t>
            </w:r>
          </w:p>
        </w:tc>
      </w:tr>
    </w:tbl>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76"/>
            <w:shd w:fill="1F4E79"/>
            <w:vAlign w:val="center"/>
          </w:tcPr>
          <w:p>
            <w:r/>
            <w:r>
              <w:rPr>
                <w:b/>
                <w:color w:val="FFFFFF"/>
                <w:sz w:val="17"/>
              </w:rPr>
              <w:t>Operating Policy / Process</w:t>
            </w:r>
          </w:p>
        </w:tc>
        <w:tc>
          <w:tcPr>
            <w:tcW w:type="dxa" w:w="2232"/>
            <w:shd w:fill="1F4E79"/>
            <w:vAlign w:val="center"/>
          </w:tcPr>
          <w:p>
            <w:r/>
            <w:r>
              <w:rPr>
                <w:b/>
                <w:color w:val="FFFFFF"/>
                <w:sz w:val="17"/>
              </w:rPr>
              <w:t>Purpose</w:t>
            </w:r>
          </w:p>
        </w:tc>
        <w:tc>
          <w:tcPr>
            <w:tcW w:type="dxa" w:w="5976"/>
            <w:shd w:fill="1F4E79"/>
            <w:vAlign w:val="center"/>
          </w:tcPr>
          <w:p>
            <w:r/>
            <w:r>
              <w:rPr>
                <w:b/>
                <w:color w:val="FFFFFF"/>
                <w:sz w:val="17"/>
              </w:rPr>
              <w:t>Notes / Customization Needed</w:t>
            </w:r>
          </w:p>
        </w:tc>
      </w:tr>
      <w:tr>
        <w:tc>
          <w:tcPr>
            <w:tcW w:type="dxa" w:w="2376"/>
            <w:vAlign w:val="top"/>
          </w:tcPr>
          <w:p>
            <w:r/>
            <w:r>
              <w:rPr>
                <w:b w:val="0"/>
                <w:sz w:val="16"/>
              </w:rPr>
              <w:t>Investment Policy / Whitelist Schedule</w:t>
            </w:r>
          </w:p>
        </w:tc>
        <w:tc>
          <w:tcPr>
            <w:tcW w:type="dxa" w:w="2232"/>
            <w:vAlign w:val="top"/>
          </w:tcPr>
          <w:p>
            <w:r/>
            <w:r>
              <w:rPr>
                <w:b w:val="0"/>
                <w:sz w:val="16"/>
              </w:rPr>
              <w:t>Defines eligible companies and permitted instruments.</w:t>
            </w:r>
          </w:p>
        </w:tc>
        <w:tc>
          <w:tcPr>
            <w:tcW w:type="dxa" w:w="5976"/>
            <w:vAlign w:val="top"/>
          </w:tcPr>
          <w:p>
            <w:r/>
            <w:r>
              <w:rPr>
                <w:b w:val="0"/>
                <w:sz w:val="16"/>
              </w:rPr>
              <w:t>Include update process for whitelist and approval thresholds.</w:t>
            </w:r>
          </w:p>
        </w:tc>
      </w:tr>
      <w:tr>
        <w:tc>
          <w:tcPr>
            <w:tcW w:type="dxa" w:w="2376"/>
            <w:vAlign w:val="top"/>
          </w:tcPr>
          <w:p>
            <w:r/>
            <w:r>
              <w:rPr>
                <w:b w:val="0"/>
                <w:sz w:val="16"/>
              </w:rPr>
              <w:t>Allocation Policy</w:t>
            </w:r>
          </w:p>
        </w:tc>
        <w:tc>
          <w:tcPr>
            <w:tcW w:type="dxa" w:w="2232"/>
            <w:vAlign w:val="top"/>
          </w:tcPr>
          <w:p>
            <w:r/>
            <w:r>
              <w:rPr>
                <w:b w:val="0"/>
                <w:sz w:val="16"/>
              </w:rPr>
              <w:t>Allocates opportunities among fund, co-invests, SPVs, parallel funds, affiliates, and future funds.</w:t>
            </w:r>
          </w:p>
        </w:tc>
        <w:tc>
          <w:tcPr>
            <w:tcW w:type="dxa" w:w="5976"/>
            <w:vAlign w:val="top"/>
          </w:tcPr>
          <w:p>
            <w:r/>
            <w:r>
              <w:rPr>
                <w:b w:val="0"/>
                <w:sz w:val="16"/>
              </w:rPr>
              <w:t>Critical if multiple inbound deal sources and LP-facing channels exist.</w:t>
            </w:r>
          </w:p>
        </w:tc>
      </w:tr>
      <w:tr>
        <w:tc>
          <w:tcPr>
            <w:tcW w:type="dxa" w:w="2376"/>
            <w:vAlign w:val="top"/>
          </w:tcPr>
          <w:p>
            <w:r/>
            <w:r>
              <w:rPr>
                <w:b w:val="0"/>
                <w:sz w:val="16"/>
              </w:rPr>
              <w:t>Capital Call Policy</w:t>
            </w:r>
          </w:p>
        </w:tc>
        <w:tc>
          <w:tcPr>
            <w:tcW w:type="dxa" w:w="2232"/>
            <w:vAlign w:val="top"/>
          </w:tcPr>
          <w:p>
            <w:r/>
            <w:r>
              <w:rPr>
                <w:b w:val="0"/>
                <w:sz w:val="16"/>
              </w:rPr>
              <w:t>Normal and expedited capital-call procedures.</w:t>
            </w:r>
          </w:p>
        </w:tc>
        <w:tc>
          <w:tcPr>
            <w:tcW w:type="dxa" w:w="5976"/>
            <w:vAlign w:val="top"/>
          </w:tcPr>
          <w:p>
            <w:r/>
            <w:r>
              <w:rPr>
                <w:b w:val="0"/>
                <w:sz w:val="16"/>
              </w:rPr>
              <w:t>Should handle 3-5 business day calls, emergency calls, reserves, default penalties.</w:t>
            </w:r>
          </w:p>
        </w:tc>
      </w:tr>
      <w:tr>
        <w:tc>
          <w:tcPr>
            <w:tcW w:type="dxa" w:w="2376"/>
            <w:vAlign w:val="top"/>
          </w:tcPr>
          <w:p>
            <w:r/>
            <w:r>
              <w:rPr>
                <w:b w:val="0"/>
                <w:sz w:val="16"/>
              </w:rPr>
              <w:t>Warehousing Policy</w:t>
            </w:r>
          </w:p>
        </w:tc>
        <w:tc>
          <w:tcPr>
            <w:tcW w:type="dxa" w:w="2232"/>
            <w:vAlign w:val="top"/>
          </w:tcPr>
          <w:p>
            <w:r/>
            <w:r>
              <w:rPr>
                <w:b w:val="0"/>
                <w:sz w:val="16"/>
              </w:rPr>
              <w:t>Permits GP/affiliate to warehouse deals before fund takes them down.</w:t>
            </w:r>
          </w:p>
        </w:tc>
        <w:tc>
          <w:tcPr>
            <w:tcW w:type="dxa" w:w="5976"/>
            <w:vAlign w:val="top"/>
          </w:tcPr>
          <w:p>
            <w:r/>
            <w:r>
              <w:rPr>
                <w:b w:val="0"/>
                <w:sz w:val="16"/>
              </w:rPr>
              <w:t>Define cost basis, expenses, timing, conflict approvals, disclosure.</w:t>
            </w:r>
          </w:p>
        </w:tc>
      </w:tr>
      <w:tr>
        <w:tc>
          <w:tcPr>
            <w:tcW w:type="dxa" w:w="2376"/>
            <w:vAlign w:val="top"/>
          </w:tcPr>
          <w:p>
            <w:r/>
            <w:r>
              <w:rPr>
                <w:b w:val="0"/>
                <w:sz w:val="16"/>
              </w:rPr>
              <w:t>Conflict Policy</w:t>
            </w:r>
          </w:p>
        </w:tc>
        <w:tc>
          <w:tcPr>
            <w:tcW w:type="dxa" w:w="2232"/>
            <w:vAlign w:val="top"/>
          </w:tcPr>
          <w:p>
            <w:r/>
            <w:r>
              <w:rPr>
                <w:b w:val="0"/>
                <w:sz w:val="16"/>
              </w:rPr>
              <w:t>Deals with affiliate transactions, sourced deals, side letters, co-invests, valuation, allocation.</w:t>
            </w:r>
          </w:p>
        </w:tc>
        <w:tc>
          <w:tcPr>
            <w:tcW w:type="dxa" w:w="5976"/>
            <w:vAlign w:val="top"/>
          </w:tcPr>
          <w:p>
            <w:r/>
            <w:r>
              <w:rPr>
                <w:b w:val="0"/>
                <w:sz w:val="16"/>
              </w:rPr>
              <w:t>Coordinate with LPAC provisions.</w:t>
            </w:r>
          </w:p>
        </w:tc>
      </w:tr>
      <w:tr>
        <w:tc>
          <w:tcPr>
            <w:tcW w:type="dxa" w:w="2376"/>
            <w:vAlign w:val="top"/>
          </w:tcPr>
          <w:p>
            <w:r/>
            <w:r>
              <w:rPr>
                <w:b w:val="0"/>
                <w:sz w:val="16"/>
              </w:rPr>
              <w:t>Valuation Policy</w:t>
            </w:r>
          </w:p>
        </w:tc>
        <w:tc>
          <w:tcPr>
            <w:tcW w:type="dxa" w:w="2232"/>
            <w:vAlign w:val="top"/>
          </w:tcPr>
          <w:p>
            <w:r/>
            <w:r>
              <w:rPr>
                <w:b w:val="0"/>
                <w:sz w:val="16"/>
              </w:rPr>
              <w:t>Valuation of private shares, SPVs, tender interests, forwards, and in-kind distributions.</w:t>
            </w:r>
          </w:p>
        </w:tc>
        <w:tc>
          <w:tcPr>
            <w:tcW w:type="dxa" w:w="5976"/>
            <w:vAlign w:val="top"/>
          </w:tcPr>
          <w:p>
            <w:r/>
            <w:r>
              <w:rPr>
                <w:b w:val="0"/>
                <w:sz w:val="16"/>
              </w:rPr>
              <w:t>Important due to illiquidity and limited observable prices.</w:t>
            </w:r>
          </w:p>
        </w:tc>
      </w:tr>
      <w:tr>
        <w:tc>
          <w:tcPr>
            <w:tcW w:type="dxa" w:w="2376"/>
            <w:vAlign w:val="top"/>
          </w:tcPr>
          <w:p>
            <w:r/>
            <w:r>
              <w:rPr>
                <w:b w:val="0"/>
                <w:sz w:val="16"/>
              </w:rPr>
              <w:t>Compliance Policies</w:t>
            </w:r>
          </w:p>
        </w:tc>
        <w:tc>
          <w:tcPr>
            <w:tcW w:type="dxa" w:w="2232"/>
            <w:vAlign w:val="top"/>
          </w:tcPr>
          <w:p>
            <w:r/>
            <w:r>
              <w:rPr>
                <w:b w:val="0"/>
                <w:sz w:val="16"/>
              </w:rPr>
              <w:t>Adviser, broker-dealer interface, AML/KYC, bad actor, privacy, records.</w:t>
            </w:r>
          </w:p>
        </w:tc>
        <w:tc>
          <w:tcPr>
            <w:tcW w:type="dxa" w:w="5976"/>
            <w:vAlign w:val="top"/>
          </w:tcPr>
          <w:p>
            <w:r/>
            <w:r>
              <w:rPr>
                <w:b w:val="0"/>
                <w:sz w:val="16"/>
              </w:rPr>
              <w:t>Depends on adviser registration/exemption and placement model.</w:t>
            </w:r>
          </w:p>
        </w:tc>
      </w:tr>
    </w:tbl>
    <w:p/>
    <w:p>
      <w:pPr>
        <w:pStyle w:val="Heading1"/>
      </w:pPr>
      <w:r>
        <w:t>2. High-Level Open Questions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F4E79"/>
            <w:vAlign w:val="center"/>
          </w:tcPr>
          <w:p>
            <w:r/>
            <w:r>
              <w:rPr>
                <w:b/>
                <w:color w:val="FFFFFF"/>
                <w:sz w:val="17"/>
              </w:rPr>
              <w:t>Topic</w:t>
            </w:r>
          </w:p>
        </w:tc>
        <w:tc>
          <w:tcPr>
            <w:tcW w:type="dxa" w:w="3168"/>
            <w:shd w:fill="1F4E79"/>
            <w:vAlign w:val="center"/>
          </w:tcPr>
          <w:p>
            <w:r/>
            <w:r>
              <w:rPr>
                <w:b/>
                <w:color w:val="FFFFFF"/>
                <w:sz w:val="17"/>
              </w:rPr>
              <w:t>Decision to Make</w:t>
            </w:r>
          </w:p>
        </w:tc>
        <w:tc>
          <w:tcPr>
            <w:tcW w:type="dxa" w:w="5256"/>
            <w:shd w:fill="1F4E79"/>
            <w:vAlign w:val="center"/>
          </w:tcPr>
          <w:p>
            <w:r/>
            <w:r>
              <w:rPr>
                <w:b/>
                <w:color w:val="FFFFFF"/>
                <w:sz w:val="17"/>
              </w:rPr>
              <w:t>Likely Options</w:t>
            </w:r>
          </w:p>
        </w:tc>
      </w:tr>
      <w:tr>
        <w:tc>
          <w:tcPr>
            <w:tcW w:type="dxa" w:w="2160"/>
            <w:vAlign w:val="top"/>
          </w:tcPr>
          <w:p>
            <w:r/>
            <w:r>
              <w:rPr>
                <w:b w:val="0"/>
                <w:sz w:val="16"/>
              </w:rPr>
              <w:t>Entity architecture</w:t>
            </w:r>
          </w:p>
        </w:tc>
        <w:tc>
          <w:tcPr>
            <w:tcW w:type="dxa" w:w="3168"/>
            <w:vAlign w:val="top"/>
          </w:tcPr>
          <w:p>
            <w:r/>
            <w:r>
              <w:rPr>
                <w:b w:val="0"/>
                <w:sz w:val="16"/>
              </w:rPr>
              <w:t>Do we want a lean structure or a more modular/institutional structure?</w:t>
            </w:r>
          </w:p>
        </w:tc>
        <w:tc>
          <w:tcPr>
            <w:tcW w:type="dxa" w:w="5256"/>
            <w:vAlign w:val="top"/>
          </w:tcPr>
          <w:p>
            <w:r/>
            <w:r>
              <w:rPr>
                <w:b w:val="0"/>
                <w:sz w:val="16"/>
              </w:rPr>
              <w:t>Fund LP + GP LLC + Manager LLC only; or add Sponsor HoldCo and fund-specific CarryCo.</w:t>
            </w:r>
          </w:p>
        </w:tc>
      </w:tr>
      <w:tr>
        <w:tc>
          <w:tcPr>
            <w:tcW w:type="dxa" w:w="2160"/>
            <w:vAlign w:val="top"/>
          </w:tcPr>
          <w:p>
            <w:r/>
            <w:r>
              <w:rPr>
                <w:b w:val="0"/>
                <w:sz w:val="16"/>
              </w:rPr>
              <w:t>Carry architecture</w:t>
            </w:r>
          </w:p>
        </w:tc>
        <w:tc>
          <w:tcPr>
            <w:tcW w:type="dxa" w:w="3168"/>
            <w:vAlign w:val="top"/>
          </w:tcPr>
          <w:p>
            <w:r/>
            <w:r>
              <w:rPr>
                <w:b w:val="0"/>
                <w:sz w:val="16"/>
              </w:rPr>
              <w:t>Where does carry live?</w:t>
            </w:r>
          </w:p>
        </w:tc>
        <w:tc>
          <w:tcPr>
            <w:tcW w:type="dxa" w:w="5256"/>
            <w:vAlign w:val="top"/>
          </w:tcPr>
          <w:p>
            <w:r/>
            <w:r>
              <w:rPr>
                <w:b w:val="0"/>
                <w:sz w:val="16"/>
              </w:rPr>
              <w:t>Directly in GP LLC; or in fund-specific CarryCo/SponsorCo; or master carry vehicle with fund-specific classes.</w:t>
            </w:r>
          </w:p>
        </w:tc>
      </w:tr>
      <w:tr>
        <w:tc>
          <w:tcPr>
            <w:tcW w:type="dxa" w:w="2160"/>
            <w:vAlign w:val="top"/>
          </w:tcPr>
          <w:p>
            <w:r/>
            <w:r>
              <w:rPr>
                <w:b w:val="0"/>
                <w:sz w:val="16"/>
              </w:rPr>
              <w:t>Investment mandate</w:t>
            </w:r>
          </w:p>
        </w:tc>
        <w:tc>
          <w:tcPr>
            <w:tcW w:type="dxa" w:w="3168"/>
            <w:vAlign w:val="top"/>
          </w:tcPr>
          <w:p>
            <w:r/>
            <w:r>
              <w:rPr>
                <w:b w:val="0"/>
                <w:sz w:val="16"/>
              </w:rPr>
              <w:t>How narrow should the whitelist and strategy be?</w:t>
            </w:r>
          </w:p>
        </w:tc>
        <w:tc>
          <w:tcPr>
            <w:tcW w:type="dxa" w:w="5256"/>
            <w:vAlign w:val="top"/>
          </w:tcPr>
          <w:p>
            <w:r/>
            <w:r>
              <w:rPr>
                <w:b w:val="0"/>
                <w:sz w:val="16"/>
              </w:rPr>
              <w:t>Whitelisted late-stage private technology secondaries, plus enough flexibility for SPVs/tender/blocker/weird vehicles.</w:t>
            </w:r>
          </w:p>
        </w:tc>
      </w:tr>
      <w:tr>
        <w:tc>
          <w:tcPr>
            <w:tcW w:type="dxa" w:w="2160"/>
            <w:vAlign w:val="top"/>
          </w:tcPr>
          <w:p>
            <w:r/>
            <w:r>
              <w:rPr>
                <w:b w:val="0"/>
                <w:sz w:val="16"/>
              </w:rPr>
              <w:t>Offering structure</w:t>
            </w:r>
          </w:p>
        </w:tc>
        <w:tc>
          <w:tcPr>
            <w:tcW w:type="dxa" w:w="3168"/>
            <w:vAlign w:val="top"/>
          </w:tcPr>
          <w:p>
            <w:r/>
            <w:r>
              <w:rPr>
                <w:b w:val="0"/>
                <w:sz w:val="16"/>
              </w:rPr>
              <w:t>3(c)(1) or 3(c)(7)? 506(b) or 506(c)?</w:t>
            </w:r>
          </w:p>
        </w:tc>
        <w:tc>
          <w:tcPr>
            <w:tcW w:type="dxa" w:w="5256"/>
            <w:vAlign w:val="top"/>
          </w:tcPr>
          <w:p>
            <w:r/>
            <w:r>
              <w:rPr>
                <w:b w:val="0"/>
                <w:sz w:val="16"/>
              </w:rPr>
              <w:t>Driven by target LP base, solicitation method, QP status, and broker-dealer process.</w:t>
            </w:r>
          </w:p>
        </w:tc>
      </w:tr>
      <w:tr>
        <w:tc>
          <w:tcPr>
            <w:tcW w:type="dxa" w:w="2160"/>
            <w:vAlign w:val="top"/>
          </w:tcPr>
          <w:p>
            <w:r/>
            <w:r>
              <w:rPr>
                <w:b w:val="0"/>
                <w:sz w:val="16"/>
              </w:rPr>
              <w:t>Placement model</w:t>
            </w:r>
          </w:p>
        </w:tc>
        <w:tc>
          <w:tcPr>
            <w:tcW w:type="dxa" w:w="3168"/>
            <w:vAlign w:val="top"/>
          </w:tcPr>
          <w:p>
            <w:r/>
            <w:r>
              <w:rPr>
                <w:b w:val="0"/>
                <w:sz w:val="16"/>
              </w:rPr>
              <w:t>Who may source LP capital and how can they be paid?</w:t>
            </w:r>
          </w:p>
        </w:tc>
        <w:tc>
          <w:tcPr>
            <w:tcW w:type="dxa" w:w="5256"/>
            <w:vAlign w:val="top"/>
          </w:tcPr>
          <w:p>
            <w:r/>
            <w:r>
              <w:rPr>
                <w:b w:val="0"/>
                <w:sz w:val="16"/>
              </w:rPr>
              <w:t>Registered broker-dealers, placement agents, finders, consultants, strategic partners. Need compliance path.</w:t>
            </w:r>
          </w:p>
        </w:tc>
      </w:tr>
      <w:tr>
        <w:tc>
          <w:tcPr>
            <w:tcW w:type="dxa" w:w="2160"/>
            <w:vAlign w:val="top"/>
          </w:tcPr>
          <w:p>
            <w:r/>
            <w:r>
              <w:rPr>
                <w:b w:val="0"/>
                <w:sz w:val="16"/>
              </w:rPr>
              <w:t>Sell-side/deal sourcing model</w:t>
            </w:r>
          </w:p>
        </w:tc>
        <w:tc>
          <w:tcPr>
            <w:tcW w:type="dxa" w:w="3168"/>
            <w:vAlign w:val="top"/>
          </w:tcPr>
          <w:p>
            <w:r/>
            <w:r>
              <w:rPr>
                <w:b w:val="0"/>
                <w:sz w:val="16"/>
              </w:rPr>
              <w:t>Who may source investment opportunities and how can they be paid?</w:t>
            </w:r>
          </w:p>
        </w:tc>
        <w:tc>
          <w:tcPr>
            <w:tcW w:type="dxa" w:w="5256"/>
            <w:vAlign w:val="top"/>
          </w:tcPr>
          <w:p>
            <w:r/>
            <w:r>
              <w:rPr>
                <w:b w:val="0"/>
                <w:sz w:val="16"/>
              </w:rPr>
              <w:t>Need standard agreements and securities-law analysis if transaction-based.</w:t>
            </w:r>
          </w:p>
        </w:tc>
      </w:tr>
      <w:tr>
        <w:tc>
          <w:tcPr>
            <w:tcW w:type="dxa" w:w="2160"/>
            <w:vAlign w:val="top"/>
          </w:tcPr>
          <w:p>
            <w:r/>
            <w:r>
              <w:rPr>
                <w:b w:val="0"/>
                <w:sz w:val="16"/>
              </w:rPr>
              <w:t>Capital call mechanics</w:t>
            </w:r>
          </w:p>
        </w:tc>
        <w:tc>
          <w:tcPr>
            <w:tcW w:type="dxa" w:w="3168"/>
            <w:vAlign w:val="top"/>
          </w:tcPr>
          <w:p>
            <w:r/>
            <w:r>
              <w:rPr>
                <w:b w:val="0"/>
                <w:sz w:val="16"/>
              </w:rPr>
              <w:t>How much capital is committed vs wired upfront?</w:t>
            </w:r>
          </w:p>
        </w:tc>
        <w:tc>
          <w:tcPr>
            <w:tcW w:type="dxa" w:w="5256"/>
            <w:vAlign w:val="top"/>
          </w:tcPr>
          <w:p>
            <w:r/>
            <w:r>
              <w:rPr>
                <w:b w:val="0"/>
                <w:sz w:val="16"/>
              </w:rPr>
              <w:t>Initial drawdown, short calls, emergency calls, bridge/sub line, GP advances, reserves, warehousing.</w:t>
            </w:r>
          </w:p>
        </w:tc>
      </w:tr>
      <w:tr>
        <w:tc>
          <w:tcPr>
            <w:tcW w:type="dxa" w:w="2160"/>
            <w:vAlign w:val="top"/>
          </w:tcPr>
          <w:p>
            <w:r/>
            <w:r>
              <w:rPr>
                <w:b w:val="0"/>
                <w:sz w:val="16"/>
              </w:rPr>
              <w:t>Future funds and parallel vehicles</w:t>
            </w:r>
          </w:p>
        </w:tc>
        <w:tc>
          <w:tcPr>
            <w:tcW w:type="dxa" w:w="3168"/>
            <w:vAlign w:val="top"/>
          </w:tcPr>
          <w:p>
            <w:r/>
            <w:r>
              <w:rPr>
                <w:b w:val="0"/>
                <w:sz w:val="16"/>
              </w:rPr>
              <w:t>When can a successor fund, SPV, sidecar, or co-invest vehicle be launched?</w:t>
            </w:r>
          </w:p>
        </w:tc>
        <w:tc>
          <w:tcPr>
            <w:tcW w:type="dxa" w:w="5256"/>
            <w:vAlign w:val="top"/>
          </w:tcPr>
          <w:p>
            <w:r/>
            <w:r>
              <w:rPr>
                <w:b w:val="0"/>
                <w:sz w:val="16"/>
              </w:rPr>
              <w:t>Need carveouts from successor-fund restrictions and allocation rules.</w:t>
            </w:r>
          </w:p>
        </w:tc>
      </w:tr>
      <w:tr>
        <w:tc>
          <w:tcPr>
            <w:tcW w:type="dxa" w:w="2160"/>
            <w:vAlign w:val="top"/>
          </w:tcPr>
          <w:p>
            <w:r/>
            <w:r>
              <w:rPr>
                <w:b w:val="0"/>
                <w:sz w:val="16"/>
              </w:rPr>
              <w:t>Fees and waterfall</w:t>
            </w:r>
          </w:p>
        </w:tc>
        <w:tc>
          <w:tcPr>
            <w:tcW w:type="dxa" w:w="3168"/>
            <w:vAlign w:val="top"/>
          </w:tcPr>
          <w:p>
            <w:r/>
            <w:r>
              <w:rPr>
                <w:b w:val="0"/>
                <w:sz w:val="16"/>
              </w:rPr>
              <w:t>Management fee, carry percentage, preferred return, waterfall, offsets?</w:t>
            </w:r>
          </w:p>
        </w:tc>
        <w:tc>
          <w:tcPr>
            <w:tcW w:type="dxa" w:w="5256"/>
            <w:vAlign w:val="top"/>
          </w:tcPr>
          <w:p>
            <w:r/>
            <w:r>
              <w:rPr>
                <w:b w:val="0"/>
                <w:sz w:val="16"/>
              </w:rPr>
              <w:t>Decide European vs deal-by-deal, clawback, fee offset treatment for transaction/placement/sourcing fees.</w:t>
            </w:r>
          </w:p>
        </w:tc>
      </w:tr>
      <w:tr>
        <w:tc>
          <w:tcPr>
            <w:tcW w:type="dxa" w:w="2160"/>
            <w:vAlign w:val="top"/>
          </w:tcPr>
          <w:p>
            <w:r/>
            <w:r>
              <w:rPr>
                <w:b w:val="0"/>
                <w:sz w:val="16"/>
              </w:rPr>
              <w:t>Governance and LPAC</w:t>
            </w:r>
          </w:p>
        </w:tc>
        <w:tc>
          <w:tcPr>
            <w:tcW w:type="dxa" w:w="3168"/>
            <w:vAlign w:val="top"/>
          </w:tcPr>
          <w:p>
            <w:r/>
            <w:r>
              <w:rPr>
                <w:b w:val="0"/>
                <w:sz w:val="16"/>
              </w:rPr>
              <w:t>How much LP consent/LPAC approval should be required?</w:t>
            </w:r>
          </w:p>
        </w:tc>
        <w:tc>
          <w:tcPr>
            <w:tcW w:type="dxa" w:w="5256"/>
            <w:vAlign w:val="top"/>
          </w:tcPr>
          <w:p>
            <w:r/>
            <w:r>
              <w:rPr>
                <w:b w:val="0"/>
                <w:sz w:val="16"/>
              </w:rPr>
              <w:t>Conflicts, affiliate transactions, follow-ons, successor funds, valuation objections, removal rights.</w:t>
            </w:r>
          </w:p>
        </w:tc>
      </w:tr>
    </w:tbl>
    <w:p/>
    <w:p>
      <w:pPr>
        <w:pStyle w:val="Heading1"/>
      </w:pPr>
      <w:r>
        <w:t>3. Detailed Questions to Answer</w:t>
      </w:r>
    </w:p>
    <w:p>
      <w:pPr>
        <w:pStyle w:val="Heading2"/>
      </w:pPr>
      <w:r>
        <w:t>A. Entity structure and ownership</w:t>
      </w:r>
    </w:p>
    <w:p>
      <w:pPr>
        <w:pStyle w:val="ListBullet"/>
      </w:pPr>
      <w:r>
        <w:rPr>
          <w:sz w:val="20"/>
        </w:rPr>
        <w:t>Will the fund be a Delaware LP or Delaware LLC?</w:t>
      </w:r>
    </w:p>
    <w:p>
      <w:pPr>
        <w:pStyle w:val="ListBullet"/>
      </w:pPr>
      <w:r>
        <w:rPr>
          <w:sz w:val="20"/>
        </w:rPr>
        <w:t>Will the GP be fund-specific for each fund?</w:t>
      </w:r>
    </w:p>
    <w:p>
      <w:pPr>
        <w:pStyle w:val="ListBullet"/>
      </w:pPr>
      <w:r>
        <w:rPr>
          <w:sz w:val="20"/>
        </w:rPr>
        <w:t>Will there be a single platform Manager LLC across all funds?</w:t>
      </w:r>
    </w:p>
    <w:p>
      <w:pPr>
        <w:pStyle w:val="ListBullet"/>
      </w:pPr>
      <w:r>
        <w:rPr>
          <w:sz w:val="20"/>
        </w:rPr>
        <w:t>Will there be a Sponsor HoldCo above the Manager and GP entities?</w:t>
      </w:r>
    </w:p>
    <w:p>
      <w:pPr>
        <w:pStyle w:val="ListBullet"/>
      </w:pPr>
      <w:r>
        <w:rPr>
          <w:sz w:val="20"/>
        </w:rPr>
        <w:t>Do we need a fund-specific CarryCo/SponsorCo, or can carry be split in the GP LLC operating agreement?</w:t>
      </w:r>
    </w:p>
    <w:p>
      <w:pPr>
        <w:pStyle w:val="ListBullet"/>
      </w:pPr>
      <w:r>
        <w:rPr>
          <w:sz w:val="20"/>
        </w:rPr>
        <w:t>If CarryCo is used, does it own the GP LLC or merely receive carry economics from the GP?</w:t>
      </w:r>
    </w:p>
    <w:p>
      <w:pPr>
        <w:pStyle w:val="ListBullet"/>
      </w:pPr>
      <w:r>
        <w:rPr>
          <w:sz w:val="20"/>
        </w:rPr>
        <w:t>Who has voting control at each level: GP, Manager, Sponsor HoldCo, CarryCo?</w:t>
      </w:r>
    </w:p>
    <w:p>
      <w:pPr>
        <w:pStyle w:val="ListBullet"/>
      </w:pPr>
      <w:r>
        <w:rPr>
          <w:sz w:val="20"/>
        </w:rPr>
        <w:t>Can non-voting economic participants receive carry without governance rights?</w:t>
      </w:r>
    </w:p>
    <w:p>
      <w:pPr>
        <w:pStyle w:val="ListBullet"/>
      </w:pPr>
      <w:r>
        <w:rPr>
          <w:sz w:val="20"/>
        </w:rPr>
        <w:t>How are clawback obligations allocated among ultimate carry recipients?</w:t>
      </w:r>
    </w:p>
    <w:p>
      <w:pPr>
        <w:pStyle w:val="Heading2"/>
      </w:pPr>
      <w:r>
        <w:t>B. Fund economics</w:t>
      </w:r>
    </w:p>
    <w:p>
      <w:pPr>
        <w:pStyle w:val="ListBullet"/>
      </w:pPr>
      <w:r>
        <w:rPr>
          <w:sz w:val="20"/>
        </w:rPr>
        <w:t>What is the target fund size and hard cap?</w:t>
      </w:r>
    </w:p>
    <w:p>
      <w:pPr>
        <w:pStyle w:val="ListBullet"/>
      </w:pPr>
      <w:r>
        <w:rPr>
          <w:sz w:val="20"/>
        </w:rPr>
        <w:t>What is the minimum LP commitment, and can the GP waive it?</w:t>
      </w:r>
    </w:p>
    <w:p>
      <w:pPr>
        <w:pStyle w:val="ListBullet"/>
      </w:pPr>
      <w:r>
        <w:rPr>
          <w:sz w:val="20"/>
        </w:rPr>
        <w:t>What is the management fee rate and base: committed capital, invested capital, NAV, or stepped-down rate?</w:t>
      </w:r>
    </w:p>
    <w:p>
      <w:pPr>
        <w:pStyle w:val="ListBullet"/>
      </w:pPr>
      <w:r>
        <w:rPr>
          <w:sz w:val="20"/>
        </w:rPr>
        <w:t>Does the management fee begin at initial closing or only when capital is drawn?</w:t>
      </w:r>
    </w:p>
    <w:p>
      <w:pPr>
        <w:pStyle w:val="ListBullet"/>
      </w:pPr>
      <w:r>
        <w:rPr>
          <w:sz w:val="20"/>
        </w:rPr>
        <w:t>Will placement fees, organization expenses, transaction fees, or monitoring fees offset management fees?</w:t>
      </w:r>
    </w:p>
    <w:p>
      <w:pPr>
        <w:pStyle w:val="ListBullet"/>
      </w:pPr>
      <w:r>
        <w:rPr>
          <w:sz w:val="20"/>
        </w:rPr>
        <w:t>What is the carry percentage?</w:t>
      </w:r>
    </w:p>
    <w:p>
      <w:pPr>
        <w:pStyle w:val="ListBullet"/>
      </w:pPr>
      <w:r>
        <w:rPr>
          <w:sz w:val="20"/>
        </w:rPr>
        <w:t>Is there a preferred return or hurdle?</w:t>
      </w:r>
    </w:p>
    <w:p>
      <w:pPr>
        <w:pStyle w:val="ListBullet"/>
      </w:pPr>
      <w:r>
        <w:rPr>
          <w:sz w:val="20"/>
        </w:rPr>
        <w:t>European waterfall or deal-by-deal waterfall?</w:t>
      </w:r>
    </w:p>
    <w:p>
      <w:pPr>
        <w:pStyle w:val="ListBullet"/>
      </w:pPr>
      <w:r>
        <w:rPr>
          <w:sz w:val="20"/>
        </w:rPr>
        <w:t>Will there be GP catch-up?</w:t>
      </w:r>
    </w:p>
    <w:p>
      <w:pPr>
        <w:pStyle w:val="ListBullet"/>
      </w:pPr>
      <w:r>
        <w:rPr>
          <w:sz w:val="20"/>
        </w:rPr>
        <w:t>What is the GP commitment, and can it be cashless, notes, warehoused securities, or fee waiver?</w:t>
      </w:r>
    </w:p>
    <w:p>
      <w:pPr>
        <w:pStyle w:val="Heading2"/>
      </w:pPr>
      <w:r>
        <w:t>C. Investment mandate and whitelist</w:t>
      </w:r>
    </w:p>
    <w:p>
      <w:pPr>
        <w:pStyle w:val="ListBullet"/>
      </w:pPr>
      <w:r>
        <w:rPr>
          <w:sz w:val="20"/>
        </w:rPr>
        <w:t>What counts as a late-stage private technology company?</w:t>
      </w:r>
    </w:p>
    <w:p>
      <w:pPr>
        <w:pStyle w:val="ListBullet"/>
      </w:pPr>
      <w:r>
        <w:rPr>
          <w:sz w:val="20"/>
        </w:rPr>
        <w:t>Will the fund be limited to a Schedule A whitelist of companies?</w:t>
      </w:r>
    </w:p>
    <w:p>
      <w:pPr>
        <w:pStyle w:val="ListBullet"/>
      </w:pPr>
      <w:r>
        <w:rPr>
          <w:sz w:val="20"/>
        </w:rPr>
        <w:t>Who can add or remove whitelist companies, and with what approval?</w:t>
      </w:r>
    </w:p>
    <w:p>
      <w:pPr>
        <w:pStyle w:val="ListBullet"/>
      </w:pPr>
      <w:r>
        <w:rPr>
          <w:sz w:val="20"/>
        </w:rPr>
        <w:t>Can the fund invest in companies outside the whitelist with LPAC or majority LP approval?</w:t>
      </w:r>
    </w:p>
    <w:p>
      <w:pPr>
        <w:pStyle w:val="ListBullet"/>
      </w:pPr>
      <w:r>
        <w:rPr>
          <w:sz w:val="20"/>
        </w:rPr>
        <w:t>Can the fund invest in SPV interests, tender vehicles, forward contracts, contractual rights, or secondary-access vehicles?</w:t>
      </w:r>
    </w:p>
    <w:p>
      <w:pPr>
        <w:pStyle w:val="ListBullet"/>
      </w:pPr>
      <w:r>
        <w:rPr>
          <w:sz w:val="20"/>
        </w:rPr>
        <w:t>Can the fund invest in non-U.S. companies or non-U.S. holding structures?</w:t>
      </w:r>
    </w:p>
    <w:p>
      <w:pPr>
        <w:pStyle w:val="ListBullet"/>
      </w:pPr>
      <w:r>
        <w:rPr>
          <w:sz w:val="20"/>
        </w:rPr>
        <w:t>What are single-company concentration limits?</w:t>
      </w:r>
    </w:p>
    <w:p>
      <w:pPr>
        <w:pStyle w:val="ListBullet"/>
      </w:pPr>
      <w:r>
        <w:rPr>
          <w:sz w:val="20"/>
        </w:rPr>
        <w:t>Will the fund allow follow-on investments after the investment period?</w:t>
      </w:r>
    </w:p>
    <w:p>
      <w:pPr>
        <w:pStyle w:val="ListBullet"/>
      </w:pPr>
      <w:r>
        <w:rPr>
          <w:sz w:val="20"/>
        </w:rPr>
        <w:t>Will there be sector exclusions or ESG/prohibited activity restrictions?</w:t>
      </w:r>
    </w:p>
    <w:p>
      <w:pPr>
        <w:pStyle w:val="ListBullet"/>
      </w:pPr>
      <w:r>
        <w:rPr>
          <w:sz w:val="20"/>
        </w:rPr>
        <w:t>How should transfer restrictions, ROFRs, company consent, tender rules, and lockups be disclosed?</w:t>
      </w:r>
    </w:p>
    <w:p>
      <w:pPr>
        <w:pStyle w:val="Heading2"/>
      </w:pPr>
      <w:r>
        <w:t>D. Capital calls, speed, and warehousing</w:t>
      </w:r>
    </w:p>
    <w:p>
      <w:pPr>
        <w:pStyle w:val="ListBullet"/>
      </w:pPr>
      <w:r>
        <w:rPr>
          <w:sz w:val="20"/>
        </w:rPr>
        <w:t>What percentage, if any, is drawn at closing?</w:t>
      </w:r>
    </w:p>
    <w:p>
      <w:pPr>
        <w:pStyle w:val="ListBullet"/>
      </w:pPr>
      <w:r>
        <w:rPr>
          <w:sz w:val="20"/>
        </w:rPr>
        <w:t>What is the standard capital call notice period?</w:t>
      </w:r>
    </w:p>
    <w:p>
      <w:pPr>
        <w:pStyle w:val="ListBullet"/>
      </w:pPr>
      <w:r>
        <w:rPr>
          <w:sz w:val="20"/>
        </w:rPr>
        <w:t>What is the emergency/special capital call notice period for time-sensitive secondary deals?</w:t>
      </w:r>
    </w:p>
    <w:p>
      <w:pPr>
        <w:pStyle w:val="ListBullet"/>
      </w:pPr>
      <w:r>
        <w:rPr>
          <w:sz w:val="20"/>
        </w:rPr>
        <w:t>Can the GP call capital for deposits, broken-deal expenses, legal diligence, and reserves?</w:t>
      </w:r>
    </w:p>
    <w:p>
      <w:pPr>
        <w:pStyle w:val="ListBullet"/>
      </w:pPr>
      <w:r>
        <w:rPr>
          <w:sz w:val="20"/>
        </w:rPr>
        <w:t>What default remedies apply if an LP misses a capital call?</w:t>
      </w:r>
    </w:p>
    <w:p>
      <w:pPr>
        <w:pStyle w:val="ListBullet"/>
      </w:pPr>
      <w:r>
        <w:rPr>
          <w:sz w:val="20"/>
        </w:rPr>
        <w:t>Can the fund borrow under a bridge facility or subscription line?</w:t>
      </w:r>
    </w:p>
    <w:p>
      <w:pPr>
        <w:pStyle w:val="ListBullet"/>
      </w:pPr>
      <w:r>
        <w:rPr>
          <w:sz w:val="20"/>
        </w:rPr>
        <w:t>Can the GP or affiliate advance funds to the fund?</w:t>
      </w:r>
    </w:p>
    <w:p>
      <w:pPr>
        <w:pStyle w:val="ListBullet"/>
      </w:pPr>
      <w:r>
        <w:rPr>
          <w:sz w:val="20"/>
        </w:rPr>
        <w:t>Can the GP or affiliate warehouse securities and later sell them to the fund?</w:t>
      </w:r>
    </w:p>
    <w:p>
      <w:pPr>
        <w:pStyle w:val="ListBullet"/>
      </w:pPr>
      <w:r>
        <w:rPr>
          <w:sz w:val="20"/>
        </w:rPr>
        <w:t>What approvals are needed for warehoused investments?</w:t>
      </w:r>
    </w:p>
    <w:p>
      <w:pPr>
        <w:pStyle w:val="ListBullet"/>
      </w:pPr>
      <w:r>
        <w:rPr>
          <w:sz w:val="20"/>
        </w:rPr>
        <w:t>How are warehousing costs, interest, legal fees, and conflict disclosures handled?</w:t>
      </w:r>
    </w:p>
    <w:p>
      <w:pPr>
        <w:pStyle w:val="Heading2"/>
      </w:pPr>
      <w:r>
        <w:t>E. Buy-side placement / capital formation</w:t>
      </w:r>
    </w:p>
    <w:p>
      <w:pPr>
        <w:pStyle w:val="ListBullet"/>
      </w:pPr>
      <w:r>
        <w:rPr>
          <w:sz w:val="20"/>
        </w:rPr>
        <w:t>Who can solicit LPs?</w:t>
      </w:r>
    </w:p>
    <w:p>
      <w:pPr>
        <w:pStyle w:val="ListBullet"/>
      </w:pPr>
      <w:r>
        <w:rPr>
          <w:sz w:val="20"/>
        </w:rPr>
        <w:t>Must any compensated LP placement be through a registered broker-dealer?</w:t>
      </w:r>
    </w:p>
    <w:p>
      <w:pPr>
        <w:pStyle w:val="ListBullet"/>
      </w:pPr>
      <w:r>
        <w:rPr>
          <w:sz w:val="20"/>
        </w:rPr>
        <w:t>Can non-BD finders or consultants be used, and under what restrictions?</w:t>
      </w:r>
    </w:p>
    <w:p>
      <w:pPr>
        <w:pStyle w:val="ListBullet"/>
      </w:pPr>
      <w:r>
        <w:rPr>
          <w:sz w:val="20"/>
        </w:rPr>
        <w:t>Can placement compensation include cash fees, management fee sharing, carried interest, revenue share, or expense reimbursement?</w:t>
      </w:r>
    </w:p>
    <w:p>
      <w:pPr>
        <w:pStyle w:val="ListBullet"/>
      </w:pPr>
      <w:r>
        <w:rPr>
          <w:sz w:val="20"/>
        </w:rPr>
        <w:t>Is compensation paid by the Fund, GP, Manager, CarryCo, or affiliate?</w:t>
      </w:r>
    </w:p>
    <w:p>
      <w:pPr>
        <w:pStyle w:val="ListBullet"/>
      </w:pPr>
      <w:r>
        <w:rPr>
          <w:sz w:val="20"/>
        </w:rPr>
        <w:t>Is the compensation treated as Fund Expense, Manager expense, or GP/carry sharing?</w:t>
      </w:r>
    </w:p>
    <w:p>
      <w:pPr>
        <w:pStyle w:val="ListBullet"/>
      </w:pPr>
      <w:r>
        <w:rPr>
          <w:sz w:val="20"/>
        </w:rPr>
        <w:t>Will placement-linked carry require disclosure in the PPM and/or term sheet?</w:t>
      </w:r>
    </w:p>
    <w:p>
      <w:pPr>
        <w:pStyle w:val="ListBullet"/>
      </w:pPr>
      <w:r>
        <w:rPr>
          <w:sz w:val="20"/>
        </w:rPr>
        <w:t>Will placement parties receive a tail on LPs introduced before termination?</w:t>
      </w:r>
    </w:p>
    <w:p>
      <w:pPr>
        <w:pStyle w:val="ListBullet"/>
      </w:pPr>
      <w:r>
        <w:rPr>
          <w:sz w:val="20"/>
        </w:rPr>
        <w:t>Who approves offering materials and investor communications?</w:t>
      </w:r>
    </w:p>
    <w:p>
      <w:pPr>
        <w:pStyle w:val="ListBullet"/>
      </w:pPr>
      <w:r>
        <w:rPr>
          <w:sz w:val="20"/>
        </w:rPr>
        <w:t>How will 506(b) relationship rules or 506(c) verification rules be handled?</w:t>
      </w:r>
    </w:p>
    <w:p>
      <w:pPr>
        <w:pStyle w:val="Heading2"/>
      </w:pPr>
      <w:r>
        <w:t>F. Sell-side sourcing / origination</w:t>
      </w:r>
    </w:p>
    <w:p>
      <w:pPr>
        <w:pStyle w:val="ListBullet"/>
      </w:pPr>
      <w:r>
        <w:rPr>
          <w:sz w:val="20"/>
        </w:rPr>
        <w:t>Who can source secondary opportunities?</w:t>
      </w:r>
    </w:p>
    <w:p>
      <w:pPr>
        <w:pStyle w:val="ListBullet"/>
      </w:pPr>
      <w:r>
        <w:rPr>
          <w:sz w:val="20"/>
        </w:rPr>
        <w:t>Can sourcing parties receive cash fees, deal-by-deal carry, fund carry, or revenue share?</w:t>
      </w:r>
    </w:p>
    <w:p>
      <w:pPr>
        <w:pStyle w:val="ListBullet"/>
      </w:pPr>
      <w:r>
        <w:rPr>
          <w:sz w:val="20"/>
        </w:rPr>
        <w:t>Can a deal source negotiate terms, or only introduce opportunities?</w:t>
      </w:r>
    </w:p>
    <w:p>
      <w:pPr>
        <w:pStyle w:val="ListBullet"/>
      </w:pPr>
      <w:r>
        <w:rPr>
          <w:sz w:val="20"/>
        </w:rPr>
        <w:t>Can a deal source also represent sellers?</w:t>
      </w:r>
    </w:p>
    <w:p>
      <w:pPr>
        <w:pStyle w:val="ListBullet"/>
      </w:pPr>
      <w:r>
        <w:rPr>
          <w:sz w:val="20"/>
        </w:rPr>
        <w:t>Do deal-source payments create broker-dealer concerns?</w:t>
      </w:r>
    </w:p>
    <w:p>
      <w:pPr>
        <w:pStyle w:val="ListBullet"/>
      </w:pPr>
      <w:r>
        <w:rPr>
          <w:sz w:val="20"/>
        </w:rPr>
        <w:t>Are sourcing fees Fund Expenses or Manager/GP expenses?</w:t>
      </w:r>
    </w:p>
    <w:p>
      <w:pPr>
        <w:pStyle w:val="ListBullet"/>
      </w:pPr>
      <w:r>
        <w:rPr>
          <w:sz w:val="20"/>
        </w:rPr>
        <w:t>Are there exclusivity, non-circumvention, or tail periods?</w:t>
      </w:r>
    </w:p>
    <w:p>
      <w:pPr>
        <w:pStyle w:val="ListBullet"/>
      </w:pPr>
      <w:r>
        <w:rPr>
          <w:sz w:val="20"/>
        </w:rPr>
        <w:t>What disclosures are required for affiliated or related-party sourcing?</w:t>
      </w:r>
    </w:p>
    <w:p>
      <w:pPr>
        <w:pStyle w:val="ListBullet"/>
      </w:pPr>
      <w:r>
        <w:rPr>
          <w:sz w:val="20"/>
        </w:rPr>
        <w:t>How are conflicts handled if a source also participates in another vehicle?</w:t>
      </w:r>
    </w:p>
    <w:p>
      <w:pPr>
        <w:pStyle w:val="ListBullet"/>
      </w:pPr>
      <w:r>
        <w:rPr>
          <w:sz w:val="20"/>
        </w:rPr>
        <w:t>Who has authority to approve sourced deals?</w:t>
      </w:r>
    </w:p>
    <w:p>
      <w:pPr>
        <w:pStyle w:val="Heading2"/>
      </w:pPr>
      <w:r>
        <w:t>G. Future funds, SPVs, and allocations</w:t>
      </w:r>
    </w:p>
    <w:p>
      <w:pPr>
        <w:pStyle w:val="ListBullet"/>
      </w:pPr>
      <w:r>
        <w:rPr>
          <w:sz w:val="20"/>
        </w:rPr>
        <w:t>When can a successor fund be launched?</w:t>
      </w:r>
    </w:p>
    <w:p>
      <w:pPr>
        <w:pStyle w:val="ListBullet"/>
      </w:pPr>
      <w:r>
        <w:rPr>
          <w:sz w:val="20"/>
        </w:rPr>
        <w:t>What counts as a prohibited substantially similar blind-pool fund?</w:t>
      </w:r>
    </w:p>
    <w:p>
      <w:pPr>
        <w:pStyle w:val="ListBullet"/>
      </w:pPr>
      <w:r>
        <w:rPr>
          <w:sz w:val="20"/>
        </w:rPr>
        <w:t>What carveouts are needed for co-invest vehicles, single-deal SPVs, feeders, blockers, alternative investment vehicles, holding vehicles, and overflow vehicles?</w:t>
      </w:r>
    </w:p>
    <w:p>
      <w:pPr>
        <w:pStyle w:val="ListBullet"/>
      </w:pPr>
      <w:r>
        <w:rPr>
          <w:sz w:val="20"/>
        </w:rPr>
        <w:t>Can the Manager manage multiple funds at once?</w:t>
      </w:r>
    </w:p>
    <w:p>
      <w:pPr>
        <w:pStyle w:val="ListBullet"/>
      </w:pPr>
      <w:r>
        <w:rPr>
          <w:sz w:val="20"/>
        </w:rPr>
        <w:t>How are opportunities allocated among Fund I, Fund II, co-invests, parallel funds, SPVs, affiliates, and insiders?</w:t>
      </w:r>
    </w:p>
    <w:p>
      <w:pPr>
        <w:pStyle w:val="ListBullet"/>
      </w:pPr>
      <w:r>
        <w:rPr>
          <w:sz w:val="20"/>
        </w:rPr>
        <w:t>Can LPs get co-investment rights?</w:t>
      </w:r>
    </w:p>
    <w:p>
      <w:pPr>
        <w:pStyle w:val="ListBullet"/>
      </w:pPr>
      <w:r>
        <w:rPr>
          <w:sz w:val="20"/>
        </w:rPr>
        <w:t>Can insiders invest personally alongside the fund?</w:t>
      </w:r>
    </w:p>
    <w:p>
      <w:pPr>
        <w:pStyle w:val="ListBullet"/>
      </w:pPr>
      <w:r>
        <w:rPr>
          <w:sz w:val="20"/>
        </w:rPr>
        <w:t>Can the fund invest through a vehicle that charges its own fees/carry?</w:t>
      </w:r>
    </w:p>
    <w:p>
      <w:pPr>
        <w:pStyle w:val="ListBullet"/>
      </w:pPr>
      <w:r>
        <w:rPr>
          <w:sz w:val="20"/>
        </w:rPr>
        <w:t>Will LPAC approval be needed for certain conflicts or allocation decisions?</w:t>
      </w:r>
    </w:p>
    <w:p>
      <w:pPr>
        <w:pStyle w:val="Heading2"/>
      </w:pPr>
      <w:r>
        <w:t>H. Regulatory, compliance, and operations</w:t>
      </w:r>
    </w:p>
    <w:p>
      <w:pPr>
        <w:pStyle w:val="ListBullet"/>
      </w:pPr>
      <w:r>
        <w:rPr>
          <w:sz w:val="20"/>
        </w:rPr>
        <w:t>Will the manager rely on an investment adviser exemption or register?</w:t>
      </w:r>
    </w:p>
    <w:p>
      <w:pPr>
        <w:pStyle w:val="ListBullet"/>
      </w:pPr>
      <w:r>
        <w:rPr>
          <w:sz w:val="20"/>
        </w:rPr>
        <w:t>What state-level adviser requirements apply?</w:t>
      </w:r>
    </w:p>
    <w:p>
      <w:pPr>
        <w:pStyle w:val="ListBullet"/>
      </w:pPr>
      <w:r>
        <w:rPr>
          <w:sz w:val="20"/>
        </w:rPr>
        <w:t>Who handles AML/KYC and bad actor checks?</w:t>
      </w:r>
    </w:p>
    <w:p>
      <w:pPr>
        <w:pStyle w:val="ListBullet"/>
      </w:pPr>
      <w:r>
        <w:rPr>
          <w:sz w:val="20"/>
        </w:rPr>
        <w:t>Who is fund administrator?</w:t>
      </w:r>
    </w:p>
    <w:p>
      <w:pPr>
        <w:pStyle w:val="ListBullet"/>
      </w:pPr>
      <w:r>
        <w:rPr>
          <w:sz w:val="20"/>
        </w:rPr>
        <w:t>Will annual financials be audited?</w:t>
      </w:r>
    </w:p>
    <w:p>
      <w:pPr>
        <w:pStyle w:val="ListBullet"/>
      </w:pPr>
      <w:r>
        <w:rPr>
          <w:sz w:val="20"/>
        </w:rPr>
        <w:t>What reporting cadence is promised to LPs?</w:t>
      </w:r>
    </w:p>
    <w:p>
      <w:pPr>
        <w:pStyle w:val="ListBullet"/>
      </w:pPr>
      <w:r>
        <w:rPr>
          <w:sz w:val="20"/>
        </w:rPr>
        <w:t>Who values private positions and SPV interests?</w:t>
      </w:r>
    </w:p>
    <w:p>
      <w:pPr>
        <w:pStyle w:val="ListBullet"/>
      </w:pPr>
      <w:r>
        <w:rPr>
          <w:sz w:val="20"/>
        </w:rPr>
        <w:t>What cyber/privacy/data-room procedures are needed?</w:t>
      </w:r>
    </w:p>
    <w:p>
      <w:pPr>
        <w:pStyle w:val="ListBullet"/>
      </w:pPr>
      <w:r>
        <w:rPr>
          <w:sz w:val="20"/>
        </w:rPr>
        <w:t>What insurance and indemnity coverage should be maintained?</w:t>
      </w:r>
    </w:p>
    <w:p>
      <w:pPr>
        <w:pStyle w:val="ListBullet"/>
      </w:pPr>
      <w:r>
        <w:rPr>
          <w:sz w:val="20"/>
        </w:rPr>
        <w:t>What records must be kept for placement, sourcing, investment decisions, valuation, and conflicts?</w:t>
      </w:r>
    </w:p>
    <w:p>
      <w:pPr>
        <w:pStyle w:val="Heading1"/>
      </w:pPr>
      <w:r>
        <w:t>4. Requested Changes / Drafting Instructions for Orrick</w:t>
      </w:r>
    </w:p>
    <w:tbl>
      <w:tblPr>
        <w:tblW w:type="auto" w:w="0"/>
        <w:jc w:val="center"/>
        <w:tblLook w:firstColumn="1" w:firstRow="1" w:lastColumn="0" w:lastRow="0" w:noHBand="0" w:noVBand="1" w:val="04A0"/>
      </w:tblPr>
      <w:tblGrid>
        <w:gridCol w:w="10224"/>
      </w:tblGrid>
      <w:tr>
        <w:tc>
          <w:tcPr>
            <w:tcW w:type="dxa" w:w="10224"/>
            <w:shd w:fill="EAF2F8"/>
            <w:tcBorders>
              <w:top w:val="single" w:sz="8" w:space="0" w:color="2F5597"/>
              <w:left w:val="single" w:sz="8" w:space="0" w:color="2F5597"/>
              <w:bottom w:val="single" w:sz="8" w:space="0" w:color="2F5597"/>
              <w:right w:val="single" w:sz="8" w:space="0" w:color="2F5597"/>
            </w:tcBorders>
          </w:tcPr>
          <w:p>
            <w:r>
              <w:rPr>
                <w:b/>
                <w:color w:val="2F5597"/>
                <w:sz w:val="20"/>
              </w:rPr>
              <w:t>Drafting intent</w:t>
            </w:r>
          </w:p>
          <w:p>
            <w:pPr>
              <w:spacing w:after="0"/>
            </w:pPr>
            <w:r>
              <w:rPr>
                <w:sz w:val="18"/>
              </w:rPr>
              <w:t>The following provisions should be incorporated into the term sheet, PPM, Fund Agreement, GP/Manager agreements, or separate side agreements as counsel determines appropriate. The main fund documents should disclose categories of arrangements and authorize them; specific economics can be handled in separate agreements where appropriate.</w:t>
            </w:r>
          </w:p>
        </w:tc>
      </w:tr>
    </w:tbl>
    <w:p>
      <w:pPr>
        <w:pStyle w:val="Heading2"/>
      </w:pPr>
      <w:r>
        <w:t>A. Ability to give conditional carry or incentive payments</w:t>
      </w:r>
    </w:p>
    <w:p>
      <w:r>
        <w:rPr>
          <w:b/>
        </w:rPr>
        <w:t>Add a general authorization/disclosure provision:</w:t>
      </w:r>
    </w:p>
    <w:tbl>
      <w:tblPr>
        <w:tblStyle w:val="TableGrid"/>
        <w:tblW w:type="auto" w:w="0"/>
        <w:tblLook w:firstColumn="1" w:firstRow="1" w:lastColumn="0" w:lastRow="0" w:noHBand="0" w:noVBand="1" w:val="04A0"/>
      </w:tblPr>
      <w:tblGrid>
        <w:gridCol w:w="10224"/>
      </w:tblGrid>
      <w:tr>
        <w:tc>
          <w:tcPr>
            <w:tcW w:type="dxa" w:w="10224"/>
            <w:shd w:fill="F9F2DC"/>
          </w:tcPr>
          <w:p>
            <w:r/>
            <w:r>
              <w:rPr>
                <w:i/>
                <w:sz w:val="18"/>
              </w:rPr>
              <w:t>The Fund, General Partner, Manager, or their affiliates may enter into placement, referral, capital introduction, revenue-sharing, or carry-sharing arrangements with registered broker-dealers, placement agents, finders, consultants, strategic partners, or other persons, subject to applicable law. Such arrangements may include cash fees, expense reimbursements, management fee sharing, carried interest participation, or other economics, and may differ among placement parties.</w:t>
            </w:r>
          </w:p>
        </w:tc>
      </w:tr>
    </w:tbl>
    <w:p/>
    <w:p>
      <w:r>
        <w:rPr>
          <w:b/>
        </w:rPr>
        <w:t xml:space="preserve">Counsel notes / decisions: </w:t>
      </w:r>
      <w:r>
        <w:t>Need counsel to decide whether specific arrangements are Fund Expenses, Manager expenses, GP/carry sharing, management fee offsets, or side-letter matters. Also need broker-dealer/finder analysis for transaction-based or commitment-based compensation.</w:t>
      </w:r>
    </w:p>
    <w:p>
      <w:pPr>
        <w:pStyle w:val="Heading2"/>
      </w:pPr>
      <w:r>
        <w:t>B. Sourcing, origination, and strategic relationship arrangements</w:t>
      </w:r>
    </w:p>
    <w:p>
      <w:r>
        <w:rPr>
          <w:b/>
        </w:rPr>
        <w:t>Add a general authorization/disclosure provision:</w:t>
      </w:r>
    </w:p>
    <w:tbl>
      <w:tblPr>
        <w:tblStyle w:val="TableGrid"/>
        <w:tblW w:type="auto" w:w="0"/>
        <w:tblLook w:firstColumn="1" w:firstRow="1" w:lastColumn="0" w:lastRow="0" w:noHBand="0" w:noVBand="1" w:val="04A0"/>
      </w:tblPr>
      <w:tblGrid>
        <w:gridCol w:w="10224"/>
      </w:tblGrid>
      <w:tr>
        <w:tc>
          <w:tcPr>
            <w:tcW w:type="dxa" w:w="10224"/>
            <w:shd w:fill="F9F2DC"/>
          </w:tcPr>
          <w:p>
            <w:r/>
            <w:r>
              <w:rPr>
                <w:i/>
                <w:sz w:val="18"/>
              </w:rPr>
              <w:t>The Manager, GP, or affiliates may enter into sourcing, origination, consulting, brokerage, referral, or strategic relationship agreements with third parties in connection with identifying, sourcing, diligencing, acquiring, selling, or disposing of investments.</w:t>
            </w:r>
          </w:p>
        </w:tc>
      </w:tr>
    </w:tbl>
    <w:p/>
    <w:p>
      <w:r>
        <w:rPr>
          <w:b/>
        </w:rPr>
        <w:t xml:space="preserve">Counsel notes / decisions: </w:t>
      </w:r>
      <w:r>
        <w:t>Need separate form agreements for buy-side capital formation and sell-side investment sourcing. Each agreement should specify authority limits, compensation, tail, confidentiality, conflicts, and securities-law compliance.</w:t>
      </w:r>
    </w:p>
    <w:p>
      <w:pPr>
        <w:pStyle w:val="Heading2"/>
      </w:pPr>
      <w:r>
        <w:t>C. Investment objectives and permitted investments</w:t>
      </w:r>
    </w:p>
    <w:p>
      <w:r>
        <w:rPr>
          <w:b/>
        </w:rPr>
        <w:t>Revise the generic investment objective to cover:</w:t>
      </w:r>
    </w:p>
    <w:tbl>
      <w:tblPr>
        <w:tblStyle w:val="TableGrid"/>
        <w:tblW w:type="auto" w:w="0"/>
        <w:tblLook w:firstColumn="1" w:firstRow="1" w:lastColumn="0" w:lastRow="0" w:noHBand="0" w:noVBand="1" w:val="04A0"/>
      </w:tblPr>
      <w:tblGrid>
        <w:gridCol w:w="10224"/>
      </w:tblGrid>
      <w:tr>
        <w:tc>
          <w:tcPr>
            <w:tcW w:type="dxa" w:w="10224"/>
            <w:shd w:fill="F9F2DC"/>
          </w:tcPr>
          <w:p>
            <w:r/>
            <w:r>
              <w:rPr>
                <w:i/>
                <w:sz w:val="18"/>
              </w:rPr>
              <w:t>Late-stage private technology companies; secondary purchases; tender offers; direct secondaries; SPV interests; forward/contractual interests, if desired; whitelisted companies; private-market transfer restrictions; ROFR / company consent; fast-moving allocation opportunities.</w:t>
            </w:r>
          </w:p>
        </w:tc>
      </w:tr>
    </w:tbl>
    <w:p/>
    <w:p>
      <w:r>
        <w:rPr>
          <w:b/>
        </w:rPr>
        <w:t xml:space="preserve">Counsel notes / decisions: </w:t>
      </w:r>
      <w:r>
        <w:t>The mandate should be broad enough to handle private secondary-market mechanics but narrow enough that LPs understand the strategy. Include a whitelist schedule and a process for adding/removing companies.</w:t>
      </w:r>
    </w:p>
    <w:p>
      <w:pPr>
        <w:pStyle w:val="Heading2"/>
      </w:pPr>
      <w:r>
        <w:t>D. Restriction on blind-pool fund investments - carveouts for weird vehicles</w:t>
      </w:r>
    </w:p>
    <w:p>
      <w:r>
        <w:rPr>
          <w:b/>
        </w:rPr>
        <w:t>Modify any restriction on investing in other blind-pool or fee-bearing vehicles to preserve flexibility for:</w:t>
      </w:r>
    </w:p>
    <w:tbl>
      <w:tblPr>
        <w:tblStyle w:val="TableGrid"/>
        <w:tblW w:type="auto" w:w="0"/>
        <w:tblLook w:firstColumn="1" w:firstRow="1" w:lastColumn="0" w:lastRow="0" w:noHBand="0" w:noVBand="1" w:val="04A0"/>
      </w:tblPr>
      <w:tblGrid>
        <w:gridCol w:w="10224"/>
      </w:tblGrid>
      <w:tr>
        <w:tc>
          <w:tcPr>
            <w:tcW w:type="dxa" w:w="10224"/>
            <w:shd w:fill="F9F2DC"/>
          </w:tcPr>
          <w:p>
            <w:r/>
            <w:r>
              <w:rPr>
                <w:i/>
                <w:sz w:val="18"/>
              </w:rPr>
              <w:t>Single-asset SPVs; co-investment vehicles; secondary-access vehicles; tender-offer vehicles; alternative investment vehicles; holding vehicles; feeder/blocker vehicles; vehicles formed to hold one or more specified whitelisted companies.</w:t>
            </w:r>
          </w:p>
        </w:tc>
      </w:tr>
    </w:tbl>
    <w:p/>
    <w:p>
      <w:r>
        <w:rPr>
          <w:b/>
        </w:rPr>
        <w:t xml:space="preserve">Counsel notes / decisions: </w:t>
      </w:r>
      <w:r>
        <w:t>Keep the LP-protective goal of avoiding fee layering into unrelated blind pools, but carve out normal secondary-access vehicles and structures needed to acquire private-company exposure.</w:t>
      </w:r>
    </w:p>
    <w:p>
      <w:pPr>
        <w:pStyle w:val="Heading2"/>
      </w:pPr>
      <w:r>
        <w:t>E. Capital call timing and fast execution mechanics</w:t>
      </w:r>
    </w:p>
    <w:p>
      <w:r>
        <w:rPr>
          <w:b/>
        </w:rPr>
        <w:t>Revise capital-call and funding mechanics to allow faster execution:</w:t>
      </w:r>
    </w:p>
    <w:tbl>
      <w:tblPr>
        <w:tblStyle w:val="TableGrid"/>
        <w:tblW w:type="auto" w:w="0"/>
        <w:tblLook w:firstColumn="1" w:firstRow="1" w:lastColumn="0" w:lastRow="0" w:noHBand="0" w:noVBand="1" w:val="04A0"/>
      </w:tblPr>
      <w:tblGrid>
        <w:gridCol w:w="10224"/>
      </w:tblGrid>
      <w:tr>
        <w:tc>
          <w:tcPr>
            <w:tcW w:type="dxa" w:w="10224"/>
            <w:shd w:fill="F9F2DC"/>
          </w:tcPr>
          <w:p>
            <w:r/>
            <w:r>
              <w:rPr>
                <w:i/>
                <w:sz w:val="18"/>
              </w:rPr>
              <w:t>Initial drawdown at closing, e.g. 10-25%; short capital-call period, e.g. 3-5 business days; emergency/special call period for time-sensitive deals; bridge facility or subscription line; GP advance rights; warehousing rights; reserves for deposits and broken-deal expenses.</w:t>
            </w:r>
          </w:p>
        </w:tc>
      </w:tr>
    </w:tbl>
    <w:p/>
    <w:p>
      <w:r>
        <w:rPr>
          <w:b/>
        </w:rPr>
        <w:t xml:space="preserve">Counsel notes / decisions: </w:t>
      </w:r>
      <w:r>
        <w:t>The standard 10/15/20 business day capital call options may be too slow for secondary allocations. Need a practical process for LOIs, deposits, proof of funds, and warehoused positions.</w:t>
      </w:r>
    </w:p>
    <w:p>
      <w:pPr>
        <w:pStyle w:val="Heading2"/>
      </w:pPr>
      <w:r>
        <w:t>F. Successor funds, parallel funds, co-invests, and SPV carveouts</w:t>
      </w:r>
    </w:p>
    <w:p>
      <w:r>
        <w:rPr>
          <w:b/>
        </w:rPr>
        <w:t>Revise the successor-fund restriction so it does not block normal execution vehicles or future vintages:</w:t>
      </w:r>
    </w:p>
    <w:tbl>
      <w:tblPr>
        <w:tblStyle w:val="TableGrid"/>
        <w:tblW w:type="auto" w:w="0"/>
        <w:tblLook w:firstColumn="1" w:firstRow="1" w:lastColumn="0" w:lastRow="0" w:noHBand="0" w:noVBand="1" w:val="04A0"/>
      </w:tblPr>
      <w:tblGrid>
        <w:gridCol w:w="10224"/>
      </w:tblGrid>
      <w:tr>
        <w:tc>
          <w:tcPr>
            <w:tcW w:type="dxa" w:w="10224"/>
            <w:shd w:fill="F9F2DC"/>
          </w:tcPr>
          <w:p>
            <w:r/>
            <w:r>
              <w:rPr>
                <w:i/>
                <w:sz w:val="18"/>
              </w:rPr>
              <w:t>Permit feeder vehicles, blocker vehicles, alternative investment vehicles, holding vehicles, parallel funds, co-investment vehicles, single-deal SPVs, overflow vehicles, and vehicles formed for tax, regulatory, business, allocation, or deal-execution reasons.</w:t>
            </w:r>
          </w:p>
        </w:tc>
      </w:tr>
    </w:tbl>
    <w:p/>
    <w:p>
      <w:r>
        <w:rPr>
          <w:b/>
        </w:rPr>
        <w:t xml:space="preserve">Counsel notes / decisions: </w:t>
      </w:r>
      <w:r>
        <w:t>Need to balance LP protection against the need to move quickly and structure around specific secondary opportunities. Also pair this with a clear allocation policy.</w:t>
      </w:r>
    </w:p>
    <w:p>
      <w:pPr>
        <w:pStyle w:val="Heading1"/>
      </w:pPr>
      <w:r>
        <w:t>5. Immediate Decisions Before Next Draft</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504"/>
            <w:shd w:fill="1F4E79"/>
            <w:vAlign w:val="center"/>
          </w:tcPr>
          <w:p>
            <w:r/>
            <w:r>
              <w:rPr>
                <w:b/>
                <w:color w:val="FFFFFF"/>
                <w:sz w:val="17"/>
              </w:rPr>
              <w:t>#</w:t>
            </w:r>
          </w:p>
        </w:tc>
        <w:tc>
          <w:tcPr>
            <w:tcW w:type="dxa" w:w="2088"/>
            <w:shd w:fill="1F4E79"/>
            <w:vAlign w:val="center"/>
          </w:tcPr>
          <w:p>
            <w:r/>
            <w:r>
              <w:rPr>
                <w:b/>
                <w:color w:val="FFFFFF"/>
                <w:sz w:val="17"/>
              </w:rPr>
              <w:t>Decision</w:t>
            </w:r>
          </w:p>
        </w:tc>
        <w:tc>
          <w:tcPr>
            <w:tcW w:type="dxa" w:w="2376"/>
            <w:shd w:fill="1F4E79"/>
            <w:vAlign w:val="center"/>
          </w:tcPr>
          <w:p>
            <w:r/>
            <w:r>
              <w:rPr>
                <w:b/>
                <w:color w:val="FFFFFF"/>
                <w:sz w:val="17"/>
              </w:rPr>
              <w:t>Option A</w:t>
            </w:r>
          </w:p>
        </w:tc>
        <w:tc>
          <w:tcPr>
            <w:tcW w:type="dxa" w:w="2664"/>
            <w:shd w:fill="1F4E79"/>
            <w:vAlign w:val="center"/>
          </w:tcPr>
          <w:p>
            <w:r/>
            <w:r>
              <w:rPr>
                <w:b/>
                <w:color w:val="FFFFFF"/>
                <w:sz w:val="17"/>
              </w:rPr>
              <w:t>Option B</w:t>
            </w:r>
          </w:p>
        </w:tc>
        <w:tc>
          <w:tcPr>
            <w:tcW w:type="dxa" w:w="3240"/>
            <w:shd w:fill="1F4E79"/>
            <w:vAlign w:val="center"/>
          </w:tcPr>
          <w:p>
            <w:r/>
            <w:r>
              <w:rPr>
                <w:b/>
                <w:color w:val="FFFFFF"/>
                <w:sz w:val="17"/>
              </w:rPr>
              <w:t>Comment</w:t>
            </w:r>
          </w:p>
        </w:tc>
      </w:tr>
      <w:tr>
        <w:tc>
          <w:tcPr>
            <w:tcW w:type="dxa" w:w="504"/>
            <w:vAlign w:val="top"/>
          </w:tcPr>
          <w:p>
            <w:r/>
            <w:r>
              <w:rPr>
                <w:b w:val="0"/>
                <w:sz w:val="16"/>
              </w:rPr>
              <w:t>1</w:t>
            </w:r>
          </w:p>
        </w:tc>
        <w:tc>
          <w:tcPr>
            <w:tcW w:type="dxa" w:w="2088"/>
            <w:vAlign w:val="top"/>
          </w:tcPr>
          <w:p>
            <w:r/>
            <w:r>
              <w:rPr>
                <w:b w:val="0"/>
                <w:sz w:val="16"/>
              </w:rPr>
              <w:t>Use separate CarryCo?</w:t>
            </w:r>
          </w:p>
        </w:tc>
        <w:tc>
          <w:tcPr>
            <w:tcW w:type="dxa" w:w="2376"/>
            <w:vAlign w:val="top"/>
          </w:tcPr>
          <w:p>
            <w:r/>
            <w:r>
              <w:rPr>
                <w:b w:val="0"/>
                <w:sz w:val="16"/>
              </w:rPr>
              <w:t>No; split carry inside GP LLC.</w:t>
            </w:r>
          </w:p>
        </w:tc>
        <w:tc>
          <w:tcPr>
            <w:tcW w:type="dxa" w:w="2664"/>
            <w:vAlign w:val="top"/>
          </w:tcPr>
          <w:p>
            <w:r/>
            <w:r>
              <w:rPr>
                <w:b w:val="0"/>
                <w:sz w:val="16"/>
              </w:rPr>
              <w:t>Yes; fund-specific CarryCo/SponsorCo.</w:t>
            </w:r>
          </w:p>
        </w:tc>
        <w:tc>
          <w:tcPr>
            <w:tcW w:type="dxa" w:w="3240"/>
            <w:vAlign w:val="top"/>
          </w:tcPr>
          <w:p>
            <w:r/>
            <w:r>
              <w:rPr>
                <w:b w:val="0"/>
                <w:sz w:val="16"/>
              </w:rPr>
              <w:t>Pick based on complexity of carry allocations and future placement/sourcing partners.</w:t>
            </w:r>
          </w:p>
        </w:tc>
      </w:tr>
      <w:tr>
        <w:tc>
          <w:tcPr>
            <w:tcW w:type="dxa" w:w="504"/>
            <w:vAlign w:val="top"/>
          </w:tcPr>
          <w:p>
            <w:r/>
            <w:r>
              <w:rPr>
                <w:b w:val="0"/>
                <w:sz w:val="16"/>
              </w:rPr>
              <w:t>2</w:t>
            </w:r>
          </w:p>
        </w:tc>
        <w:tc>
          <w:tcPr>
            <w:tcW w:type="dxa" w:w="2088"/>
            <w:vAlign w:val="top"/>
          </w:tcPr>
          <w:p>
            <w:r/>
            <w:r>
              <w:rPr>
                <w:b w:val="0"/>
                <w:sz w:val="16"/>
              </w:rPr>
              <w:t>Who owns Manager LLC?</w:t>
            </w:r>
          </w:p>
        </w:tc>
        <w:tc>
          <w:tcPr>
            <w:tcW w:type="dxa" w:w="2376"/>
            <w:vAlign w:val="top"/>
          </w:tcPr>
          <w:p>
            <w:r/>
            <w:r>
              <w:rPr>
                <w:b w:val="0"/>
                <w:sz w:val="16"/>
              </w:rPr>
              <w:t>You/Zeke directly.</w:t>
            </w:r>
          </w:p>
        </w:tc>
        <w:tc>
          <w:tcPr>
            <w:tcW w:type="dxa" w:w="2664"/>
            <w:vAlign w:val="top"/>
          </w:tcPr>
          <w:p>
            <w:r/>
            <w:r>
              <w:rPr>
                <w:b w:val="0"/>
                <w:sz w:val="16"/>
              </w:rPr>
              <w:t>Sponsor HoldCo owns Manager.</w:t>
            </w:r>
          </w:p>
        </w:tc>
        <w:tc>
          <w:tcPr>
            <w:tcW w:type="dxa" w:w="3240"/>
            <w:vAlign w:val="top"/>
          </w:tcPr>
          <w:p>
            <w:r/>
            <w:r>
              <w:rPr>
                <w:b w:val="0"/>
                <w:sz w:val="16"/>
              </w:rPr>
              <w:t>Do not give fund-specific placement parties platform-wide management fee economics unless intended.</w:t>
            </w:r>
          </w:p>
        </w:tc>
      </w:tr>
      <w:tr>
        <w:tc>
          <w:tcPr>
            <w:tcW w:type="dxa" w:w="504"/>
            <w:vAlign w:val="top"/>
          </w:tcPr>
          <w:p>
            <w:r/>
            <w:r>
              <w:rPr>
                <w:b w:val="0"/>
                <w:sz w:val="16"/>
              </w:rPr>
              <w:t>3</w:t>
            </w:r>
          </w:p>
        </w:tc>
        <w:tc>
          <w:tcPr>
            <w:tcW w:type="dxa" w:w="2088"/>
            <w:vAlign w:val="top"/>
          </w:tcPr>
          <w:p>
            <w:r/>
            <w:r>
              <w:rPr>
                <w:b w:val="0"/>
                <w:sz w:val="16"/>
              </w:rPr>
              <w:t>Fund exemption path?</w:t>
            </w:r>
          </w:p>
        </w:tc>
        <w:tc>
          <w:tcPr>
            <w:tcW w:type="dxa" w:w="2376"/>
            <w:vAlign w:val="top"/>
          </w:tcPr>
          <w:p>
            <w:r/>
            <w:r>
              <w:rPr>
                <w:b w:val="0"/>
                <w:sz w:val="16"/>
              </w:rPr>
              <w:t>3(c)(1).</w:t>
            </w:r>
          </w:p>
        </w:tc>
        <w:tc>
          <w:tcPr>
            <w:tcW w:type="dxa" w:w="2664"/>
            <w:vAlign w:val="top"/>
          </w:tcPr>
          <w:p>
            <w:r/>
            <w:r>
              <w:rPr>
                <w:b w:val="0"/>
                <w:sz w:val="16"/>
              </w:rPr>
              <w:t>3(c)(7).</w:t>
            </w:r>
          </w:p>
        </w:tc>
        <w:tc>
          <w:tcPr>
            <w:tcW w:type="dxa" w:w="3240"/>
            <w:vAlign w:val="top"/>
          </w:tcPr>
          <w:p>
            <w:r/>
            <w:r>
              <w:rPr>
                <w:b w:val="0"/>
                <w:sz w:val="16"/>
              </w:rPr>
              <w:t>Depends on LP count and QP status.</w:t>
            </w:r>
          </w:p>
        </w:tc>
      </w:tr>
      <w:tr>
        <w:tc>
          <w:tcPr>
            <w:tcW w:type="dxa" w:w="504"/>
            <w:vAlign w:val="top"/>
          </w:tcPr>
          <w:p>
            <w:r/>
            <w:r>
              <w:rPr>
                <w:b w:val="0"/>
                <w:sz w:val="16"/>
              </w:rPr>
              <w:t>4</w:t>
            </w:r>
          </w:p>
        </w:tc>
        <w:tc>
          <w:tcPr>
            <w:tcW w:type="dxa" w:w="2088"/>
            <w:vAlign w:val="top"/>
          </w:tcPr>
          <w:p>
            <w:r/>
            <w:r>
              <w:rPr>
                <w:b w:val="0"/>
                <w:sz w:val="16"/>
              </w:rPr>
              <w:t>Offering path?</w:t>
            </w:r>
          </w:p>
        </w:tc>
        <w:tc>
          <w:tcPr>
            <w:tcW w:type="dxa" w:w="2376"/>
            <w:vAlign w:val="top"/>
          </w:tcPr>
          <w:p>
            <w:r/>
            <w:r>
              <w:rPr>
                <w:b w:val="0"/>
                <w:sz w:val="16"/>
              </w:rPr>
              <w:t>506(b).</w:t>
            </w:r>
          </w:p>
        </w:tc>
        <w:tc>
          <w:tcPr>
            <w:tcW w:type="dxa" w:w="2664"/>
            <w:vAlign w:val="top"/>
          </w:tcPr>
          <w:p>
            <w:r/>
            <w:r>
              <w:rPr>
                <w:b w:val="0"/>
                <w:sz w:val="16"/>
              </w:rPr>
              <w:t>506(c).</w:t>
            </w:r>
          </w:p>
        </w:tc>
        <w:tc>
          <w:tcPr>
            <w:tcW w:type="dxa" w:w="3240"/>
            <w:vAlign w:val="top"/>
          </w:tcPr>
          <w:p>
            <w:r/>
            <w:r>
              <w:rPr>
                <w:b w:val="0"/>
                <w:sz w:val="16"/>
              </w:rPr>
              <w:t>Depends on whether there is general solicitation and verification tolerance.</w:t>
            </w:r>
          </w:p>
        </w:tc>
      </w:tr>
      <w:tr>
        <w:tc>
          <w:tcPr>
            <w:tcW w:type="dxa" w:w="504"/>
            <w:vAlign w:val="top"/>
          </w:tcPr>
          <w:p>
            <w:r/>
            <w:r>
              <w:rPr>
                <w:b w:val="0"/>
                <w:sz w:val="16"/>
              </w:rPr>
              <w:t>5</w:t>
            </w:r>
          </w:p>
        </w:tc>
        <w:tc>
          <w:tcPr>
            <w:tcW w:type="dxa" w:w="2088"/>
            <w:vAlign w:val="top"/>
          </w:tcPr>
          <w:p>
            <w:r/>
            <w:r>
              <w:rPr>
                <w:b w:val="0"/>
                <w:sz w:val="16"/>
              </w:rPr>
              <w:t>Capital-call design?</w:t>
            </w:r>
          </w:p>
        </w:tc>
        <w:tc>
          <w:tcPr>
            <w:tcW w:type="dxa" w:w="2376"/>
            <w:vAlign w:val="top"/>
          </w:tcPr>
          <w:p>
            <w:r/>
            <w:r>
              <w:rPr>
                <w:b w:val="0"/>
                <w:sz w:val="16"/>
              </w:rPr>
              <w:t>Normal 10-20 business days.</w:t>
            </w:r>
          </w:p>
        </w:tc>
        <w:tc>
          <w:tcPr>
            <w:tcW w:type="dxa" w:w="2664"/>
            <w:vAlign w:val="top"/>
          </w:tcPr>
          <w:p>
            <w:r/>
            <w:r>
              <w:rPr>
                <w:b w:val="0"/>
                <w:sz w:val="16"/>
              </w:rPr>
              <w:t>Fast 3-5 business days plus emergency calls/reserves.</w:t>
            </w:r>
          </w:p>
        </w:tc>
        <w:tc>
          <w:tcPr>
            <w:tcW w:type="dxa" w:w="3240"/>
            <w:vAlign w:val="top"/>
          </w:tcPr>
          <w:p>
            <w:r/>
            <w:r>
              <w:rPr>
                <w:b w:val="0"/>
                <w:sz w:val="16"/>
              </w:rPr>
              <w:t>Secondary strategy likely needs the faster version.</w:t>
            </w:r>
          </w:p>
        </w:tc>
      </w:tr>
      <w:tr>
        <w:tc>
          <w:tcPr>
            <w:tcW w:type="dxa" w:w="504"/>
            <w:vAlign w:val="top"/>
          </w:tcPr>
          <w:p>
            <w:r/>
            <w:r>
              <w:rPr>
                <w:b w:val="0"/>
                <w:sz w:val="16"/>
              </w:rPr>
              <w:t>6</w:t>
            </w:r>
          </w:p>
        </w:tc>
        <w:tc>
          <w:tcPr>
            <w:tcW w:type="dxa" w:w="2088"/>
            <w:vAlign w:val="top"/>
          </w:tcPr>
          <w:p>
            <w:r/>
            <w:r>
              <w:rPr>
                <w:b w:val="0"/>
                <w:sz w:val="16"/>
              </w:rPr>
              <w:t>Vehicle flexibility?</w:t>
            </w:r>
          </w:p>
        </w:tc>
        <w:tc>
          <w:tcPr>
            <w:tcW w:type="dxa" w:w="2376"/>
            <w:vAlign w:val="top"/>
          </w:tcPr>
          <w:p>
            <w:r/>
            <w:r>
              <w:rPr>
                <w:b w:val="0"/>
                <w:sz w:val="16"/>
              </w:rPr>
              <w:t>Narrow direct-secondary only.</w:t>
            </w:r>
          </w:p>
        </w:tc>
        <w:tc>
          <w:tcPr>
            <w:tcW w:type="dxa" w:w="2664"/>
            <w:vAlign w:val="top"/>
          </w:tcPr>
          <w:p>
            <w:r/>
            <w:r>
              <w:rPr>
                <w:b w:val="0"/>
                <w:sz w:val="16"/>
              </w:rPr>
              <w:t>Broad SPV/tender/forward/blocker/holding vehicle flexibility.</w:t>
            </w:r>
          </w:p>
        </w:tc>
        <w:tc>
          <w:tcPr>
            <w:tcW w:type="dxa" w:w="3240"/>
            <w:vAlign w:val="top"/>
          </w:tcPr>
          <w:p>
            <w:r/>
            <w:r>
              <w:rPr>
                <w:b w:val="0"/>
                <w:sz w:val="16"/>
              </w:rPr>
              <w:t>Need broad flexibility for weird vehicles.</w:t>
            </w:r>
          </w:p>
        </w:tc>
      </w:tr>
      <w:tr>
        <w:tc>
          <w:tcPr>
            <w:tcW w:type="dxa" w:w="504"/>
            <w:vAlign w:val="top"/>
          </w:tcPr>
          <w:p>
            <w:r/>
            <w:r>
              <w:rPr>
                <w:b w:val="0"/>
                <w:sz w:val="16"/>
              </w:rPr>
              <w:t>7</w:t>
            </w:r>
          </w:p>
        </w:tc>
        <w:tc>
          <w:tcPr>
            <w:tcW w:type="dxa" w:w="2088"/>
            <w:vAlign w:val="top"/>
          </w:tcPr>
          <w:p>
            <w:r/>
            <w:r>
              <w:rPr>
                <w:b w:val="0"/>
                <w:sz w:val="16"/>
              </w:rPr>
              <w:t>Placement compensation disclosure?</w:t>
            </w:r>
          </w:p>
        </w:tc>
        <w:tc>
          <w:tcPr>
            <w:tcW w:type="dxa" w:w="2376"/>
            <w:vAlign w:val="top"/>
          </w:tcPr>
          <w:p>
            <w:r/>
            <w:r>
              <w:rPr>
                <w:b w:val="0"/>
                <w:sz w:val="16"/>
              </w:rPr>
              <w:t>Generic disclosure only.</w:t>
            </w:r>
          </w:p>
        </w:tc>
        <w:tc>
          <w:tcPr>
            <w:tcW w:type="dxa" w:w="2664"/>
            <w:vAlign w:val="top"/>
          </w:tcPr>
          <w:p>
            <w:r/>
            <w:r>
              <w:rPr>
                <w:b w:val="0"/>
                <w:sz w:val="16"/>
              </w:rPr>
              <w:t>Generic disclosure plus term-sheet disclosure of categories and offsets.</w:t>
            </w:r>
          </w:p>
        </w:tc>
        <w:tc>
          <w:tcPr>
            <w:tcW w:type="dxa" w:w="3240"/>
            <w:vAlign w:val="top"/>
          </w:tcPr>
          <w:p>
            <w:r/>
            <w:r>
              <w:rPr>
                <w:b w:val="0"/>
                <w:sz w:val="16"/>
              </w:rPr>
              <w:t>Likely disclose categories in main docs; specifics in separate agreements.</w:t>
            </w:r>
          </w:p>
        </w:tc>
      </w:tr>
      <w:tr>
        <w:tc>
          <w:tcPr>
            <w:tcW w:type="dxa" w:w="504"/>
            <w:vAlign w:val="top"/>
          </w:tcPr>
          <w:p>
            <w:r/>
            <w:r>
              <w:rPr>
                <w:b w:val="0"/>
                <w:sz w:val="16"/>
              </w:rPr>
              <w:t>8</w:t>
            </w:r>
          </w:p>
        </w:tc>
        <w:tc>
          <w:tcPr>
            <w:tcW w:type="dxa" w:w="2088"/>
            <w:vAlign w:val="top"/>
          </w:tcPr>
          <w:p>
            <w:r/>
            <w:r>
              <w:rPr>
                <w:b w:val="0"/>
                <w:sz w:val="16"/>
              </w:rPr>
              <w:t>Successor fund restriction?</w:t>
            </w:r>
          </w:p>
        </w:tc>
        <w:tc>
          <w:tcPr>
            <w:tcW w:type="dxa" w:w="2376"/>
            <w:vAlign w:val="top"/>
          </w:tcPr>
          <w:p>
            <w:r/>
            <w:r>
              <w:rPr>
                <w:b w:val="0"/>
                <w:sz w:val="16"/>
              </w:rPr>
              <w:t>Standard restriction until fully invested.</w:t>
            </w:r>
          </w:p>
        </w:tc>
        <w:tc>
          <w:tcPr>
            <w:tcW w:type="dxa" w:w="2664"/>
            <w:vAlign w:val="top"/>
          </w:tcPr>
          <w:p>
            <w:r/>
            <w:r>
              <w:rPr>
                <w:b w:val="0"/>
                <w:sz w:val="16"/>
              </w:rPr>
              <w:t>Carveouts for SPVs, feeders, co-invests, parallel vehicles, future vintages.</w:t>
            </w:r>
          </w:p>
        </w:tc>
        <w:tc>
          <w:tcPr>
            <w:tcW w:type="dxa" w:w="3240"/>
            <w:vAlign w:val="top"/>
          </w:tcPr>
          <w:p>
            <w:r/>
            <w:r>
              <w:rPr>
                <w:b w:val="0"/>
                <w:sz w:val="16"/>
              </w:rPr>
              <w:t>Need carveouts and allocation policy.</w:t>
            </w:r>
          </w:p>
        </w:tc>
      </w:tr>
    </w:tbl>
    <w:p/>
    <w:p>
      <w:pPr>
        <w:pStyle w:val="Heading1"/>
      </w:pPr>
      <w:r>
        <w:t>6. Suggested Email / Agenda for Counsel</w:t>
      </w:r>
    </w:p>
    <w:p>
      <w:pPr>
        <w:pStyle w:val="ListNumber"/>
      </w:pPr>
      <w:r>
        <w:rPr>
          <w:sz w:val="20"/>
        </w:rPr>
        <w:t>Confirm whether the term sheet should disclose generic placement/carry-sharing and sourcing arrangements, with details in separate agreements.</w:t>
      </w:r>
    </w:p>
    <w:p>
      <w:pPr>
        <w:pStyle w:val="ListNumber"/>
      </w:pPr>
      <w:r>
        <w:rPr>
          <w:sz w:val="20"/>
        </w:rPr>
        <w:t>Recommend whether carry should be split inside the GP LLC or through a fund-specific CarryCo/SponsorCo.</w:t>
      </w:r>
    </w:p>
    <w:p>
      <w:pPr>
        <w:pStyle w:val="ListNumber"/>
      </w:pPr>
      <w:r>
        <w:rPr>
          <w:sz w:val="20"/>
        </w:rPr>
        <w:t>Revise investment objectives for late-stage private technology secondaries and whitelisted-company strategy.</w:t>
      </w:r>
    </w:p>
    <w:p>
      <w:pPr>
        <w:pStyle w:val="ListNumber"/>
      </w:pPr>
      <w:r>
        <w:rPr>
          <w:sz w:val="20"/>
        </w:rPr>
        <w:t>Modify blind-pool fund investment restrictions to carve out SPVs, tender vehicles, secondary-access vehicles, blockers, holding vehicles, and other execution vehicles.</w:t>
      </w:r>
    </w:p>
    <w:p>
      <w:pPr>
        <w:pStyle w:val="ListNumber"/>
      </w:pPr>
      <w:r>
        <w:rPr>
          <w:sz w:val="20"/>
        </w:rPr>
        <w:t>Revise capital-call timing for expedited secondary-market opportunities, including emergency calls, initial drawdown, reserves, borrowing/sub lines, GP advances, and warehousing.</w:t>
      </w:r>
    </w:p>
    <w:p>
      <w:pPr>
        <w:pStyle w:val="ListNumber"/>
      </w:pPr>
      <w:r>
        <w:rPr>
          <w:sz w:val="20"/>
        </w:rPr>
        <w:t>Add successor-fund and parallel-vehicle carveouts so Fund II, SPVs, sidecars, feeders, co-invest vehicles, and overflow vehicles are not inadvertently blocked.</w:t>
      </w:r>
    </w:p>
    <w:p>
      <w:pPr>
        <w:pStyle w:val="ListNumber"/>
      </w:pPr>
      <w:r>
        <w:rPr>
          <w:sz w:val="20"/>
        </w:rPr>
        <w:t>Prepare form documents for buy-side placement/capital introduction and sell-side sourcing/origination relationships.</w:t>
      </w:r>
    </w:p>
    <w:p>
      <w:pPr>
        <w:pStyle w:val="ListNumber"/>
      </w:pPr>
      <w:r>
        <w:rPr>
          <w:sz w:val="20"/>
        </w:rPr>
        <w:t>Advise on broker-dealer, finder, and adviser issues for any compensation based on LP commitments, deal closings, securities transactions, or carry participation.</w:t>
      </w:r>
    </w:p>
    <w:p>
      <w:pPr>
        <w:pStyle w:val="Heading1"/>
      </w:pPr>
      <w:r>
        <w:t>7. Current Open Items Checklist</w:t>
      </w:r>
    </w:p>
    <w:p>
      <w:r>
        <w:rPr>
          <w:sz w:val="20"/>
        </w:rPr>
        <w:t>[ ] Decide fund-specific CarryCo vs GP-level carry split.</w:t>
      </w:r>
    </w:p>
    <w:p>
      <w:r>
        <w:rPr>
          <w:sz w:val="20"/>
        </w:rPr>
        <w:t>[ ] Decide whether to use Sponsor HoldCo above Manager/GP entities.</w:t>
      </w:r>
    </w:p>
    <w:p>
      <w:r>
        <w:rPr>
          <w:sz w:val="20"/>
        </w:rPr>
        <w:t>[ ] Decide Manager LLC ownership and whether it is platform-wide.</w:t>
      </w:r>
    </w:p>
    <w:p>
      <w:r>
        <w:rPr>
          <w:sz w:val="20"/>
        </w:rPr>
        <w:t>[ ] Select 3(c)(1) vs 3(c)(7).</w:t>
      </w:r>
    </w:p>
    <w:p>
      <w:r>
        <w:rPr>
          <w:sz w:val="20"/>
        </w:rPr>
        <w:t>[ ] Select 506(b) vs 506(c).</w:t>
      </w:r>
    </w:p>
    <w:p>
      <w:r>
        <w:rPr>
          <w:sz w:val="20"/>
        </w:rPr>
        <w:t>[ ] Define target fund size, hard cap, minimum commitment, GP commitment.</w:t>
      </w:r>
    </w:p>
    <w:p>
      <w:r>
        <w:rPr>
          <w:sz w:val="20"/>
        </w:rPr>
        <w:t>[ ] Define management fee, carry percentage, hurdle, waterfall, and clawback.</w:t>
      </w:r>
    </w:p>
    <w:p>
      <w:r>
        <w:rPr>
          <w:sz w:val="20"/>
        </w:rPr>
        <w:t>[ ] Define whitelist and process to change whitelist.</w:t>
      </w:r>
    </w:p>
    <w:p>
      <w:r>
        <w:rPr>
          <w:sz w:val="20"/>
        </w:rPr>
        <w:t>[ ] Confirm permitted instruments and vehicles: direct secondaries, SPVs, tender vehicles, blockers, forwards/contractual interests.</w:t>
      </w:r>
    </w:p>
    <w:p>
      <w:r>
        <w:rPr>
          <w:sz w:val="20"/>
        </w:rPr>
        <w:t>[ ] Decide capital call timing, initial drawdown, emergency call rights, and default penalties.</w:t>
      </w:r>
    </w:p>
    <w:p>
      <w:r>
        <w:rPr>
          <w:sz w:val="20"/>
        </w:rPr>
        <w:t>[ ] Decide borrowing/subscription line authority and GP advance rights.</w:t>
      </w:r>
    </w:p>
    <w:p>
      <w:r>
        <w:rPr>
          <w:sz w:val="20"/>
        </w:rPr>
        <w:t>[ ] Decide warehousing rights and approval process.</w:t>
      </w:r>
    </w:p>
    <w:p>
      <w:r>
        <w:rPr>
          <w:sz w:val="20"/>
        </w:rPr>
        <w:t>[ ] Decide whether placement fees/carry-sharing are Fund Expenses, GP expenses, Manager expenses, or carry reallocations.</w:t>
      </w:r>
    </w:p>
    <w:p>
      <w:r>
        <w:rPr>
          <w:sz w:val="20"/>
        </w:rPr>
        <w:t>[ ] Decide whether non-BD finders/consultants are permitted at all.</w:t>
      </w:r>
    </w:p>
    <w:p>
      <w:r>
        <w:rPr>
          <w:sz w:val="20"/>
        </w:rPr>
        <w:t>[ ] Draft generic buy-side capital formation agreement.</w:t>
      </w:r>
    </w:p>
    <w:p>
      <w:r>
        <w:rPr>
          <w:sz w:val="20"/>
        </w:rPr>
        <w:t>[ ] Draft generic sell-side sourcing/origination agreement.</w:t>
      </w:r>
    </w:p>
    <w:p>
      <w:r>
        <w:rPr>
          <w:sz w:val="20"/>
        </w:rPr>
        <w:t>[ ] Draft allocation policy across Fund, SPVs, co-invests, parallel funds, affiliates, and future funds.</w:t>
      </w:r>
    </w:p>
    <w:p>
      <w:r>
        <w:rPr>
          <w:sz w:val="20"/>
        </w:rPr>
        <w:t>[ ] Revise successor-fund restrictions and carveouts.</w:t>
      </w:r>
    </w:p>
    <w:p>
      <w:r>
        <w:rPr>
          <w:sz w:val="20"/>
        </w:rPr>
        <w:t>[ ] Establish fund admin, tax, audit, banking, AML/KYC, and reporting providers.</w:t>
      </w:r>
    </w:p>
    <w:p>
      <w:r>
        <w:rPr>
          <w:sz w:val="20"/>
        </w:rPr>
        <w:t>[ ] Prepare PPM risk factors for secondary-market strategy, illiquidity, transfer restrictions, ROFR/company consent, valuation, fees, conflicts, and broken-deal risk.</w:t>
      </w:r>
    </w:p>
    <w:tbl>
      <w:tblPr>
        <w:tblW w:type="auto" w:w="0"/>
        <w:jc w:val="center"/>
        <w:tblLook w:firstColumn="1" w:firstRow="1" w:lastColumn="0" w:lastRow="0" w:noHBand="0" w:noVBand="1" w:val="04A0"/>
      </w:tblPr>
      <w:tblGrid>
        <w:gridCol w:w="10224"/>
      </w:tblGrid>
      <w:tr>
        <w:tc>
          <w:tcPr>
            <w:tcW w:type="dxa" w:w="10224"/>
            <w:shd w:fill="E2F0D9"/>
            <w:tcBorders>
              <w:top w:val="single" w:sz="8" w:space="0" w:color="548235"/>
              <w:left w:val="single" w:sz="8" w:space="0" w:color="548235"/>
              <w:bottom w:val="single" w:sz="8" w:space="0" w:color="548235"/>
              <w:right w:val="single" w:sz="8" w:space="0" w:color="548235"/>
            </w:tcBorders>
          </w:tcPr>
          <w:p>
            <w:r>
              <w:rPr>
                <w:b/>
                <w:color w:val="548235"/>
                <w:sz w:val="20"/>
              </w:rPr>
              <w:t>Short version</w:t>
            </w:r>
          </w:p>
          <w:p>
            <w:pPr>
              <w:spacing w:after="0"/>
            </w:pPr>
            <w:r>
              <w:rPr>
                <w:sz w:val="18"/>
              </w:rPr>
              <w:t>The Orrick form is a good starting fund skeleton. The next draft should focus on: (1) optional fund-specific CarryCo architecture; (2) broad but disclosed placement and sourcing economics; (3) late-stage private secondary investment mandate; (4) vehicle flexibility for SPVs and tender/secondary structures; (5) faster capital-call and warehousing mechanics; and (6) successor-fund / parallel-vehicle carveouts.</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5B5B"/>
        <w:sz w:val="16"/>
      </w:rPr>
      <w:t>Draft for discussion with counsel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5B5B"/>
        <w:sz w:val="16"/>
      </w:rPr>
      <w:t>Blind Pool Fund - Open Items, Documents, and Drafting Changes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 Pool Fund Structuring - Open Items and Drafting Changes</dc:title>
  <dc:subject>Additional documents, open questions, and term sheet changes for blind pool fund structure</dc:subject>
  <dc:creator>OpenAI</dc:creator>
  <cp:keywords>private fund, blind pool, carry, placement, secondaries, term sheet</cp:keywords>
  <dc:description>generated by python-docx</dc:description>
  <cp:lastModifiedBy/>
  <cp:revision>1</cp:revision>
  <dcterms:created xsi:type="dcterms:W3CDTF">2013-12-23T23:15:00Z</dcterms:created>
  <dcterms:modified xsi:type="dcterms:W3CDTF">2013-12-23T23:15:00Z</dcterms:modified>
  <cp:category/>
</cp:coreProperties>
</file>