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7365D"/>
          <w:sz w:val="36"/>
          <w:szCs w:val="36"/>
        </w:rPr>
        <w:t xml:space="preserve">ERIC PARVIN</w:t>
      </w:r>
    </w:p>
    <w:p>
      <w:pPr>
        <w:spacing w:after="60"/>
        <w:jc w:val="center"/>
      </w:pPr>
      <w:r>
        <w:rPr>
          <w:rFonts w:ascii="Arial" w:cs="Arial" w:eastAsia="Arial" w:hAnsi="Arial"/>
          <w:b/>
          <w:bCs/>
          <w:color w:val="2F75B5"/>
          <w:sz w:val="20"/>
          <w:szCs w:val="20"/>
        </w:rPr>
        <w:t xml:space="preserve">DATA, ANALYTICS &amp; AI CONSULTING  |  CAPABILITIES AND SERVICES</w:t>
      </w:r>
    </w:p>
    <w:p>
      <w:pPr>
        <w:spacing w:after="40"/>
        <w:jc w:val="center"/>
      </w:pPr>
      <w:r>
        <w:rPr>
          <w:rFonts w:ascii="Arial" w:cs="Arial" w:eastAsia="Arial" w:hAnsi="Arial"/>
          <w:sz w:val="18"/>
          <w:szCs w:val="18"/>
        </w:rPr>
        <w:t xml:space="preserve">Charlotte, NC Metro  |  (703) 439-9798  |  eric@parvski.com  |  linkedin.com/in/eric-parvin01</w:t>
      </w:r>
    </w:p>
    <w:p>
      <w:pPr>
        <w:spacing w:after="60"/>
        <w:jc w:val="center"/>
      </w:pPr>
      <w:r>
        <w:rPr>
          <w:rFonts w:ascii="Arial" w:cs="Arial" w:eastAsia="Arial" w:hAnsi="Arial"/>
          <w:color w:val="5B6573"/>
          <w:sz w:val="18"/>
          <w:szCs w:val="18"/>
        </w:rPr>
        <w:t xml:space="preserve">Microsoft Certified: Fabric Analytics Engineer Associate (DP-600)  |  Microsoft Certified: Azure AI Fundamentals (AI-900)</w:t>
      </w:r>
    </w:p>
    <w:p>
      <w:pPr>
        <w:pBdr>
          <w:bottom w:val="single" w:color="17365D" w:sz="6" w:space="2"/>
        </w:pBdr>
        <w:spacing w:after="100" w:before="240"/>
      </w:pPr>
      <w:r>
        <w:rPr>
          <w:rFonts w:ascii="Arial" w:cs="Arial" w:eastAsia="Arial" w:hAnsi="Arial"/>
          <w:b/>
          <w:bCs/>
          <w:color w:val="17365D"/>
          <w:sz w:val="24"/>
          <w:szCs w:val="24"/>
        </w:rPr>
        <w:t xml:space="preserve">WHO I AM AND HOW I WORK</w:t>
      </w:r>
    </w:p>
    <w:p>
      <w:pPr>
        <w:spacing w:after="90"/>
      </w:pPr>
      <w:r>
        <w:rPr>
          <w:rFonts w:ascii="Arial" w:cs="Arial" w:eastAsia="Arial" w:hAnsi="Arial"/>
          <w:sz w:val="20"/>
          <w:szCs w:val="20"/>
        </w:rPr>
        <w:t xml:space="preserve">I help organizations modernize analytics and data platforms on Microsoft Fabric and Power BI, and I do it faster than traditional consulting because AI is built into how I work rather than bolted on afterward. I author custom GitHub Copilot agent skills and prompt libraries that encode assessment and migration methodology into repeatable automation, so discovery, inventory, conversion analysis, and validation take days instead of weeks.</w:t>
      </w:r>
    </w:p>
    <w:p>
      <w:pPr>
        <w:spacing w:after="90"/>
      </w:pPr>
      <w:r>
        <w:rPr>
          <w:rFonts w:ascii="Arial" w:cs="Arial" w:eastAsia="Arial" w:hAnsi="Arial"/>
          <w:sz w:val="20"/>
          <w:szCs w:val="20"/>
        </w:rPr>
        <w:t xml:space="preserve">Eighteen years at Microsoft as a Senior Cloud Solution Architect, delivering paid engagements for enterprise, state and local government, federal, and Department of Defense customers. I was accredited by Microsoft to scope and deliver its Power BI, Azure DevOps, and application modernization service offerings, sustained a 75 percent billable utilization rate over five years, and received the 2026 100% Attainment Award for reaching full weighted attainment against annual performance targets.</w:t>
      </w:r>
    </w:p>
    <w:p>
      <w:pPr>
        <w:pBdr>
          <w:bottom w:val="single" w:color="17365D" w:sz="6" w:space="2"/>
        </w:pBdr>
        <w:spacing w:after="100" w:before="240"/>
      </w:pPr>
      <w:r>
        <w:rPr>
          <w:rFonts w:ascii="Arial" w:cs="Arial" w:eastAsia="Arial" w:hAnsi="Arial"/>
          <w:b/>
          <w:bCs/>
          <w:color w:val="17365D"/>
          <w:sz w:val="24"/>
          <w:szCs w:val="24"/>
        </w:rPr>
        <w:t xml:space="preserve">WHAT I DELIVER</w:t>
      </w:r>
    </w:p>
    <w:p>
      <w:pPr>
        <w:spacing w:after="50" w:before="140"/>
      </w:pPr>
      <w:r>
        <w:rPr>
          <w:rFonts w:ascii="Arial" w:cs="Arial" w:eastAsia="Arial" w:hAnsi="Arial"/>
          <w:b/>
          <w:bCs/>
          <w:color w:val="2F75B5"/>
          <w:sz w:val="21"/>
          <w:szCs w:val="21"/>
        </w:rPr>
        <w:t xml:space="preserve">Microsoft Fabric Adoption and Governance</w:t>
      </w:r>
    </w:p>
    <w:p>
      <w:pPr>
        <w:pStyle w:val="ListParagraph"/>
        <w:numPr>
          <w:ilvl w:val="0"/>
          <w:numId w:val="2"/>
        </w:numPr>
        <w:spacing w:after="60"/>
      </w:pPr>
      <w:r>
        <w:rPr>
          <w:rFonts w:ascii="Arial" w:cs="Arial" w:eastAsia="Arial" w:hAnsi="Arial"/>
          <w:sz w:val="20"/>
          <w:szCs w:val="20"/>
        </w:rPr>
        <w:t xml:space="preserve">Tenant, capacity, and workspace design, including SKU sizing, capacity monitoring, and cost control.</w:t>
      </w:r>
    </w:p>
    <w:p>
      <w:pPr>
        <w:pStyle w:val="ListParagraph"/>
        <w:numPr>
          <w:ilvl w:val="0"/>
          <w:numId w:val="2"/>
        </w:numPr>
        <w:spacing w:after="60"/>
      </w:pPr>
      <w:r>
        <w:rPr>
          <w:rFonts w:ascii="Arial" w:cs="Arial" w:eastAsia="Arial" w:hAnsi="Arial"/>
          <w:sz w:val="20"/>
          <w:szCs w:val="20"/>
        </w:rPr>
        <w:t xml:space="preserve">Security and governance model covering identity, workspace roles, OneLake access, data protection, and lifecycle management.</w:t>
      </w:r>
    </w:p>
    <w:p>
      <w:pPr>
        <w:pStyle w:val="ListParagraph"/>
        <w:numPr>
          <w:ilvl w:val="0"/>
          <w:numId w:val="2"/>
        </w:numPr>
        <w:spacing w:after="60"/>
      </w:pPr>
      <w:r>
        <w:rPr>
          <w:rFonts w:ascii="Arial" w:cs="Arial" w:eastAsia="Arial" w:hAnsi="Arial"/>
          <w:sz w:val="20"/>
          <w:szCs w:val="20"/>
        </w:rPr>
        <w:t xml:space="preserve">Phased 30-60-90 implementation roadmap with a prioritized backlog, sequencing, dependencies, and decision points.</w:t>
      </w:r>
    </w:p>
    <w:p>
      <w:pPr>
        <w:pStyle w:val="ListParagraph"/>
        <w:numPr>
          <w:ilvl w:val="0"/>
          <w:numId w:val="2"/>
        </w:numPr>
        <w:spacing w:after="60"/>
      </w:pPr>
      <w:r>
        <w:rPr>
          <w:rFonts w:ascii="Arial" w:cs="Arial" w:eastAsia="Arial" w:hAnsi="Arial"/>
          <w:sz w:val="20"/>
          <w:szCs w:val="20"/>
        </w:rPr>
        <w:t xml:space="preserve">Lakehouse, warehouse, and medallion architecture design with ingestion, transformation, and serving patterns.</w:t>
      </w:r>
    </w:p>
    <w:p>
      <w:pPr>
        <w:spacing w:after="50" w:before="140"/>
      </w:pPr>
      <w:r>
        <w:rPr>
          <w:rFonts w:ascii="Arial" w:cs="Arial" w:eastAsia="Arial" w:hAnsi="Arial"/>
          <w:b/>
          <w:bCs/>
          <w:color w:val="2F75B5"/>
          <w:sz w:val="21"/>
          <w:szCs w:val="21"/>
        </w:rPr>
        <w:t xml:space="preserve">Analytics Modernization and Migration</w:t>
      </w:r>
    </w:p>
    <w:p>
      <w:pPr>
        <w:pStyle w:val="ListParagraph"/>
        <w:numPr>
          <w:ilvl w:val="0"/>
          <w:numId w:val="2"/>
        </w:numPr>
        <w:spacing w:after="60"/>
      </w:pPr>
      <w:r>
        <w:rPr>
          <w:rFonts w:ascii="Arial" w:cs="Arial" w:eastAsia="Arial" w:hAnsi="Arial"/>
          <w:sz w:val="20"/>
          <w:szCs w:val="20"/>
        </w:rPr>
        <w:t xml:space="preserve">Tableau, SSRS, and legacy BI migration: automated inventory and dependency analysis, complexity scoring, conversion planning, and phased delivery.</w:t>
      </w:r>
    </w:p>
    <w:p>
      <w:pPr>
        <w:pStyle w:val="ListParagraph"/>
        <w:numPr>
          <w:ilvl w:val="0"/>
          <w:numId w:val="2"/>
        </w:numPr>
        <w:spacing w:after="60"/>
      </w:pPr>
      <w:r>
        <w:rPr>
          <w:rFonts w:ascii="Arial" w:cs="Arial" w:eastAsia="Arial" w:hAnsi="Arial"/>
          <w:sz w:val="20"/>
          <w:szCs w:val="20"/>
        </w:rPr>
        <w:t xml:space="preserve">AI-accelerated assessment using custom Copilot agent skills that analyze source reports, extract business logic, and produce conversion and effort estimates.</w:t>
      </w:r>
    </w:p>
    <w:p>
      <w:pPr>
        <w:pStyle w:val="ListParagraph"/>
        <w:numPr>
          <w:ilvl w:val="0"/>
          <w:numId w:val="2"/>
        </w:numPr>
        <w:spacing w:after="60"/>
      </w:pPr>
      <w:r>
        <w:rPr>
          <w:rFonts w:ascii="Arial" w:cs="Arial" w:eastAsia="Arial" w:hAnsi="Arial"/>
          <w:sz w:val="20"/>
          <w:szCs w:val="20"/>
        </w:rPr>
        <w:t xml:space="preserve">Semantic model design and rationalization, including conformed dimensions, version-aware keys, and validation against source systems.</w:t>
      </w:r>
    </w:p>
    <w:p>
      <w:pPr>
        <w:pStyle w:val="ListParagraph"/>
        <w:numPr>
          <w:ilvl w:val="0"/>
          <w:numId w:val="2"/>
        </w:numPr>
        <w:spacing w:after="60"/>
      </w:pPr>
      <w:r>
        <w:rPr>
          <w:rFonts w:ascii="Arial" w:cs="Arial" w:eastAsia="Arial" w:hAnsi="Arial"/>
          <w:sz w:val="20"/>
          <w:szCs w:val="20"/>
        </w:rPr>
        <w:t xml:space="preserve">Refresh and performance engineering: incremental refresh, partitioning, watermark patterns, query folding, and capacity optimization.</w:t>
      </w:r>
    </w:p>
    <w:p>
      <w:pPr>
        <w:spacing w:after="50" w:before="140"/>
      </w:pPr>
      <w:r>
        <w:rPr>
          <w:rFonts w:ascii="Arial" w:cs="Arial" w:eastAsia="Arial" w:hAnsi="Arial"/>
          <w:b/>
          <w:bCs/>
          <w:color w:val="2F75B5"/>
          <w:sz w:val="21"/>
          <w:szCs w:val="21"/>
        </w:rPr>
        <w:t xml:space="preserve">Engineering and Delivery Analytics</w:t>
      </w:r>
    </w:p>
    <w:p>
      <w:pPr>
        <w:pStyle w:val="ListParagraph"/>
        <w:numPr>
          <w:ilvl w:val="0"/>
          <w:numId w:val="2"/>
        </w:numPr>
        <w:spacing w:after="60"/>
      </w:pPr>
      <w:r>
        <w:rPr>
          <w:rFonts w:ascii="Arial" w:cs="Arial" w:eastAsia="Arial" w:hAnsi="Arial"/>
          <w:sz w:val="20"/>
          <w:szCs w:val="20"/>
        </w:rPr>
        <w:t xml:space="preserve">Enterprise-wide Azure DevOps reporting: consolidating work item and test data across all team projects into a single reporting platform, replacing fragmented project-by-project visibility.</w:t>
      </w:r>
    </w:p>
    <w:p>
      <w:pPr>
        <w:pStyle w:val="ListParagraph"/>
        <w:numPr>
          <w:ilvl w:val="0"/>
          <w:numId w:val="2"/>
        </w:numPr>
        <w:spacing w:after="60"/>
      </w:pPr>
      <w:r>
        <w:rPr>
          <w:rFonts w:ascii="Arial" w:cs="Arial" w:eastAsia="Arial" w:hAnsi="Arial"/>
          <w:sz w:val="20"/>
          <w:szCs w:val="20"/>
        </w:rPr>
        <w:t xml:space="preserve">Azure DevOps and Jira ingestion via OData and REST, warehouse modeling, and Power BI semantic models for work items, tests, sprints, releases, quality, and risk.</w:t>
      </w:r>
    </w:p>
    <w:p>
      <w:pPr>
        <w:pStyle w:val="ListParagraph"/>
        <w:numPr>
          <w:ilvl w:val="0"/>
          <w:numId w:val="2"/>
        </w:numPr>
        <w:spacing w:after="60"/>
      </w:pPr>
      <w:r>
        <w:rPr>
          <w:rFonts w:ascii="Arial" w:cs="Arial" w:eastAsia="Arial" w:hAnsi="Arial"/>
          <w:sz w:val="20"/>
          <w:szCs w:val="20"/>
        </w:rPr>
        <w:t xml:space="preserve">Delivery metrics that work across teams with different workflows, using normalized state categories rather than team-specific states so organizations get consistent measures without forcing process standardization.</w:t>
      </w:r>
    </w:p>
    <w:p>
      <w:pPr>
        <w:pStyle w:val="ListParagraph"/>
        <w:numPr>
          <w:ilvl w:val="0"/>
          <w:numId w:val="2"/>
        </w:numPr>
        <w:spacing w:after="60"/>
      </w:pPr>
      <w:r>
        <w:rPr>
          <w:rFonts w:ascii="Arial" w:cs="Arial" w:eastAsia="Arial" w:hAnsi="Arial"/>
          <w:sz w:val="20"/>
          <w:szCs w:val="20"/>
        </w:rPr>
        <w:t xml:space="preserve">Replacement of script-based and manual extraction with governed, automated pipelines.</w:t>
      </w:r>
    </w:p>
    <w:p>
      <w:pPr>
        <w:pStyle w:val="ListParagraph"/>
        <w:numPr>
          <w:ilvl w:val="0"/>
          <w:numId w:val="2"/>
        </w:numPr>
        <w:spacing w:after="60"/>
      </w:pPr>
      <w:r>
        <w:rPr>
          <w:rFonts w:ascii="Arial" w:cs="Arial" w:eastAsia="Arial" w:hAnsi="Arial"/>
          <w:sz w:val="20"/>
          <w:szCs w:val="20"/>
        </w:rPr>
        <w:t xml:space="preserve">CI/CD for BI using PBIP/PBIR, Git integration, deployment pipelines, and automated quality gates.</w:t>
      </w:r>
    </w:p>
    <w:p>
      <w:pPr>
        <w:spacing w:after="50" w:before="140"/>
      </w:pPr>
      <w:r>
        <w:rPr>
          <w:rFonts w:ascii="Arial" w:cs="Arial" w:eastAsia="Arial" w:hAnsi="Arial"/>
          <w:b/>
          <w:bCs/>
          <w:color w:val="2F75B5"/>
          <w:sz w:val="21"/>
          <w:szCs w:val="21"/>
        </w:rPr>
        <w:t xml:space="preserve">AI Enablement and AI-Ready Data</w:t>
      </w:r>
    </w:p>
    <w:p>
      <w:pPr>
        <w:pStyle w:val="ListParagraph"/>
        <w:numPr>
          <w:ilvl w:val="0"/>
          <w:numId w:val="2"/>
        </w:numPr>
        <w:spacing w:after="60"/>
      </w:pPr>
      <w:r>
        <w:rPr>
          <w:rFonts w:ascii="Arial" w:cs="Arial" w:eastAsia="Arial" w:hAnsi="Arial"/>
          <w:sz w:val="20"/>
          <w:szCs w:val="20"/>
        </w:rPr>
        <w:t xml:space="preserve">Custom GitHub Copilot agent skills, prompt libraries, and MCP-connected tooling built for your codebase, data estate, and delivery methodology.</w:t>
      </w:r>
    </w:p>
    <w:p>
      <w:pPr>
        <w:pStyle w:val="ListParagraph"/>
        <w:numPr>
          <w:ilvl w:val="0"/>
          <w:numId w:val="2"/>
        </w:numPr>
        <w:spacing w:after="60"/>
      </w:pPr>
      <w:r>
        <w:rPr>
          <w:rFonts w:ascii="Arial" w:cs="Arial" w:eastAsia="Arial" w:hAnsi="Arial"/>
          <w:sz w:val="20"/>
          <w:szCs w:val="20"/>
        </w:rPr>
        <w:t xml:space="preserve">Semantic-model AI readiness assessment and remediation so Copilot and data agents return trustworthy answers.</w:t>
      </w:r>
    </w:p>
    <w:p>
      <w:pPr>
        <w:pStyle w:val="ListParagraph"/>
        <w:numPr>
          <w:ilvl w:val="0"/>
          <w:numId w:val="2"/>
        </w:numPr>
        <w:spacing w:after="60"/>
      </w:pPr>
      <w:r>
        <w:rPr>
          <w:rFonts w:ascii="Arial" w:cs="Arial" w:eastAsia="Arial" w:hAnsi="Arial"/>
          <w:sz w:val="20"/>
          <w:szCs w:val="20"/>
        </w:rPr>
        <w:t xml:space="preserve">Fabric Data Agent design for natural-language access to governed enterprise data.</w:t>
      </w:r>
    </w:p>
    <w:p>
      <w:pPr>
        <w:pStyle w:val="ListParagraph"/>
        <w:numPr>
          <w:ilvl w:val="0"/>
          <w:numId w:val="2"/>
        </w:numPr>
        <w:spacing w:after="60"/>
      </w:pPr>
      <w:r>
        <w:rPr>
          <w:rFonts w:ascii="Arial" w:cs="Arial" w:eastAsia="Arial" w:hAnsi="Arial"/>
          <w:sz w:val="20"/>
          <w:szCs w:val="20"/>
        </w:rPr>
        <w:t xml:space="preserve">Responsible AI guidance covering data protection, tenant controls, output validation, human review, and auditability.</w:t>
      </w:r>
    </w:p>
    <w:p>
      <w:pPr>
        <w:spacing w:after="50" w:before="140"/>
      </w:pPr>
      <w:r>
        <w:rPr>
          <w:rFonts w:ascii="Arial" w:cs="Arial" w:eastAsia="Arial" w:hAnsi="Arial"/>
          <w:b/>
          <w:bCs/>
          <w:color w:val="2F75B5"/>
          <w:sz w:val="21"/>
          <w:szCs w:val="21"/>
        </w:rPr>
        <w:t xml:space="preserve">Enablement and Training</w:t>
      </w:r>
    </w:p>
    <w:p>
      <w:pPr>
        <w:pStyle w:val="ListParagraph"/>
        <w:numPr>
          <w:ilvl w:val="0"/>
          <w:numId w:val="2"/>
        </w:numPr>
        <w:spacing w:after="60"/>
      </w:pPr>
      <w:r>
        <w:rPr>
          <w:rFonts w:ascii="Arial" w:cs="Arial" w:eastAsia="Arial" w:hAnsi="Arial"/>
          <w:sz w:val="20"/>
          <w:szCs w:val="20"/>
        </w:rPr>
        <w:t xml:space="preserve">Instructor-led Power BI, Microsoft Fabric, and Azure DevOps workshops with hands-on labs and role-based tracks for report developers, citizen developers, and consumers.</w:t>
      </w:r>
    </w:p>
    <w:p>
      <w:pPr>
        <w:pStyle w:val="ListParagraph"/>
        <w:numPr>
          <w:ilvl w:val="0"/>
          <w:numId w:val="2"/>
        </w:numPr>
        <w:spacing w:after="60"/>
      </w:pPr>
      <w:r>
        <w:rPr>
          <w:rFonts w:ascii="Arial" w:cs="Arial" w:eastAsia="Arial" w:hAnsi="Arial"/>
          <w:sz w:val="20"/>
          <w:szCs w:val="20"/>
        </w:rPr>
        <w:t xml:space="preserve">Center-of-excellence and operating-model design, office hours, and adoption planning.</w:t>
      </w:r>
    </w:p>
    <w:p>
      <w:pPr>
        <w:pBdr>
          <w:bottom w:val="single" w:color="17365D" w:sz="6" w:space="2"/>
        </w:pBdr>
        <w:spacing w:after="100" w:before="240"/>
      </w:pPr>
      <w:r>
        <w:rPr>
          <w:rFonts w:ascii="Arial" w:cs="Arial" w:eastAsia="Arial" w:hAnsi="Arial"/>
          <w:b/>
          <w:bCs/>
          <w:color w:val="17365D"/>
          <w:sz w:val="24"/>
          <w:szCs w:val="24"/>
        </w:rPr>
        <w:t xml:space="preserve">REPRESENTATIVE OUTCOMES</w:t>
      </w:r>
    </w:p>
    <w:p>
      <w:pPr>
        <w:spacing w:after="80"/>
      </w:pPr>
      <w:r>
        <w:rPr>
          <w:rFonts w:ascii="Arial" w:cs="Arial" w:eastAsia="Arial" w:hAnsi="Arial"/>
          <w:b/>
          <w:bCs/>
          <w:color w:val="17365D"/>
          <w:sz w:val="20"/>
          <w:szCs w:val="20"/>
        </w:rPr>
        <w:t xml:space="preserve">Global professional services firm (KPMG Global Audit) - </w:t>
      </w:r>
      <w:r>
        <w:rPr>
          <w:rFonts w:ascii="Arial" w:cs="Arial" w:eastAsia="Arial" w:hAnsi="Arial"/>
          <w:sz w:val="20"/>
          <w:szCs w:val="20"/>
        </w:rPr>
        <w:t xml:space="preserve">Architected a Microsoft Fabric data warehouse that consolidated Azure DevOps work item and test data across all team projects into a single enterprise reporting platform, replacing fragmented project-by-project reporting with organization-wide visibility into delivery, quality, and test coverage. Medallion-layer pipelines with incremental refresh and capacity optimization reduced end-to-end refresh from over 7 hours to 30 minutes against a 15-minute freshness requirement and eliminated a fragile manual extraction process. The customer planned to onboard ten additional team projects and increase Fabric SKU size.</w:t>
      </w:r>
    </w:p>
    <w:p>
      <w:pPr>
        <w:spacing w:after="80"/>
      </w:pPr>
      <w:r>
        <w:rPr>
          <w:rFonts w:ascii="Arial" w:cs="Arial" w:eastAsia="Arial" w:hAnsi="Arial"/>
          <w:b/>
          <w:bCs/>
          <w:color w:val="17365D"/>
          <w:sz w:val="20"/>
          <w:szCs w:val="20"/>
        </w:rPr>
        <w:t xml:space="preserve">University foundation (UConn Foundation) - </w:t>
      </w:r>
      <w:r>
        <w:rPr>
          <w:rFonts w:ascii="Arial" w:cs="Arial" w:eastAsia="Arial" w:hAnsi="Arial"/>
          <w:sz w:val="20"/>
          <w:szCs w:val="20"/>
        </w:rPr>
        <w:t xml:space="preserve">Built a governance-first Fabric implementation plan spanning tenant and capacity design, security, semantic modeling, SSRS migration, ETL modernization, CI/CD, and a self-service operating model. Delivered a Power BI translytical write-back proof of concept to Fabric SQL using Python user-defined functions, which became the primary driver for the customer standing up a Fabric capacity.</w:t>
      </w:r>
    </w:p>
    <w:p>
      <w:pPr>
        <w:spacing w:after="80"/>
      </w:pPr>
      <w:r>
        <w:rPr>
          <w:rFonts w:ascii="Arial" w:cs="Arial" w:eastAsia="Arial" w:hAnsi="Arial"/>
          <w:b/>
          <w:bCs/>
          <w:color w:val="17365D"/>
          <w:sz w:val="20"/>
          <w:szCs w:val="20"/>
        </w:rPr>
        <w:t xml:space="preserve">Engineering software firm (Bentley Systems) - </w:t>
      </w:r>
      <w:r>
        <w:rPr>
          <w:rFonts w:ascii="Arial" w:cs="Arial" w:eastAsia="Arial" w:hAnsi="Arial"/>
          <w:sz w:val="20"/>
          <w:szCs w:val="20"/>
        </w:rPr>
        <w:t xml:space="preserve">Resolved a cross-team delivery-metrics blocker by shifting Azure DevOps reporting from team-specific work-item states to normalized state categories, giving the organization consistent sprint and release metrics without forcing workflow standardization. Replaced manual PowerShell extraction with automated Power BI reporting across Azure DevOps and Jira.</w:t>
      </w:r>
    </w:p>
    <w:p>
      <w:pPr>
        <w:spacing w:after="80"/>
      </w:pPr>
      <w:r>
        <w:rPr>
          <w:rFonts w:ascii="Arial" w:cs="Arial" w:eastAsia="Arial" w:hAnsi="Arial"/>
          <w:b/>
          <w:bCs/>
          <w:color w:val="17365D"/>
          <w:sz w:val="20"/>
          <w:szCs w:val="20"/>
        </w:rPr>
        <w:t xml:space="preserve">Academic medical center (UNC School of Medicine) - </w:t>
      </w:r>
      <w:r>
        <w:rPr>
          <w:rFonts w:ascii="Arial" w:cs="Arial" w:eastAsia="Arial" w:hAnsi="Arial"/>
          <w:sz w:val="20"/>
          <w:szCs w:val="20"/>
        </w:rPr>
        <w:t xml:space="preserve">Designed a multi-year survey analytics semantic model with version-aware question keys and benchmark mapping that preserved valid year-over-year comparison despite annual question wording and numbering changes, and delivered multi-day instructor-led Power BI training with hands-on labs.</w:t>
      </w:r>
    </w:p>
    <w:p>
      <w:pPr>
        <w:spacing w:after="80"/>
      </w:pPr>
      <w:r>
        <w:rPr>
          <w:rFonts w:ascii="Arial" w:cs="Arial" w:eastAsia="Arial" w:hAnsi="Arial"/>
          <w:b/>
          <w:bCs/>
          <w:color w:val="17365D"/>
          <w:sz w:val="20"/>
          <w:szCs w:val="20"/>
        </w:rPr>
        <w:t xml:space="preserve">State government (Pennsylvania Department of Labor and Industry) - </w:t>
      </w:r>
      <w:r>
        <w:rPr>
          <w:rFonts w:ascii="Arial" w:cs="Arial" w:eastAsia="Arial" w:hAnsi="Arial"/>
          <w:sz w:val="20"/>
          <w:szCs w:val="20"/>
        </w:rPr>
        <w:t xml:space="preserve">Delivered Azure DevOps and Power BI reporting training covering Analytics Views, data shaping, report calculations, publishing, and report management.</w:t>
      </w:r>
    </w:p>
    <w:p>
      <w:pPr>
        <w:spacing w:after="80"/>
      </w:pPr>
      <w:r>
        <w:rPr>
          <w:rFonts w:ascii="Arial" w:cs="Arial" w:eastAsia="Arial" w:hAnsi="Arial"/>
          <w:b/>
          <w:bCs/>
          <w:color w:val="17365D"/>
          <w:sz w:val="20"/>
          <w:szCs w:val="20"/>
        </w:rPr>
        <w:t xml:space="preserve">Municipal government (Los Angeles Department of Building and Safety) - </w:t>
      </w:r>
      <w:r>
        <w:rPr>
          <w:rFonts w:ascii="Arial" w:cs="Arial" w:eastAsia="Arial" w:hAnsi="Arial"/>
          <w:sz w:val="20"/>
          <w:szCs w:val="20"/>
        </w:rPr>
        <w:t xml:space="preserve">Advised on .NET modernization, DevOps consolidation, and Power BI and Fabric optimization, using GitHub Copilot for App Modernization to accelerate legacy application assessment.</w:t>
      </w:r>
    </w:p>
    <w:p>
      <w:pPr>
        <w:pBdr>
          <w:bottom w:val="single" w:color="17365D" w:sz="6" w:space="2"/>
        </w:pBdr>
        <w:spacing w:after="100" w:before="240"/>
      </w:pPr>
      <w:r>
        <w:rPr>
          <w:rFonts w:ascii="Arial" w:cs="Arial" w:eastAsia="Arial" w:hAnsi="Arial"/>
          <w:b/>
          <w:bCs/>
          <w:color w:val="17365D"/>
          <w:sz w:val="24"/>
          <w:szCs w:val="24"/>
        </w:rPr>
        <w:t xml:space="preserve">HOW ENGAGEMENTS ARE STRUCTURED</w:t>
      </w:r>
    </w:p>
    <w:p>
      <w:pPr>
        <w:spacing w:after="80"/>
      </w:pPr>
      <w:r>
        <w:rPr>
          <w:rFonts w:ascii="Arial" w:cs="Arial" w:eastAsia="Arial" w:hAnsi="Arial"/>
          <w:b/>
          <w:bCs/>
          <w:color w:val="17365D"/>
          <w:sz w:val="20"/>
          <w:szCs w:val="20"/>
        </w:rPr>
        <w:t xml:space="preserve">Assessment - </w:t>
      </w:r>
      <w:r>
        <w:rPr>
          <w:rFonts w:ascii="Arial" w:cs="Arial" w:eastAsia="Arial" w:hAnsi="Arial"/>
          <w:sz w:val="20"/>
          <w:szCs w:val="20"/>
        </w:rPr>
        <w:t xml:space="preserve">A fixed-scope engagement producing a current-state inventory, findings, risk register, and a sequenced roadmap with effort estimates. Typically one to three weeks.</w:t>
      </w:r>
    </w:p>
    <w:p>
      <w:pPr>
        <w:spacing w:after="80"/>
      </w:pPr>
      <w:r>
        <w:rPr>
          <w:rFonts w:ascii="Arial" w:cs="Arial" w:eastAsia="Arial" w:hAnsi="Arial"/>
          <w:b/>
          <w:bCs/>
          <w:color w:val="17365D"/>
          <w:sz w:val="20"/>
          <w:szCs w:val="20"/>
        </w:rPr>
        <w:t xml:space="preserve">Proof of concept - </w:t>
      </w:r>
      <w:r>
        <w:rPr>
          <w:rFonts w:ascii="Arial" w:cs="Arial" w:eastAsia="Arial" w:hAnsi="Arial"/>
          <w:sz w:val="20"/>
          <w:szCs w:val="20"/>
        </w:rPr>
        <w:t xml:space="preserve">A narrow, production-representative build that proves a pattern and de-risks the larger investment before commitment.</w:t>
      </w:r>
    </w:p>
    <w:p>
      <w:pPr>
        <w:spacing w:after="80"/>
      </w:pPr>
      <w:r>
        <w:rPr>
          <w:rFonts w:ascii="Arial" w:cs="Arial" w:eastAsia="Arial" w:hAnsi="Arial"/>
          <w:b/>
          <w:bCs/>
          <w:color w:val="17365D"/>
          <w:sz w:val="20"/>
          <w:szCs w:val="20"/>
        </w:rPr>
        <w:t xml:space="preserve">Implementation - </w:t>
      </w:r>
      <w:r>
        <w:rPr>
          <w:rFonts w:ascii="Arial" w:cs="Arial" w:eastAsia="Arial" w:hAnsi="Arial"/>
          <w:sz w:val="20"/>
          <w:szCs w:val="20"/>
        </w:rPr>
        <w:t xml:space="preserve">Phased delivery against the roadmap with defined milestones, acceptance criteria, and knowledge transfer built into each phase.</w:t>
      </w:r>
    </w:p>
    <w:p>
      <w:pPr>
        <w:spacing w:after="80"/>
      </w:pPr>
      <w:r>
        <w:rPr>
          <w:rFonts w:ascii="Arial" w:cs="Arial" w:eastAsia="Arial" w:hAnsi="Arial"/>
          <w:b/>
          <w:bCs/>
          <w:color w:val="17365D"/>
          <w:sz w:val="20"/>
          <w:szCs w:val="20"/>
        </w:rPr>
        <w:t xml:space="preserve">Enablement - </w:t>
      </w:r>
      <w:r>
        <w:rPr>
          <w:rFonts w:ascii="Arial" w:cs="Arial" w:eastAsia="Arial" w:hAnsi="Arial"/>
          <w:sz w:val="20"/>
          <w:szCs w:val="20"/>
        </w:rPr>
        <w:t xml:space="preserve">Instructor-led training, labs, office hours, and operating-model guidance so your team can run and extend the solution without ongoing dependency.</w:t>
      </w:r>
    </w:p>
    <w:p>
      <w:pPr>
        <w:spacing w:after="80"/>
      </w:pPr>
      <w:r>
        <w:rPr>
          <w:rFonts w:ascii="Arial" w:cs="Arial" w:eastAsia="Arial" w:hAnsi="Arial"/>
          <w:b/>
          <w:bCs/>
          <w:color w:val="17365D"/>
          <w:sz w:val="20"/>
          <w:szCs w:val="20"/>
        </w:rPr>
        <w:t xml:space="preserve">Advisory retainer - </w:t>
      </w:r>
      <w:r>
        <w:rPr>
          <w:rFonts w:ascii="Arial" w:cs="Arial" w:eastAsia="Arial" w:hAnsi="Arial"/>
          <w:sz w:val="20"/>
          <w:szCs w:val="20"/>
        </w:rPr>
        <w:t xml:space="preserve">Recurring architecture review, escalation support, and roadmap guidance at an agreed monthly commitment.</w:t>
      </w:r>
    </w:p>
    <w:p>
      <w:pPr>
        <w:spacing w:after="90"/>
      </w:pPr>
      <w:r>
        <w:rPr>
          <w:rFonts w:ascii="Arial" w:cs="Arial" w:eastAsia="Arial" w:hAnsi="Arial"/>
          <w:i/>
          <w:iCs/>
          <w:color w:val="5B6573"/>
          <w:sz w:val="20"/>
          <w:szCs w:val="20"/>
        </w:rPr>
        <w:t xml:space="preserve">Every engagement includes documented architecture decisions, reusable assets, and a knowledge-transfer plan. The objective is a capable internal team, not a permanent dependency.</w:t>
      </w:r>
    </w:p>
    <w:p>
      <w:pPr>
        <w:pBdr>
          <w:bottom w:val="single" w:color="17365D" w:sz="6" w:space="2"/>
        </w:pBdr>
        <w:spacing w:after="100" w:before="240"/>
      </w:pPr>
      <w:r>
        <w:rPr>
          <w:rFonts w:ascii="Arial" w:cs="Arial" w:eastAsia="Arial" w:hAnsi="Arial"/>
          <w:b/>
          <w:bCs/>
          <w:color w:val="17365D"/>
          <w:sz w:val="24"/>
          <w:szCs w:val="24"/>
        </w:rPr>
        <w:t xml:space="preserve">CREDENTIALS</w:t>
      </w:r>
    </w:p>
    <w:p>
      <w:pPr>
        <w:pStyle w:val="ListParagraph"/>
        <w:numPr>
          <w:ilvl w:val="0"/>
          <w:numId w:val="2"/>
        </w:numPr>
        <w:spacing w:after="60"/>
      </w:pPr>
      <w:r>
        <w:rPr>
          <w:rFonts w:ascii="Arial" w:cs="Arial" w:eastAsia="Arial" w:hAnsi="Arial"/>
          <w:sz w:val="20"/>
          <w:szCs w:val="20"/>
        </w:rPr>
        <w:t xml:space="preserve">Microsoft Certified: Fabric Analytics Engineer Associate (DP-600), Azure AI Fundamentals (AI-900), Power Platform Fundamentals (PL-900), Azure Fundamentals (AZ-900), Microsoft Certified Professional.</w:t>
      </w:r>
    </w:p>
    <w:p>
      <w:pPr>
        <w:pStyle w:val="ListParagraph"/>
        <w:numPr>
          <w:ilvl w:val="0"/>
          <w:numId w:val="2"/>
        </w:numPr>
        <w:spacing w:after="60"/>
      </w:pPr>
      <w:r>
        <w:rPr>
          <w:rFonts w:ascii="Arial" w:cs="Arial" w:eastAsia="Arial" w:hAnsi="Arial"/>
          <w:sz w:val="20"/>
          <w:szCs w:val="20"/>
        </w:rPr>
        <w:t xml:space="preserve">Microsoft delivery accreditations for Deploying Power BI Analytics (WorkshopPLUS, Solution Optimization, Proof of Concept, Upskilling Execution, Production Deployment Oversight, Technical Blocker Mitigation), Developer Velocity Planning, Azure DevOps and TFS onboarding and assessment offerings, Intelligent Apps and App Modernization, Azure PaaS for Developers, and .NET and IIS code review and assessment services.</w:t>
      </w:r>
    </w:p>
    <w:p>
      <w:pPr>
        <w:pStyle w:val="ListParagraph"/>
        <w:numPr>
          <w:ilvl w:val="0"/>
          <w:numId w:val="2"/>
        </w:numPr>
        <w:spacing w:after="60"/>
      </w:pPr>
      <w:r>
        <w:rPr>
          <w:rFonts w:ascii="Arial" w:cs="Arial" w:eastAsia="Arial" w:hAnsi="Arial"/>
          <w:sz w:val="20"/>
          <w:szCs w:val="20"/>
        </w:rPr>
        <w:t xml:space="preserve">Enhanced Designated Engineering and EDE Scoping accreditation, Support Technology Advisor Level 2, Essential Educate Trainer Skills, and Essential Assessment Skills.</w:t>
      </w:r>
    </w:p>
    <w:p>
      <w:pPr>
        <w:pStyle w:val="ListParagraph"/>
        <w:numPr>
          <w:ilvl w:val="0"/>
          <w:numId w:val="2"/>
        </w:numPr>
        <w:spacing w:after="60"/>
      </w:pPr>
      <w:r>
        <w:rPr>
          <w:rFonts w:ascii="Arial" w:cs="Arial" w:eastAsia="Arial" w:hAnsi="Arial"/>
          <w:sz w:val="20"/>
          <w:szCs w:val="20"/>
        </w:rPr>
        <w:t xml:space="preserve">2026 100% Attainment Award and business-unit Boots on the Ground Award for customer delivery contribution.</w:t>
      </w:r>
    </w:p>
    <w:p>
      <w:pPr>
        <w:pStyle w:val="ListParagraph"/>
        <w:numPr>
          <w:ilvl w:val="0"/>
          <w:numId w:val="2"/>
        </w:numPr>
        <w:spacing w:after="60"/>
      </w:pPr>
      <w:r>
        <w:rPr>
          <w:rFonts w:ascii="Arial" w:cs="Arial" w:eastAsia="Arial" w:hAnsi="Arial"/>
          <w:sz w:val="20"/>
          <w:szCs w:val="20"/>
        </w:rPr>
        <w:t xml:space="preserve">Eighteen years at Microsoft; four Fabric Enterprise Delivery Engagement contracts scoped, sold, and delivered totaling 1,800 hours; six concurrent engagement contracts in the most recent year across Fabric, Power BI, Azure DevOps, .NET, and Azure services.</w:t>
      </w:r>
    </w:p>
    <w:p>
      <w:pPr>
        <w:spacing w:after="0"/>
        <w:jc w:val="center"/>
      </w:pPr>
      <w:r>
        <w:rPr>
          <w:rFonts w:ascii="Arial" w:cs="Arial" w:eastAsia="Arial" w:hAnsi="Arial"/>
          <w:b/>
          <w:bCs/>
          <w:sz w:val="20"/>
          <w:szCs w:val="20"/>
        </w:rPr>
        <w:t xml:space="preserve">Available for assessment, proof of concept, implementation, enablement, and advisory engagements. Contact eric@parvski.com to discuss scope and timing.</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2026-09-02T17:18:44.986Z</dcterms:created>
  <dcterms:modified xsi:type="dcterms:W3CDTF">2026-09-02T17:18:44.986Z</dcterms:modified>
</cp:coreProperties>
</file>

<file path=docProps/custom.xml><?xml version="1.0" encoding="utf-8"?>
<Properties xmlns="http://schemas.openxmlformats.org/officeDocument/2006/custom-properties" xmlns:vt="http://schemas.openxmlformats.org/officeDocument/2006/docPropsVTypes"/>
</file>