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spacing w:after="0" w:lineRule="auto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  <w:rtl w:val="0"/>
        </w:rPr>
        <w:t xml:space="preserve">Eric Zhu</w:t>
        <w:tab/>
        <w:tab/>
      </w:r>
    </w:p>
    <w:p w:rsidR="00000000" w:rsidDel="00000000" w:rsidP="00000000" w:rsidRDefault="00000000" w:rsidRPr="00000000" w14:paraId="00000002">
      <w:pPr>
        <w:spacing w:after="0" w:lineRule="auto"/>
        <w:rPr>
          <w:rFonts w:ascii="Calibri" w:cs="Calibri" w:eastAsia="Calibri" w:hAnsi="Calibri"/>
          <w:sz w:val="48"/>
          <w:szCs w:val="48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eri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c.zhu94@gmail.com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+61435057422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4" w:val="single"/>
        </w:pBdr>
        <w:spacing w:after="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EMPLOYMENT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Commonwealth Bank of Australia</w:t>
        <w:tab/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Manager, Deposits Retail Pricing</w:t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(Apr 2018 - present)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the revenue outcomes of the Retail Deposits portfolio through pricing optimisation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Optimised business decision making through comparable pricing lever analysis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Tableau performance and control reporting to extract insights and reduce risk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the structure of predictive models to estimate customer pricing behaviour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risk remediation resulting in repayments of underpaid interest to Term Deposit customers</w:t>
      </w:r>
    </w:p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Commercial Graduate, Retail Banking Services</w:t>
        <w:tab/>
        <w:tab/>
        <w:tab/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(Feb 2017 - Apr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strategy to achieve FY20 distribution channel flexible working targets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logistics for the Financial Wellbeing Test &amp; Learn initiative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KPIs and customer strategy for the Personal Banking Consultant role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scalable reporting, coaching, and feedback tools using Visual Basic and SharePoint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bottom w:color="000000" w:space="1" w:sz="4" w:val="single"/>
        </w:pBdr>
        <w:spacing w:after="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Stockastic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Web-based stock portfolio simulation and visualisation.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6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Simulated hypothetical stock portfolio returns over various timescales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6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Responsive chart visualisation using Bokeh and Ajax data requests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6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Apache Linux, Python, Flask</w:t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Image Classification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Plant image phenotyping using traditional computer vision pipelines and methods.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image thresholding and histogram normalisation methods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Classification using scale-invariant feature transform and bag of visual words model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Python, Scikit-learn, Scikit-image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1" w:sz="4" w:val="single"/>
        </w:pBdr>
        <w:rPr>
          <w:rFonts w:ascii="Calibri" w:cs="Calibri" w:eastAsia="Calibri" w:hAnsi="Calibri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bottom w:color="000000" w:space="1" w:sz="4" w:val="single"/>
        </w:pBd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of New South Wales</w:t>
        <w:tab/>
        <w:t xml:space="preserve">Sydney, NSW,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right" w:pos="100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Master of Information Technology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(2020 - present)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7"/>
        </w:numPr>
        <w:tabs>
          <w:tab w:val="right" w:pos="10080"/>
        </w:tabs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WAM: 78.2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7"/>
        </w:numPr>
        <w:tabs>
          <w:tab w:val="right" w:pos="10080"/>
        </w:tabs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Coursework: Computer Vision, Computer Networks, Artificial Intelligence, Software Construction </w:t>
      </w:r>
    </w:p>
    <w:p w:rsidR="00000000" w:rsidDel="00000000" w:rsidP="00000000" w:rsidRDefault="00000000" w:rsidRPr="00000000" w14:paraId="00000024">
      <w:pPr>
        <w:pageBreakBefore w:val="0"/>
        <w:tabs>
          <w:tab w:val="right" w:pos="1008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right" w:pos="100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Graduate Certificate in Computing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(2016)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7"/>
        </w:numPr>
        <w:tabs>
          <w:tab w:val="right" w:pos="10080"/>
        </w:tabs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WAM: 73.2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7"/>
        </w:numPr>
        <w:tabs>
          <w:tab w:val="right" w:pos="10080"/>
        </w:tabs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Coursework: Discrete Mathematics, Database Systems, Data Structures and Algorithms</w:t>
      </w:r>
    </w:p>
    <w:p w:rsidR="00000000" w:rsidDel="00000000" w:rsidP="00000000" w:rsidRDefault="00000000" w:rsidRPr="00000000" w14:paraId="00000028">
      <w:pPr>
        <w:pageBreakBefore w:val="0"/>
        <w:tabs>
          <w:tab w:val="right" w:pos="10080"/>
        </w:tabs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10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achelor of Commerce (Finance, Distinction)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(2012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2016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right="0"/>
        <w:jc w:val="left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Bachelor of Economics (Economics, Distinction)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WAM: 74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Majors: Finance, Economics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right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Coursera / edX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Machine Learning, Stanford University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Algorithms I, Princeton University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CS50x, Harvard University</w:t>
      </w:r>
    </w:p>
    <w:p w:rsidR="00000000" w:rsidDel="00000000" w:rsidP="00000000" w:rsidRDefault="00000000" w:rsidRPr="00000000" w14:paraId="00000032">
      <w:pPr>
        <w:pageBreakBefore w:val="0"/>
        <w:pBdr>
          <w:bottom w:color="000000" w:space="1" w:sz="4" w:val="single"/>
        </w:pBd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bottom w:color="000000" w:space="1" w:sz="4" w:val="single"/>
        </w:pBd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tabs>
          <w:tab w:val="right" w:pos="10080"/>
        </w:tabs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Technical Skills: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Java, SQL, HTML, Shell, Linux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94" w:top="833" w:left="794" w:right="7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Rule="auto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1"/>
      <w:strike w:val="0"/>
      <w:color w:val="17365d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.zhu94@gmail.com" TargetMode="External"/><Relationship Id="rId7" Type="http://schemas.openxmlformats.org/officeDocument/2006/relationships/hyperlink" Target="mailto:eric.zhu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