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single" w:sz="4" w:space="0" w:color="003b6e"/>
          <w:left w:val="single" w:sz="4" w:space="0" w:color="003b6e"/>
          <w:bottom w:val="single" w:sz="4" w:space="0" w:color="003b6e"/>
          <w:right w:val="single" w:sz="4" w:space="0" w:color="003b6e"/>
          <w:insideH w:val="single" w:sz="4" w:space="0" w:color="003b6e"/>
          <w:insideV w:val="single" w:sz="4" w:space="0" w:color="003b6e"/>
        </w:tblBorders>
      </w:tblPr>
      <w:tblGrid>
        <w:gridCol w:w="4703"/>
        <w:gridCol w:w="4703"/>
      </w:tblGrid>
      <w:tr>
        <w:tc>
          <w:tcPr>
            <w:tcW w:type="dxa" w:w="6236"/>
            <w:shd w:val="clear" w:color="auto" w:fill="003B6E"/>
          </w:tcPr>
          <w:p>
            <w:pPr>
              <w:spacing w:before="240" w:after="240"/>
              <w:jc w:val="left"/>
            </w:pPr>
            <w:r>
              <w:drawing>
                <wp:inline xmlns:a="http://schemas.openxmlformats.org/drawingml/2006/main" xmlns:pic="http://schemas.openxmlformats.org/drawingml/2006/picture">
                  <wp:extent cx="1440000" cy="483934"/>
                  <wp:docPr id="1" name="Picture 1"/>
                  <wp:cNvGraphicFramePr>
                    <a:graphicFrameLocks noChangeAspect="1"/>
                  </wp:cNvGraphicFramePr>
                  <a:graphic>
                    <a:graphicData uri="http://schemas.openxmlformats.org/drawingml/2006/picture">
                      <pic:pic>
                        <pic:nvPicPr>
                          <pic:cNvPr id="0" name="Bosch.png"/>
                          <pic:cNvPicPr/>
                        </pic:nvPicPr>
                        <pic:blipFill>
                          <a:blip r:embed="rId9"/>
                          <a:stretch>
                            <a:fillRect/>
                          </a:stretch>
                        </pic:blipFill>
                        <pic:spPr>
                          <a:xfrm>
                            <a:off x="0" y="0"/>
                            <a:ext cx="1440000" cy="483934"/>
                          </a:xfrm>
                          <a:prstGeom prst="rect"/>
                        </pic:spPr>
                      </pic:pic>
                    </a:graphicData>
                  </a:graphic>
                </wp:inline>
              </w:drawing>
            </w:r>
          </w:p>
        </w:tc>
        <w:tc>
          <w:tcPr>
            <w:tcW w:type="dxa" w:w="3402"/>
            <w:shd w:val="clear" w:color="auto" w:fill="003B6E"/>
          </w:tcPr>
          <w:p>
            <w:pPr>
              <w:spacing w:before="280" w:after="280"/>
              <w:jc w:val="right"/>
            </w:pPr>
            <w:r>
              <w:rPr>
                <w:rFonts w:ascii="Calibri" w:hAnsi="Calibri"/>
                <w:b/>
                <w:i w:val="0"/>
                <w:color w:val="AACCEE"/>
                <w:sz w:val="16"/>
              </w:rPr>
              <w:t>INTERNAL  |  BOSCH GROUP</w:t>
            </w:r>
          </w:p>
        </w:tc>
      </w:tr>
    </w:tbl>
    <w:tbl>
      <w:tblPr>
        <w:tblW w:type="auto" w:w="0"/>
        <w:tblLook w:firstColumn="1" w:firstRow="1" w:lastColumn="0" w:lastRow="0" w:noHBand="0" w:noVBand="1" w:val="04A0"/>
        <w:tblBorders>
          <w:top w:val="single" w:sz="4" w:space="0" w:color="0066CC"/>
          <w:left w:val="single" w:sz="4" w:space="0" w:color="0066CC"/>
          <w:bottom w:val="single" w:sz="4" w:space="0" w:color="0066CC"/>
          <w:right w:val="single" w:sz="4" w:space="0" w:color="0066CC"/>
          <w:insideH w:val="single" w:sz="4" w:space="0" w:color="0066CC"/>
          <w:insideV w:val="single" w:sz="4" w:space="0" w:color="0066CC"/>
        </w:tblBorders>
      </w:tblPr>
      <w:tblGrid>
        <w:gridCol w:w="9406"/>
      </w:tblGrid>
      <w:tr>
        <w:tc>
          <w:tcPr>
            <w:tcW w:type="dxa" w:w="9638"/>
            <w:shd w:val="clear" w:color="auto" w:fill="0066CC"/>
          </w:tcPr>
          <w:p>
            <w:pPr>
              <w:spacing w:before="20" w:after="20"/>
            </w:pPr>
          </w:p>
        </w:tc>
      </w:tr>
    </w:tbl>
    <w:p/>
    <w:p/>
    <w:p>
      <w:pPr>
        <w:spacing w:before="400" w:after="80"/>
        <w:jc w:val="center"/>
      </w:pPr>
      <w:r>
        <w:rPr>
          <w:rFonts w:ascii="Calibri" w:hAnsi="Calibri"/>
          <w:b/>
          <w:i w:val="0"/>
          <w:color w:val="003B6E"/>
          <w:sz w:val="44"/>
        </w:rPr>
        <w:t>AUTONOMOUS AI FOR PROJECT MANAGEMENT</w:t>
      </w:r>
    </w:p>
    <w:p>
      <w:pPr>
        <w:spacing w:before="80" w:after="80"/>
        <w:jc w:val="center"/>
      </w:pPr>
      <w:r>
        <w:rPr>
          <w:rFonts w:ascii="Calibri" w:hAnsi="Calibri"/>
          <w:b w:val="0"/>
          <w:i w:val="0"/>
          <w:color w:val="005199"/>
          <w:sz w:val="32"/>
        </w:rPr>
        <w:t>Transforming IT Carve-Out Delivery</w:t>
      </w:r>
    </w:p>
    <w:p/>
    <w:p>
      <w:pPr>
        <w:spacing w:before="80" w:after="80"/>
        <w:jc w:val="center"/>
      </w:pPr>
      <w:r>
        <w:rPr>
          <w:rFonts w:ascii="Calibri" w:hAnsi="Calibri"/>
          <w:b w:val="0"/>
          <w:i/>
          <w:color w:val="555555"/>
          <w:sz w:val="22"/>
        </w:rPr>
        <w:t>How AI-augmented domain knowledge is eliminating the documentation burden for IT carve-out project managers — and what this means for the future of M&amp;A delivery</w:t>
      </w:r>
    </w:p>
    <w:p/>
    <w:p/>
    <w:p/>
    <w:p>
      <w:pPr>
        <w:spacing w:before="0" w:after="0"/>
        <w:pBdr>
          <w:bottom w:val="single" w:sz="12" w:space="0" w:color="0066CC"/>
        </w:pBdr>
      </w:pPr>
    </w:p>
    <w:tbl>
      <w:tblPr>
        <w:tblW w:type="auto" w:w="0"/>
        <w:tblLook w:firstColumn="1" w:firstRow="1" w:lastColumn="0" w:lastRow="0" w:noHBand="0" w:noVBand="1" w:val="04A0"/>
        <w:tblBorders>
          <w:top w:val="single" w:sz="4" w:space="0" w:color="CCDDEE"/>
          <w:left w:val="single" w:sz="4" w:space="0" w:color="CCDDEE"/>
          <w:bottom w:val="single" w:sz="4" w:space="0" w:color="CCDDEE"/>
          <w:right w:val="single" w:sz="4" w:space="0" w:color="CCDDEE"/>
          <w:insideH w:val="single" w:sz="4" w:space="0" w:color="CCDDEE"/>
          <w:insideV w:val="single" w:sz="4" w:space="0" w:color="CCDDEE"/>
        </w:tblBorders>
      </w:tblPr>
      <w:tblGrid>
        <w:gridCol w:w="4703"/>
        <w:gridCol w:w="4703"/>
      </w:tblGrid>
      <w:tr>
        <w:tc>
          <w:tcPr>
            <w:tcW w:type="dxa" w:w="2268"/>
            <w:shd w:val="clear" w:color="auto" w:fill="F4F6F9"/>
          </w:tcPr>
          <w:p>
            <w:pPr>
              <w:spacing w:before="60" w:after="60"/>
            </w:pPr>
            <w:r>
              <w:rPr>
                <w:rFonts w:ascii="Calibri" w:hAnsi="Calibri"/>
                <w:b/>
                <w:i w:val="0"/>
                <w:color w:val="003B6E"/>
                <w:sz w:val="18"/>
              </w:rPr>
              <w:t>Practice</w:t>
            </w:r>
          </w:p>
        </w:tc>
        <w:tc>
          <w:tcPr>
            <w:tcW w:type="dxa" w:w="7370"/>
            <w:shd w:val="clear" w:color="auto" w:fill="FFFFFF"/>
          </w:tcPr>
          <w:p>
            <w:pPr>
              <w:spacing w:before="60" w:after="60"/>
            </w:pPr>
            <w:r>
              <w:rPr>
                <w:rFonts w:ascii="Calibri" w:hAnsi="Calibri"/>
                <w:b w:val="0"/>
                <w:i w:val="0"/>
                <w:color w:val="1A1A1A"/>
                <w:sz w:val="18"/>
              </w:rPr>
              <w:t>Mergers, Integrations &amp; Liquidations (MIL)</w:t>
            </w:r>
          </w:p>
        </w:tc>
      </w:tr>
      <w:tr>
        <w:tc>
          <w:tcPr>
            <w:tcW w:type="dxa" w:w="2268"/>
            <w:shd w:val="clear" w:color="auto" w:fill="F4F6F9"/>
          </w:tcPr>
          <w:p>
            <w:pPr>
              <w:spacing w:before="60" w:after="60"/>
            </w:pPr>
            <w:r>
              <w:rPr>
                <w:rFonts w:ascii="Calibri" w:hAnsi="Calibri"/>
                <w:b/>
                <w:i w:val="0"/>
                <w:color w:val="003B6E"/>
                <w:sz w:val="18"/>
              </w:rPr>
              <w:t>Organisation</w:t>
            </w:r>
          </w:p>
        </w:tc>
        <w:tc>
          <w:tcPr>
            <w:tcW w:type="dxa" w:w="7370"/>
            <w:shd w:val="clear" w:color="auto" w:fill="FFFFFF"/>
          </w:tcPr>
          <w:p>
            <w:pPr>
              <w:spacing w:before="60" w:after="60"/>
            </w:pPr>
            <w:r>
              <w:rPr>
                <w:rFonts w:ascii="Calibri" w:hAnsi="Calibri"/>
                <w:b w:val="0"/>
                <w:i w:val="0"/>
                <w:color w:val="1A1A1A"/>
                <w:sz w:val="18"/>
              </w:rPr>
              <w:t>Bosch Global Business Services — IT Strategy</w:t>
            </w:r>
          </w:p>
        </w:tc>
      </w:tr>
      <w:tr>
        <w:tc>
          <w:tcPr>
            <w:tcW w:type="dxa" w:w="2268"/>
            <w:shd w:val="clear" w:color="auto" w:fill="F4F6F9"/>
          </w:tcPr>
          <w:p>
            <w:pPr>
              <w:spacing w:before="60" w:after="60"/>
            </w:pPr>
            <w:r>
              <w:rPr>
                <w:rFonts w:ascii="Calibri" w:hAnsi="Calibri"/>
                <w:b/>
                <w:i w:val="0"/>
                <w:color w:val="003B6E"/>
                <w:sz w:val="18"/>
              </w:rPr>
              <w:t>Published</w:t>
            </w:r>
          </w:p>
        </w:tc>
        <w:tc>
          <w:tcPr>
            <w:tcW w:type="dxa" w:w="7370"/>
            <w:shd w:val="clear" w:color="auto" w:fill="FFFFFF"/>
          </w:tcPr>
          <w:p>
            <w:pPr>
              <w:spacing w:before="60" w:after="60"/>
            </w:pPr>
            <w:r>
              <w:rPr>
                <w:rFonts w:ascii="Calibri" w:hAnsi="Calibri"/>
                <w:b w:val="0"/>
                <w:i w:val="0"/>
                <w:color w:val="1A1A1A"/>
                <w:sz w:val="18"/>
              </w:rPr>
              <w:t>April 2026</w:t>
            </w:r>
          </w:p>
        </w:tc>
      </w:tr>
      <w:tr>
        <w:tc>
          <w:tcPr>
            <w:tcW w:type="dxa" w:w="2268"/>
            <w:shd w:val="clear" w:color="auto" w:fill="F4F6F9"/>
          </w:tcPr>
          <w:p>
            <w:pPr>
              <w:spacing w:before="60" w:after="60"/>
            </w:pPr>
            <w:r>
              <w:rPr>
                <w:rFonts w:ascii="Calibri" w:hAnsi="Calibri"/>
                <w:b/>
                <w:i w:val="0"/>
                <w:color w:val="003B6E"/>
                <w:sz w:val="18"/>
              </w:rPr>
              <w:t>Classification</w:t>
            </w:r>
          </w:p>
        </w:tc>
        <w:tc>
          <w:tcPr>
            <w:tcW w:type="dxa" w:w="7370"/>
            <w:shd w:val="clear" w:color="auto" w:fill="FFFFFF"/>
          </w:tcPr>
          <w:p>
            <w:pPr>
              <w:spacing w:before="60" w:after="60"/>
            </w:pPr>
            <w:r>
              <w:rPr>
                <w:rFonts w:ascii="Calibri" w:hAnsi="Calibri"/>
                <w:b w:val="0"/>
                <w:i w:val="0"/>
                <w:color w:val="1A1A1A"/>
                <w:sz w:val="18"/>
              </w:rPr>
              <w:t>Internal — Bosch Group</w:t>
            </w:r>
          </w:p>
        </w:tc>
      </w:tr>
    </w:tbl>
    <w:p/>
    <w:p/>
    <w:p/>
    <w:p/>
    <w:tbl>
      <w:tblPr>
        <w:tblW w:type="auto" w:w="0"/>
        <w:tblLook w:firstColumn="1" w:firstRow="1" w:lastColumn="0" w:lastRow="0" w:noHBand="0" w:noVBand="1" w:val="04A0"/>
        <w:jc w:val="center"/>
        <w:tblBorders>
          <w:top w:val="single" w:sz="4" w:space="0" w:color="0066CC"/>
          <w:left w:val="single" w:sz="4" w:space="0" w:color="0066CC"/>
          <w:bottom w:val="single" w:sz="4" w:space="0" w:color="0066CC"/>
          <w:right w:val="single" w:sz="4" w:space="0" w:color="0066CC"/>
          <w:insideH w:val="single" w:sz="4" w:space="0" w:color="0066CC"/>
          <w:insideV w:val="single" w:sz="4" w:space="0" w:color="0066CC"/>
        </w:tblBorders>
      </w:tblPr>
      <w:tblGrid>
        <w:gridCol w:w="9406"/>
      </w:tblGrid>
      <w:tr>
        <w:tc>
          <w:tcPr>
            <w:tcW w:type="dxa" w:w="9071"/>
            <w:shd w:val="clear" w:color="auto" w:fill="E8F0FA"/>
          </w:tcPr>
          <w:p>
            <w:pPr>
              <w:spacing w:before="80" w:after="40"/>
            </w:pPr>
            <w:r>
              <w:rPr>
                <w:rFonts w:ascii="Calibri" w:hAnsi="Calibri"/>
                <w:b/>
                <w:i w:val="0"/>
                <w:color w:val="003B6E"/>
                <w:sz w:val="18"/>
              </w:rPr>
              <w:t>EXECUTIVE SUMMARY</w:t>
            </w:r>
          </w:p>
          <w:p>
            <w:pPr>
              <w:spacing w:before="20" w:after="20"/>
              <w:ind w:left="170"/>
            </w:pPr>
            <w:r>
              <w:rPr>
                <w:rFonts w:ascii="Calibri" w:hAnsi="Calibri"/>
                <w:b w:val="0"/>
                <w:i w:val="0"/>
                <w:color w:val="1A1A1A"/>
                <w:sz w:val="20"/>
              </w:rPr>
              <w:t>• IT carve-out projects generate enormous documentation burdens before a single line of code is written. Schedules, risk registers, cost plans, project charters, executive dashboards, KPI dashboards, and monthly reports must all be produced — and kept consistent with each other — from day one of mobilisation.</w:t>
            </w:r>
          </w:p>
          <w:p>
            <w:pPr>
              <w:spacing w:before="20" w:after="20"/>
              <w:ind w:left="170"/>
            </w:pPr>
            <w:r>
              <w:rPr>
                <w:rFonts w:ascii="Calibri" w:hAnsi="Calibri"/>
                <w:b w:val="0"/>
                <w:i w:val="0"/>
                <w:color w:val="1A1A1A"/>
                <w:sz w:val="20"/>
              </w:rPr>
              <w:t>• This whitepaper describes a pilot AI solution developed within Bosch's MIL practice that automates the generation of these deliverables using GitHub Copilot (Claude Sonnet AI) integrated with deep M&amp;A methodology knowledge. The system combines VS Code as the workspace, GitHub as the knowledge repository, and a structured layer of domain-specific skills to produce governance-quality documents in minutes — not days.</w:t>
            </w:r>
          </w:p>
          <w:p>
            <w:pPr>
              <w:spacing w:before="20" w:after="20"/>
              <w:ind w:left="170"/>
            </w:pPr>
            <w:r>
              <w:rPr>
                <w:rFonts w:ascii="Calibri" w:hAnsi="Calibri"/>
                <w:b w:val="0"/>
                <w:i w:val="0"/>
                <w:color w:val="1A1A1A"/>
                <w:sz w:val="20"/>
              </w:rPr>
              <w:t>• The pilot programme launches in May 2026. This paper introduces the architecture, the value proposition, and the path forward.</w:t>
            </w:r>
          </w:p>
        </w:tc>
      </w:tr>
    </w:tbl>
    <w:p/>
    <w:p>
      <w:pPr>
        <w:pageBreakBefore w:val="true"/>
      </w:pPr>
    </w:p>
    <w:tbl>
      <w:tblPr>
        <w:tblW w:type="auto" w:w="0"/>
        <w:tblLook w:firstColumn="1" w:firstRow="1" w:lastColumn="0" w:lastRow="0" w:noHBand="0" w:noVBand="1" w:val="04A0"/>
        <w:tblBorders>
          <w:top w:val="single" w:sz="4" w:space="0" w:color="003b6e"/>
          <w:left w:val="single" w:sz="4" w:space="0" w:color="003b6e"/>
          <w:bottom w:val="single" w:sz="4" w:space="0" w:color="003b6e"/>
          <w:right w:val="single" w:sz="4" w:space="0" w:color="003b6e"/>
          <w:insideH w:val="single" w:sz="4" w:space="0" w:color="003b6e"/>
          <w:insideV w:val="single" w:sz="4" w:space="0" w:color="003b6e"/>
        </w:tblBorders>
      </w:tblPr>
      <w:tblGrid>
        <w:gridCol w:w="4703"/>
        <w:gridCol w:w="4703"/>
      </w:tblGrid>
      <w:tr>
        <w:tc>
          <w:tcPr>
            <w:tcW w:type="dxa" w:w="6803"/>
            <w:shd w:val="clear" w:color="auto" w:fill="003B6E"/>
          </w:tcPr>
          <w:p>
            <w:pPr>
              <w:spacing w:before="80" w:after="80"/>
            </w:pPr>
            <w:r>
              <w:rPr>
                <w:rFonts w:ascii="Calibri" w:hAnsi="Calibri"/>
                <w:b/>
                <w:i w:val="0"/>
                <w:color w:val="FFFFFF"/>
                <w:sz w:val="16"/>
              </w:rPr>
              <w:t>AUTONOMOUS AI FOR PROJECT MANAGEMENT  |  Bosch MIL  |  Whitepaper</w:t>
            </w:r>
          </w:p>
        </w:tc>
        <w:tc>
          <w:tcPr>
            <w:tcW w:type="dxa" w:w="2835"/>
            <w:shd w:val="clear" w:color="auto" w:fill="003B6E"/>
          </w:tcPr>
          <w:p>
            <w:pPr>
              <w:spacing w:before="80" w:after="80"/>
              <w:jc w:val="right"/>
            </w:pPr>
            <w:r>
              <w:rPr>
                <w:rFonts w:ascii="Calibri" w:hAnsi="Calibri"/>
                <w:b w:val="0"/>
                <w:i w:val="0"/>
                <w:color w:val="AACCEE"/>
                <w:sz w:val="16"/>
              </w:rPr>
              <w:t>April 2026</w:t>
            </w:r>
          </w:p>
        </w:tc>
      </w:tr>
    </w:tbl>
    <w:p/>
    <w:p>
      <w:pPr>
        <w:spacing w:before="0" w:after="0"/>
        <w:pBdr>
          <w:bottom w:val="single" w:sz="8" w:space="0" w:color="003b6e"/>
        </w:pBdr>
      </w:pPr>
    </w:p>
    <w:p/>
    <w:p>
      <w:pPr>
        <w:spacing w:before="360" w:after="120"/>
        <w:pBdr>
          <w:bottom w:val="single" w:sz="8" w:space="1" w:color="003b6e"/>
        </w:pBdr>
      </w:pPr>
      <w:r>
        <w:rPr>
          <w:rFonts w:ascii="Calibri" w:hAnsi="Calibri"/>
          <w:b/>
          <w:i w:val="0"/>
          <w:color w:val="0066CC"/>
          <w:sz w:val="26"/>
        </w:rPr>
        <w:t xml:space="preserve">01  </w:t>
      </w:r>
      <w:r>
        <w:rPr>
          <w:rFonts w:ascii="Calibri" w:hAnsi="Calibri"/>
          <w:b/>
          <w:i w:val="0"/>
          <w:color w:val="003B6E"/>
          <w:sz w:val="26"/>
        </w:rPr>
        <w:t>THE CHALLENGE: DOCUMENTATION OVERLOAD AT PROJECT START</w:t>
      </w:r>
    </w:p>
    <w:p>
      <w:pPr>
        <w:spacing w:before="0" w:after="100"/>
        <w:jc w:val="both"/>
      </w:pPr>
      <w:r>
        <w:rPr>
          <w:rFonts w:ascii="Calibri" w:hAnsi="Calibri"/>
          <w:b w:val="0"/>
          <w:i w:val="0"/>
          <w:color w:val="1A1A1A"/>
          <w:sz w:val="21"/>
        </w:rPr>
        <w:t>Every IT carve-out project begins the same way. A project manager is assigned, a timeline is set, and within days the requests arrive: a schedule for the Steering Committee, a risk register for legal review, a cost plan for finance approval, a project charter for the executive sponsor, and a dashboard for the monthly reporting cycle. All before the team has held its first discovery workshop.</w:t>
      </w:r>
    </w:p>
    <w:p>
      <w:pPr>
        <w:spacing w:before="0" w:after="100"/>
        <w:jc w:val="both"/>
      </w:pPr>
      <w:r>
        <w:rPr>
          <w:rFonts w:ascii="Calibri" w:hAnsi="Calibri"/>
          <w:b w:val="0"/>
          <w:i w:val="0"/>
          <w:color w:val="1A1A1A"/>
          <w:sz w:val="21"/>
        </w:rPr>
        <w:t>This documentation burden is not administrative overhead — it is foundational project governance. The schedule sets the baseline; the risk register informs the budget; the cost plan supports investment approval; the charter secures stakeholder alignment. Get any one of them wrong, or leave them inconsistent with each other, and the consequences surface at the worst possible moment: a Quality Gate review, a SteerCo escalation, or a due-diligence challenge from the buyer's legal team.</w:t>
      </w:r>
    </w:p>
    <w:p>
      <w:pPr>
        <w:spacing w:before="200" w:after="80"/>
      </w:pPr>
      <w:r>
        <w:rPr>
          <w:rFonts w:ascii="Calibri" w:hAnsi="Calibri"/>
          <w:b/>
          <w:i w:val="0"/>
          <w:color w:val="005199"/>
          <w:sz w:val="22"/>
        </w:rPr>
        <w:t>The Real Cost of Manual Document Production</w:t>
      </w:r>
    </w:p>
    <w:p>
      <w:pPr>
        <w:spacing w:before="0" w:after="100"/>
        <w:jc w:val="both"/>
      </w:pPr>
      <w:r>
        <w:rPr>
          <w:rFonts w:ascii="Calibri" w:hAnsi="Calibri"/>
          <w:b w:val="0"/>
          <w:i w:val="0"/>
          <w:color w:val="1A1A1A"/>
          <w:sz w:val="21"/>
        </w:rPr>
        <w:t>For a typical mid-size carve-out — spanning multiple sites, several hundred to thousands of users, and a 9–18 month timeline — producing the initial document set manually takes an experienced project manager between three and five working days. That is before any review, revision, or stakeholder alignment. And it must be repeated, in part, at every monthly reporting cycle.</w:t>
      </w:r>
    </w:p>
    <w:tbl>
      <w:tblPr>
        <w:tblW w:type="auto" w:w="0"/>
        <w:tblLook w:firstColumn="1" w:firstRow="1" w:lastColumn="0" w:lastRow="0" w:noHBand="0" w:noVBand="1" w:val="04A0"/>
        <w:tblBorders>
          <w:top w:val="single" w:sz="4" w:space="0" w:color="0066CC"/>
          <w:left w:val="single" w:sz="4" w:space="0" w:color="0066CC"/>
          <w:bottom w:val="single" w:sz="4" w:space="0" w:color="0066CC"/>
          <w:right w:val="single" w:sz="4" w:space="0" w:color="0066CC"/>
          <w:insideH w:val="single" w:sz="4" w:space="0" w:color="0066CC"/>
          <w:insideV w:val="single" w:sz="4" w:space="0" w:color="0066CC"/>
        </w:tblBorders>
      </w:tblPr>
      <w:tblGrid>
        <w:gridCol w:w="3135"/>
        <w:gridCol w:w="3135"/>
        <w:gridCol w:w="3135"/>
      </w:tblGrid>
      <w:tr>
        <w:tc>
          <w:tcPr>
            <w:tcW w:type="dxa" w:w="3118"/>
            <w:shd w:val="clear" w:color="auto" w:fill="003B6E"/>
            <w:vAlign w:val="center"/>
          </w:tcPr>
          <w:p>
            <w:pPr>
              <w:spacing w:before="60" w:after="60"/>
            </w:pPr>
            <w:r>
              <w:rPr>
                <w:rFonts w:ascii="Calibri" w:hAnsi="Calibri"/>
                <w:b/>
                <w:i w:val="0"/>
                <w:color w:val="FFFFFF"/>
                <w:sz w:val="18"/>
              </w:rPr>
              <w:t>Deliverable</w:t>
            </w:r>
          </w:p>
        </w:tc>
        <w:tc>
          <w:tcPr>
            <w:tcW w:type="dxa" w:w="1531"/>
            <w:shd w:val="clear" w:color="auto" w:fill="003B6E"/>
            <w:vAlign w:val="center"/>
          </w:tcPr>
          <w:p>
            <w:pPr>
              <w:spacing w:before="60" w:after="60"/>
            </w:pPr>
            <w:r>
              <w:rPr>
                <w:rFonts w:ascii="Calibri" w:hAnsi="Calibri"/>
                <w:b/>
                <w:i w:val="0"/>
                <w:color w:val="FFFFFF"/>
                <w:sz w:val="18"/>
              </w:rPr>
              <w:t>Manual Effort</w:t>
            </w:r>
          </w:p>
        </w:tc>
        <w:tc>
          <w:tcPr>
            <w:tcW w:type="dxa" w:w="4989"/>
            <w:shd w:val="clear" w:color="auto" w:fill="003B6E"/>
            <w:vAlign w:val="center"/>
          </w:tcPr>
          <w:p>
            <w:pPr>
              <w:spacing w:before="60" w:after="60"/>
            </w:pPr>
            <w:r>
              <w:rPr>
                <w:rFonts w:ascii="Calibri" w:hAnsi="Calibri"/>
                <w:b/>
                <w:i w:val="0"/>
                <w:color w:val="FFFFFF"/>
                <w:sz w:val="18"/>
              </w:rPr>
              <w:t>Key Risk if Inconsistent</w:t>
            </w:r>
          </w:p>
        </w:tc>
      </w:tr>
      <w:tr>
        <w:tc>
          <w:tcPr>
            <w:tcW w:type="dxa" w:w="3118"/>
            <w:shd w:val="clear" w:color="auto" w:fill="E8F0FA"/>
            <w:vAlign w:val="center"/>
          </w:tcPr>
          <w:p>
            <w:pPr>
              <w:spacing w:before="40" w:after="40"/>
            </w:pPr>
            <w:r>
              <w:rPr>
                <w:rFonts w:ascii="Calibri" w:hAnsi="Calibri"/>
                <w:b/>
                <w:i w:val="0"/>
                <w:color w:val="003B6E"/>
                <w:sz w:val="19"/>
              </w:rPr>
              <w:t>Project Schedule (CSV + MS Project XML)</w:t>
            </w:r>
          </w:p>
        </w:tc>
        <w:tc>
          <w:tcPr>
            <w:tcW w:type="dxa" w:w="1531"/>
            <w:shd w:val="clear" w:color="auto" w:fill="E8F0FA"/>
            <w:vAlign w:val="center"/>
          </w:tcPr>
          <w:p>
            <w:pPr>
              <w:spacing w:before="40" w:after="40"/>
            </w:pPr>
            <w:r>
              <w:rPr>
                <w:rFonts w:ascii="Calibri" w:hAnsi="Calibri"/>
                <w:b w:val="0"/>
                <w:i w:val="0"/>
                <w:color w:val="1A1A1A"/>
                <w:sz w:val="19"/>
              </w:rPr>
              <w:t>5–7 days</w:t>
            </w:r>
          </w:p>
        </w:tc>
        <w:tc>
          <w:tcPr>
            <w:tcW w:type="dxa" w:w="4989"/>
            <w:shd w:val="clear" w:color="auto" w:fill="E8F0FA"/>
            <w:vAlign w:val="center"/>
          </w:tcPr>
          <w:p>
            <w:pPr>
              <w:spacing w:before="40" w:after="40"/>
            </w:pPr>
            <w:r>
              <w:rPr>
                <w:rFonts w:ascii="Calibri" w:hAnsi="Calibri"/>
                <w:b w:val="0"/>
                <w:i w:val="0"/>
                <w:color w:val="1A1A1A"/>
                <w:sz w:val="19"/>
              </w:rPr>
              <w:t>Complex phase/task dependencies require many iterations; GoLive date easily misaligned</w:t>
            </w:r>
          </w:p>
        </w:tc>
      </w:tr>
      <w:tr>
        <w:tc>
          <w:tcPr>
            <w:tcW w:type="dxa" w:w="3118"/>
            <w:shd w:val="clear" w:color="auto" w:fill="FFFFFF"/>
            <w:vAlign w:val="center"/>
          </w:tcPr>
          <w:p>
            <w:pPr>
              <w:spacing w:before="40" w:after="40"/>
            </w:pPr>
            <w:r>
              <w:rPr>
                <w:rFonts w:ascii="Calibri" w:hAnsi="Calibri"/>
                <w:b/>
                <w:i w:val="0"/>
                <w:color w:val="003B6E"/>
                <w:sz w:val="19"/>
              </w:rPr>
              <w:t>Risk Register (.xlsx)</w:t>
            </w:r>
          </w:p>
        </w:tc>
        <w:tc>
          <w:tcPr>
            <w:tcW w:type="dxa" w:w="1531"/>
            <w:shd w:val="clear" w:color="auto" w:fill="FFFFFF"/>
            <w:vAlign w:val="center"/>
          </w:tcPr>
          <w:p>
            <w:pPr>
              <w:spacing w:before="40" w:after="40"/>
            </w:pPr>
            <w:r>
              <w:rPr>
                <w:rFonts w:ascii="Calibri" w:hAnsi="Calibri"/>
                <w:b w:val="0"/>
                <w:i w:val="0"/>
                <w:color w:val="1A1A1A"/>
                <w:sz w:val="19"/>
              </w:rPr>
              <w:t>3 days</w:t>
            </w:r>
          </w:p>
        </w:tc>
        <w:tc>
          <w:tcPr>
            <w:tcW w:type="dxa" w:w="4989"/>
            <w:shd w:val="clear" w:color="auto" w:fill="FFFFFF"/>
            <w:vAlign w:val="center"/>
          </w:tcPr>
          <w:p>
            <w:pPr>
              <w:spacing w:before="40" w:after="40"/>
            </w:pPr>
            <w:r>
              <w:rPr>
                <w:rFonts w:ascii="Calibri" w:hAnsi="Calibri"/>
                <w:b w:val="0"/>
                <w:i w:val="0"/>
                <w:color w:val="1A1A1A"/>
                <w:sz w:val="19"/>
              </w:rPr>
              <w:t>Uncosted mitigations; scoring inconsistent without structured methodology</w:t>
            </w:r>
          </w:p>
        </w:tc>
      </w:tr>
      <w:tr>
        <w:tc>
          <w:tcPr>
            <w:tcW w:type="dxa" w:w="3118"/>
            <w:shd w:val="clear" w:color="auto" w:fill="E8F0FA"/>
            <w:vAlign w:val="center"/>
          </w:tcPr>
          <w:p>
            <w:pPr>
              <w:spacing w:before="40" w:after="40"/>
            </w:pPr>
            <w:r>
              <w:rPr>
                <w:rFonts w:ascii="Calibri" w:hAnsi="Calibri"/>
                <w:b/>
                <w:i w:val="0"/>
                <w:color w:val="003B6E"/>
                <w:sz w:val="19"/>
              </w:rPr>
              <w:t>IT Labour Cost Plan (.csv)</w:t>
            </w:r>
          </w:p>
        </w:tc>
        <w:tc>
          <w:tcPr>
            <w:tcW w:type="dxa" w:w="1531"/>
            <w:shd w:val="clear" w:color="auto" w:fill="E8F0FA"/>
            <w:vAlign w:val="center"/>
          </w:tcPr>
          <w:p>
            <w:pPr>
              <w:spacing w:before="40" w:after="40"/>
            </w:pPr>
            <w:r>
              <w:rPr>
                <w:rFonts w:ascii="Calibri" w:hAnsi="Calibri"/>
                <w:b w:val="0"/>
                <w:i w:val="0"/>
                <w:color w:val="1A1A1A"/>
                <w:sz w:val="19"/>
              </w:rPr>
              <w:t>3 days</w:t>
            </w:r>
          </w:p>
        </w:tc>
        <w:tc>
          <w:tcPr>
            <w:tcW w:type="dxa" w:w="4989"/>
            <w:shd w:val="clear" w:color="auto" w:fill="E8F0FA"/>
            <w:vAlign w:val="center"/>
          </w:tcPr>
          <w:p>
            <w:pPr>
              <w:spacing w:before="40" w:after="40"/>
            </w:pPr>
            <w:r>
              <w:rPr>
                <w:rFonts w:ascii="Calibri" w:hAnsi="Calibri"/>
                <w:b w:val="0"/>
                <w:i w:val="0"/>
                <w:color w:val="1A1A1A"/>
                <w:sz w:val="19"/>
              </w:rPr>
              <w:t>Phase costs not tied to schedule; resource labels drift between documents</w:t>
            </w:r>
          </w:p>
        </w:tc>
      </w:tr>
      <w:tr>
        <w:tc>
          <w:tcPr>
            <w:tcW w:type="dxa" w:w="3118"/>
            <w:shd w:val="clear" w:color="auto" w:fill="FFFFFF"/>
            <w:vAlign w:val="center"/>
          </w:tcPr>
          <w:p>
            <w:pPr>
              <w:spacing w:before="40" w:after="40"/>
            </w:pPr>
            <w:r>
              <w:rPr>
                <w:rFonts w:ascii="Calibri" w:hAnsi="Calibri"/>
                <w:b/>
                <w:i w:val="0"/>
                <w:color w:val="003B6E"/>
                <w:sz w:val="19"/>
              </w:rPr>
              <w:t>Project Charter (.html / .pptx)</w:t>
            </w:r>
          </w:p>
        </w:tc>
        <w:tc>
          <w:tcPr>
            <w:tcW w:type="dxa" w:w="1531"/>
            <w:shd w:val="clear" w:color="auto" w:fill="FFFFFF"/>
            <w:vAlign w:val="center"/>
          </w:tcPr>
          <w:p>
            <w:pPr>
              <w:spacing w:before="40" w:after="40"/>
            </w:pPr>
            <w:r>
              <w:rPr>
                <w:rFonts w:ascii="Calibri" w:hAnsi="Calibri"/>
                <w:b w:val="0"/>
                <w:i w:val="0"/>
                <w:color w:val="1A1A1A"/>
                <w:sz w:val="19"/>
              </w:rPr>
              <w:t>3 days</w:t>
            </w:r>
          </w:p>
        </w:tc>
        <w:tc>
          <w:tcPr>
            <w:tcW w:type="dxa" w:w="4989"/>
            <w:shd w:val="clear" w:color="auto" w:fill="FFFFFF"/>
            <w:vAlign w:val="center"/>
          </w:tcPr>
          <w:p>
            <w:pPr>
              <w:spacing w:before="40" w:after="40"/>
            </w:pPr>
            <w:r>
              <w:rPr>
                <w:rFonts w:ascii="Calibri" w:hAnsi="Calibri"/>
                <w:b w:val="0"/>
                <w:i w:val="0"/>
                <w:color w:val="1A1A1A"/>
                <w:sz w:val="19"/>
              </w:rPr>
              <w:t>Scope definition differs from schedule; executive misalignment at QG0</w:t>
            </w:r>
          </w:p>
        </w:tc>
      </w:tr>
      <w:tr>
        <w:tc>
          <w:tcPr>
            <w:tcW w:type="dxa" w:w="3118"/>
            <w:shd w:val="clear" w:color="auto" w:fill="E8F0FA"/>
            <w:vAlign w:val="center"/>
          </w:tcPr>
          <w:p>
            <w:pPr>
              <w:spacing w:before="40" w:after="40"/>
            </w:pPr>
            <w:r>
              <w:rPr>
                <w:rFonts w:ascii="Calibri" w:hAnsi="Calibri"/>
                <w:b/>
                <w:i w:val="0"/>
                <w:color w:val="003B6E"/>
                <w:sz w:val="19"/>
              </w:rPr>
              <w:t>Executive Dashboard (currently PPT slides)</w:t>
            </w:r>
          </w:p>
        </w:tc>
        <w:tc>
          <w:tcPr>
            <w:tcW w:type="dxa" w:w="1531"/>
            <w:shd w:val="clear" w:color="auto" w:fill="E8F0FA"/>
            <w:vAlign w:val="center"/>
          </w:tcPr>
          <w:p>
            <w:pPr>
              <w:spacing w:before="40" w:after="40"/>
            </w:pPr>
            <w:r>
              <w:rPr>
                <w:rFonts w:ascii="Calibri" w:hAnsi="Calibri"/>
                <w:b w:val="0"/>
                <w:i w:val="0"/>
                <w:color w:val="1A1A1A"/>
                <w:sz w:val="19"/>
              </w:rPr>
              <w:t>5+ days</w:t>
            </w:r>
          </w:p>
        </w:tc>
        <w:tc>
          <w:tcPr>
            <w:tcW w:type="dxa" w:w="4989"/>
            <w:shd w:val="clear" w:color="auto" w:fill="E8F0FA"/>
            <w:vAlign w:val="center"/>
          </w:tcPr>
          <w:p>
            <w:pPr>
              <w:spacing w:before="40" w:after="40"/>
            </w:pPr>
            <w:r>
              <w:rPr>
                <w:rFonts w:ascii="Calibri" w:hAnsi="Calibri"/>
                <w:b w:val="0"/>
                <w:i w:val="0"/>
                <w:color w:val="1A1A1A"/>
                <w:sz w:val="19"/>
              </w:rPr>
              <w:t>HTML-based reporting beyond most PMs — PPT alternative is labour-intensive and not self-updating</w:t>
            </w:r>
          </w:p>
        </w:tc>
      </w:tr>
      <w:tr>
        <w:tc>
          <w:tcPr>
            <w:tcW w:type="dxa" w:w="3118"/>
            <w:shd w:val="clear" w:color="auto" w:fill="FFFFFF"/>
            <w:vAlign w:val="center"/>
          </w:tcPr>
          <w:p>
            <w:pPr>
              <w:spacing w:before="40" w:after="40"/>
            </w:pPr>
            <w:r>
              <w:rPr>
                <w:rFonts w:ascii="Calibri" w:hAnsi="Calibri"/>
                <w:b/>
                <w:i w:val="0"/>
                <w:color w:val="003B6E"/>
                <w:sz w:val="19"/>
              </w:rPr>
              <w:t>Management KPI Dashboard (currently PPT slides)</w:t>
            </w:r>
          </w:p>
        </w:tc>
        <w:tc>
          <w:tcPr>
            <w:tcW w:type="dxa" w:w="1531"/>
            <w:shd w:val="clear" w:color="auto" w:fill="FFFFFF"/>
            <w:vAlign w:val="center"/>
          </w:tcPr>
          <w:p>
            <w:pPr>
              <w:spacing w:before="40" w:after="40"/>
            </w:pPr>
            <w:r>
              <w:rPr>
                <w:rFonts w:ascii="Calibri" w:hAnsi="Calibri"/>
                <w:b w:val="0"/>
                <w:i w:val="0"/>
                <w:color w:val="1A1A1A"/>
                <w:sz w:val="19"/>
              </w:rPr>
              <w:t>5+ days</w:t>
            </w:r>
          </w:p>
        </w:tc>
        <w:tc>
          <w:tcPr>
            <w:tcW w:type="dxa" w:w="4989"/>
            <w:shd w:val="clear" w:color="auto" w:fill="FFFFFF"/>
            <w:vAlign w:val="center"/>
          </w:tcPr>
          <w:p>
            <w:pPr>
              <w:spacing w:before="40" w:after="40"/>
            </w:pPr>
            <w:r>
              <w:rPr>
                <w:rFonts w:ascii="Calibri" w:hAnsi="Calibri"/>
                <w:b w:val="0"/>
                <w:i w:val="0"/>
                <w:color w:val="1A1A1A"/>
                <w:sz w:val="19"/>
              </w:rPr>
              <w:t>Same challenge as Executive Dashboard; SPI/CPI metrics require manual recalculation each cycle</w:t>
            </w:r>
          </w:p>
        </w:tc>
      </w:tr>
      <w:tr>
        <w:tc>
          <w:tcPr>
            <w:tcW w:type="dxa" w:w="3118"/>
            <w:shd w:val="clear" w:color="auto" w:fill="E8F0FA"/>
            <w:vAlign w:val="center"/>
          </w:tcPr>
          <w:p>
            <w:pPr>
              <w:spacing w:before="40" w:after="40"/>
            </w:pPr>
            <w:r>
              <w:rPr>
                <w:rFonts w:ascii="Calibri" w:hAnsi="Calibri"/>
                <w:b/>
                <w:i w:val="0"/>
                <w:color w:val="003B6E"/>
                <w:sz w:val="19"/>
              </w:rPr>
              <w:t>Monthly Status Report (.pdf)</w:t>
            </w:r>
          </w:p>
        </w:tc>
        <w:tc>
          <w:tcPr>
            <w:tcW w:type="dxa" w:w="1531"/>
            <w:shd w:val="clear" w:color="auto" w:fill="E8F0FA"/>
            <w:vAlign w:val="center"/>
          </w:tcPr>
          <w:p>
            <w:pPr>
              <w:spacing w:before="40" w:after="40"/>
            </w:pPr>
            <w:r>
              <w:rPr>
                <w:rFonts w:ascii="Calibri" w:hAnsi="Calibri"/>
                <w:b w:val="0"/>
                <w:i w:val="0"/>
                <w:color w:val="1A1A1A"/>
                <w:sz w:val="19"/>
              </w:rPr>
              <w:t>2–3 days/month</w:t>
            </w:r>
          </w:p>
        </w:tc>
        <w:tc>
          <w:tcPr>
            <w:tcW w:type="dxa" w:w="4989"/>
            <w:shd w:val="clear" w:color="auto" w:fill="E8F0FA"/>
            <w:vAlign w:val="center"/>
          </w:tcPr>
          <w:p>
            <w:pPr>
              <w:spacing w:before="40" w:after="40"/>
            </w:pPr>
            <w:r>
              <w:rPr>
                <w:rFonts w:ascii="Calibri" w:hAnsi="Calibri"/>
                <w:b w:val="0"/>
                <w:i w:val="0"/>
                <w:color w:val="1A1A1A"/>
                <w:sz w:val="19"/>
              </w:rPr>
              <w:t>Manual date recalculations each month; phase RAG requires cross-referencing multiple source files</w:t>
            </w:r>
          </w:p>
        </w:tc>
      </w:tr>
    </w:tbl>
    <w:p>
      <w:pPr>
        <w:spacing w:before="40" w:after="160"/>
      </w:pPr>
      <w:r>
        <w:rPr>
          <w:rFonts w:ascii="Calibri" w:hAnsi="Calibri"/>
          <w:b w:val="0"/>
          <w:i/>
          <w:color w:val="555555"/>
          <w:sz w:val="17"/>
        </w:rPr>
        <w:t>Note: Estimates based on real MIL engagement experience across multiple carve-out programmes. Excludes review and approval cycles.</w:t>
      </w:r>
    </w:p>
    <w:p>
      <w:pPr>
        <w:spacing w:before="0" w:after="100"/>
        <w:jc w:val="both"/>
      </w:pPr>
      <w:r>
        <w:rPr>
          <w:rFonts w:ascii="Calibri" w:hAnsi="Calibri"/>
          <w:b w:val="0"/>
          <w:i w:val="0"/>
          <w:color w:val="1A1A1A"/>
          <w:sz w:val="21"/>
        </w:rPr>
        <w:t>Beyond time, there is a consistency problem. Each document is typically produced in isolation — a different tool, a different template, a different revision of the schedule. The risk register references phase names from an early draft of the schedule. The cost plan uses resource labels that were later renamed. The dashboard shows milestones from last month's version. These gaps are not negligence — they are the inevitable result of fragmented, manual, time-pressured production.</w:t>
      </w:r>
    </w:p>
    <w:p>
      <w:pPr>
        <w:spacing w:before="360" w:after="120"/>
        <w:pBdr>
          <w:bottom w:val="single" w:sz="8" w:space="1" w:color="003b6e"/>
        </w:pBdr>
      </w:pPr>
      <w:r>
        <w:rPr>
          <w:rFonts w:ascii="Calibri" w:hAnsi="Calibri"/>
          <w:b/>
          <w:i w:val="0"/>
          <w:color w:val="0066CC"/>
          <w:sz w:val="26"/>
        </w:rPr>
        <w:t xml:space="preserve">02  </w:t>
      </w:r>
      <w:r>
        <w:rPr>
          <w:rFonts w:ascii="Calibri" w:hAnsi="Calibri"/>
          <w:b/>
          <w:i w:val="0"/>
          <w:color w:val="003B6E"/>
          <w:sz w:val="26"/>
        </w:rPr>
        <w:t>THE SOLUTION: AI-ASSISTED DOCUMENT GENERATION</w:t>
      </w:r>
    </w:p>
    <w:p>
      <w:pPr>
        <w:spacing w:before="0" w:after="100"/>
        <w:jc w:val="both"/>
      </w:pPr>
      <w:r>
        <w:rPr>
          <w:rFonts w:ascii="Calibri" w:hAnsi="Calibri"/>
          <w:b w:val="0"/>
          <w:i w:val="0"/>
          <w:color w:val="1A1A1A"/>
          <w:sz w:val="21"/>
        </w:rPr>
        <w:t>The Bosch MIL AI Project Management Toolkit addresses this challenge by combining two things that were previously separate: the general reasoning capability of large language models, and the deep, specific methodological knowledge accumulated across years of Bosch IT carve-out delivery.</w:t>
      </w:r>
    </w:p>
    <w:p>
      <w:pPr>
        <w:spacing w:before="0" w:after="100"/>
        <w:jc w:val="both"/>
      </w:pPr>
      <w:r>
        <w:rPr>
          <w:rFonts w:ascii="Calibri" w:hAnsi="Calibri"/>
          <w:b w:val="0"/>
          <w:i w:val="0"/>
          <w:color w:val="1A1A1A"/>
          <w:sz w:val="21"/>
        </w:rPr>
        <w:t>The result is not a chatbot that writes documents when asked. It is an orchestrated AI system that knows the Bosch MIL methodology, enforces it, applies it to the current engagement's specific facts, cross-checks its own outputs for consistency, and produces complete, governance-quality deliverables — in minutes, from a single conversation.</w:t>
      </w:r>
    </w:p>
    <w:tbl>
      <w:tblPr>
        <w:tblW w:type="auto" w:w="0"/>
        <w:tblLook w:firstColumn="1" w:firstRow="1" w:lastColumn="0" w:lastRow="0" w:noHBand="0" w:noVBand="1" w:val="04A0"/>
        <w:jc w:val="center"/>
        <w:tblBorders>
          <w:top w:val="single" w:sz="4" w:space="0" w:color="0066CC"/>
          <w:left w:val="single" w:sz="4" w:space="0" w:color="0066CC"/>
          <w:bottom w:val="single" w:sz="4" w:space="0" w:color="0066CC"/>
          <w:right w:val="single" w:sz="4" w:space="0" w:color="0066CC"/>
          <w:insideH w:val="single" w:sz="4" w:space="0" w:color="0066CC"/>
          <w:insideV w:val="single" w:sz="4" w:space="0" w:color="0066CC"/>
        </w:tblBorders>
      </w:tblPr>
      <w:tblGrid>
        <w:gridCol w:w="9406"/>
      </w:tblGrid>
      <w:tr>
        <w:tc>
          <w:tcPr>
            <w:tcW w:type="dxa" w:w="9071"/>
            <w:shd w:val="clear" w:color="auto" w:fill="E8F0FA"/>
          </w:tcPr>
          <w:p>
            <w:pPr>
              <w:spacing w:before="80" w:after="40"/>
            </w:pPr>
            <w:r>
              <w:rPr>
                <w:rFonts w:ascii="Calibri" w:hAnsi="Calibri"/>
                <w:b/>
                <w:i w:val="0"/>
                <w:color w:val="003B6E"/>
                <w:sz w:val="18"/>
              </w:rPr>
              <w:t>WHAT MAKES THIS DIFFERENT FROM 'ASKING AI TO WRITE A DOCUMENT'</w:t>
            </w:r>
          </w:p>
          <w:p>
            <w:pPr>
              <w:spacing w:before="20" w:after="20"/>
              <w:ind w:left="170"/>
            </w:pPr>
            <w:r>
              <w:rPr>
                <w:rFonts w:ascii="Calibri" w:hAnsi="Calibri"/>
                <w:b w:val="0"/>
                <w:i w:val="0"/>
                <w:color w:val="1A1A1A"/>
                <w:sz w:val="20"/>
              </w:rPr>
              <w:t>• The AI reads structured methodology instructions before any generation begins.</w:t>
            </w:r>
          </w:p>
          <w:p>
            <w:pPr>
              <w:spacing w:before="20" w:after="20"/>
              <w:ind w:left="170"/>
            </w:pPr>
            <w:r>
              <w:rPr>
                <w:rFonts w:ascii="Calibri" w:hAnsi="Calibri"/>
                <w:b w:val="0"/>
                <w:i w:val="0"/>
                <w:color w:val="1A1A1A"/>
                <w:sz w:val="20"/>
              </w:rPr>
              <w:t>• Mandatory intake validation blocks generation if any of 11 required fields are missing.</w:t>
            </w:r>
          </w:p>
          <w:p>
            <w:pPr>
              <w:spacing w:before="20" w:after="20"/>
              <w:ind w:left="170"/>
            </w:pPr>
            <w:r>
              <w:rPr>
                <w:rFonts w:ascii="Calibri" w:hAnsi="Calibri"/>
                <w:b w:val="0"/>
                <w:i w:val="0"/>
                <w:color w:val="1A1A1A"/>
                <w:sz w:val="20"/>
              </w:rPr>
              <w:t>• Each deliverable is generated in a dependency-enforced sequence — no skipping steps.</w:t>
            </w:r>
          </w:p>
          <w:p>
            <w:pPr>
              <w:spacing w:before="20" w:after="20"/>
              <w:ind w:left="170"/>
            </w:pPr>
            <w:r>
              <w:rPr>
                <w:rFonts w:ascii="Calibri" w:hAnsi="Calibri"/>
                <w:b w:val="0"/>
                <w:i w:val="0"/>
                <w:color w:val="1A1A1A"/>
                <w:sz w:val="20"/>
              </w:rPr>
              <w:t>• Cross-checks between documents are non-negotiable: resource names, phase dates, and cost contingencies are verified for consistency before output is produced.</w:t>
            </w:r>
          </w:p>
          <w:p>
            <w:pPr>
              <w:spacing w:before="20" w:after="20"/>
              <w:ind w:left="170"/>
            </w:pPr>
            <w:r>
              <w:rPr>
                <w:rFonts w:ascii="Calibri" w:hAnsi="Calibri"/>
                <w:b w:val="0"/>
                <w:i w:val="0"/>
                <w:color w:val="1A1A1A"/>
                <w:sz w:val="20"/>
              </w:rPr>
              <w:t>• All outputs — Python scripts, HTML, CSV, XML, PDF — are committed to Git, creating a full audit trail of what was generated, when, and under what instructions.</w:t>
            </w:r>
          </w:p>
        </w:tc>
      </w:tr>
    </w:tbl>
    <w:p/>
    <w:p>
      <w:pPr>
        <w:spacing w:before="200" w:after="80"/>
      </w:pPr>
      <w:r>
        <w:rPr>
          <w:rFonts w:ascii="Calibri" w:hAnsi="Calibri"/>
          <w:b/>
          <w:i w:val="0"/>
          <w:color w:val="005199"/>
          <w:sz w:val="22"/>
        </w:rPr>
        <w:t>From Prompt to Governance-Ready Deliverable</w:t>
      </w:r>
    </w:p>
    <w:p>
      <w:pPr>
        <w:spacing w:before="0" w:after="100"/>
        <w:jc w:val="both"/>
      </w:pPr>
      <w:r>
        <w:rPr>
          <w:rFonts w:ascii="Calibri" w:hAnsi="Calibri"/>
          <w:b w:val="0"/>
          <w:i w:val="0"/>
          <w:color w:val="1A1A1A"/>
          <w:sz w:val="21"/>
        </w:rPr>
        <w:t>The workflow begins with a single conversation. The project manager opens GitHub Copilot in VS Code Agent mode and provides the eleven mandatory engagement parameters — project name, seller entity, buyer entity, business being carved out, carve-out model, PMO lead, worldwide site count, IT user count, start date, GoLive date, and completion date. The AI validates these, derives all dependent fields, and then generates the full deliverable set in the correct sequence.</w:t>
      </w:r>
    </w:p>
    <w:tbl>
      <w:tblPr>
        <w:tblW w:type="auto" w:w="0"/>
        <w:tblLook w:firstColumn="1" w:firstRow="1" w:lastColumn="0" w:lastRow="0" w:noHBand="0" w:noVBand="1" w:val="04A0"/>
        <w:tblBorders>
          <w:top w:val="single" w:sz="4" w:space="0" w:color="0066CC"/>
          <w:left w:val="single" w:sz="4" w:space="0" w:color="0066CC"/>
          <w:bottom w:val="single" w:sz="4" w:space="0" w:color="0066CC"/>
          <w:right w:val="single" w:sz="4" w:space="0" w:color="0066CC"/>
          <w:insideH w:val="single" w:sz="4" w:space="0" w:color="0066CC"/>
          <w:insideV w:val="single" w:sz="4" w:space="0" w:color="0066CC"/>
        </w:tblBorders>
      </w:tblPr>
      <w:tblGrid>
        <w:gridCol w:w="3135"/>
        <w:gridCol w:w="3135"/>
        <w:gridCol w:w="3135"/>
      </w:tblGrid>
      <w:tr>
        <w:tc>
          <w:tcPr>
            <w:tcW w:type="dxa" w:w="2551"/>
            <w:shd w:val="clear" w:color="auto" w:fill="003B6E"/>
            <w:vAlign w:val="center"/>
          </w:tcPr>
          <w:p>
            <w:pPr>
              <w:spacing w:before="60" w:after="60"/>
            </w:pPr>
            <w:r>
              <w:rPr>
                <w:rFonts w:ascii="Calibri" w:hAnsi="Calibri"/>
                <w:b/>
                <w:i w:val="0"/>
                <w:color w:val="FFFFFF"/>
                <w:sz w:val="18"/>
              </w:rPr>
              <w:t>Input</w:t>
            </w:r>
          </w:p>
        </w:tc>
        <w:tc>
          <w:tcPr>
            <w:tcW w:type="dxa" w:w="3685"/>
            <w:shd w:val="clear" w:color="auto" w:fill="003B6E"/>
            <w:vAlign w:val="center"/>
          </w:tcPr>
          <w:p>
            <w:pPr>
              <w:spacing w:before="60" w:after="60"/>
            </w:pPr>
            <w:r>
              <w:rPr>
                <w:rFonts w:ascii="Calibri" w:hAnsi="Calibri"/>
                <w:b/>
                <w:i w:val="0"/>
                <w:color w:val="FFFFFF"/>
                <w:sz w:val="18"/>
              </w:rPr>
              <w:t>AI Action</w:t>
            </w:r>
          </w:p>
        </w:tc>
        <w:tc>
          <w:tcPr>
            <w:tcW w:type="dxa" w:w="3402"/>
            <w:shd w:val="clear" w:color="auto" w:fill="003B6E"/>
            <w:vAlign w:val="center"/>
          </w:tcPr>
          <w:p>
            <w:pPr>
              <w:spacing w:before="60" w:after="60"/>
            </w:pPr>
            <w:r>
              <w:rPr>
                <w:rFonts w:ascii="Calibri" w:hAnsi="Calibri"/>
                <w:b/>
                <w:i w:val="0"/>
                <w:color w:val="FFFFFF"/>
                <w:sz w:val="18"/>
              </w:rPr>
              <w:t>Output</w:t>
            </w:r>
          </w:p>
        </w:tc>
      </w:tr>
      <w:tr>
        <w:tc>
          <w:tcPr>
            <w:tcW w:type="dxa" w:w="2551"/>
            <w:shd w:val="clear" w:color="auto" w:fill="E8F0FA"/>
            <w:vAlign w:val="center"/>
          </w:tcPr>
          <w:p>
            <w:pPr>
              <w:spacing w:before="40" w:after="40"/>
            </w:pPr>
            <w:r>
              <w:rPr>
                <w:rFonts w:ascii="Calibri" w:hAnsi="Calibri"/>
                <w:b/>
                <w:i w:val="0"/>
                <w:color w:val="003B6E"/>
                <w:sz w:val="19"/>
              </w:rPr>
              <w:t>11 engagement parameters</w:t>
            </w:r>
          </w:p>
        </w:tc>
        <w:tc>
          <w:tcPr>
            <w:tcW w:type="dxa" w:w="3685"/>
            <w:shd w:val="clear" w:color="auto" w:fill="E8F0FA"/>
            <w:vAlign w:val="center"/>
          </w:tcPr>
          <w:p>
            <w:pPr>
              <w:spacing w:before="40" w:after="40"/>
            </w:pPr>
            <w:r>
              <w:rPr>
                <w:rFonts w:ascii="Calibri" w:hAnsi="Calibri"/>
                <w:b w:val="0"/>
                <w:i w:val="0"/>
                <w:color w:val="1A1A1A"/>
                <w:sz w:val="19"/>
              </w:rPr>
              <w:t>Intake compliance gate — validates all fields; blocks if any missing</w:t>
            </w:r>
          </w:p>
        </w:tc>
        <w:tc>
          <w:tcPr>
            <w:tcW w:type="dxa" w:w="3402"/>
            <w:shd w:val="clear" w:color="auto" w:fill="E8F0FA"/>
            <w:vAlign w:val="center"/>
          </w:tcPr>
          <w:p>
            <w:pPr>
              <w:spacing w:before="40" w:after="40"/>
            </w:pPr>
            <w:r>
              <w:rPr>
                <w:rFonts w:ascii="Calibri" w:hAnsi="Calibri"/>
                <w:b w:val="0"/>
                <w:i w:val="0"/>
                <w:color w:val="1A1A1A"/>
                <w:sz w:val="19"/>
              </w:rPr>
              <w:t>Validation confirmation + derived buyer/seller governance context</w:t>
            </w:r>
          </w:p>
        </w:tc>
      </w:tr>
      <w:tr>
        <w:tc>
          <w:tcPr>
            <w:tcW w:type="dxa" w:w="2551"/>
            <w:shd w:val="clear" w:color="auto" w:fill="FFFFFF"/>
            <w:vAlign w:val="center"/>
          </w:tcPr>
          <w:p>
            <w:pPr>
              <w:spacing w:before="40" w:after="40"/>
            </w:pPr>
            <w:r>
              <w:rPr>
                <w:rFonts w:ascii="Calibri" w:hAnsi="Calibri"/>
                <w:b/>
                <w:i w:val="0"/>
                <w:color w:val="003B6E"/>
                <w:sz w:val="19"/>
              </w:rPr>
              <w:t>Confirmed engagement context</w:t>
            </w:r>
          </w:p>
        </w:tc>
        <w:tc>
          <w:tcPr>
            <w:tcW w:type="dxa" w:w="3685"/>
            <w:shd w:val="clear" w:color="auto" w:fill="FFFFFF"/>
            <w:vAlign w:val="center"/>
          </w:tcPr>
          <w:p>
            <w:pPr>
              <w:spacing w:before="40" w:after="40"/>
            </w:pPr>
            <w:r>
              <w:rPr>
                <w:rFonts w:ascii="Calibri" w:hAnsi="Calibri"/>
                <w:b w:val="0"/>
                <w:i w:val="0"/>
                <w:color w:val="1A1A1A"/>
                <w:sz w:val="19"/>
              </w:rPr>
              <w:t>Applies Bosch 5-phase / 5-QG framework; populates task list</w:t>
            </w:r>
          </w:p>
        </w:tc>
        <w:tc>
          <w:tcPr>
            <w:tcW w:type="dxa" w:w="3402"/>
            <w:shd w:val="clear" w:color="auto" w:fill="FFFFFF"/>
            <w:vAlign w:val="center"/>
          </w:tcPr>
          <w:p>
            <w:pPr>
              <w:spacing w:before="40" w:after="40"/>
            </w:pPr>
            <w:r>
              <w:rPr>
                <w:rFonts w:ascii="Calibri" w:hAnsi="Calibri"/>
                <w:b w:val="0"/>
                <w:i w:val="0"/>
                <w:color w:val="1A1A1A"/>
                <w:sz w:val="19"/>
              </w:rPr>
              <w:t>Project Schedule CSV + MSPDI XML (MS Project-ready)</w:t>
            </w:r>
          </w:p>
        </w:tc>
      </w:tr>
      <w:tr>
        <w:tc>
          <w:tcPr>
            <w:tcW w:type="dxa" w:w="2551"/>
            <w:shd w:val="clear" w:color="auto" w:fill="E8F0FA"/>
            <w:vAlign w:val="center"/>
          </w:tcPr>
          <w:p>
            <w:pPr>
              <w:spacing w:before="40" w:after="40"/>
            </w:pPr>
            <w:r>
              <w:rPr>
                <w:rFonts w:ascii="Calibri" w:hAnsi="Calibri"/>
                <w:b/>
                <w:i w:val="0"/>
                <w:color w:val="003B6E"/>
                <w:sz w:val="19"/>
              </w:rPr>
              <w:t>Schedule confirmed</w:t>
            </w:r>
          </w:p>
        </w:tc>
        <w:tc>
          <w:tcPr>
            <w:tcW w:type="dxa" w:w="3685"/>
            <w:shd w:val="clear" w:color="auto" w:fill="E8F0FA"/>
            <w:vAlign w:val="center"/>
          </w:tcPr>
          <w:p>
            <w:pPr>
              <w:spacing w:before="40" w:after="40"/>
            </w:pPr>
            <w:r>
              <w:rPr>
                <w:rFonts w:ascii="Calibri" w:hAnsi="Calibri"/>
                <w:b w:val="0"/>
                <w:i w:val="0"/>
                <w:color w:val="1A1A1A"/>
                <w:sz w:val="19"/>
              </w:rPr>
              <w:t>Applies carve-out risk taxonomy (8 categories, P×I scoring)</w:t>
            </w:r>
          </w:p>
        </w:tc>
        <w:tc>
          <w:tcPr>
            <w:tcW w:type="dxa" w:w="3402"/>
            <w:shd w:val="clear" w:color="auto" w:fill="E8F0FA"/>
            <w:vAlign w:val="center"/>
          </w:tcPr>
          <w:p>
            <w:pPr>
              <w:spacing w:before="40" w:after="40"/>
            </w:pPr>
            <w:r>
              <w:rPr>
                <w:rFonts w:ascii="Calibri" w:hAnsi="Calibri"/>
                <w:b w:val="0"/>
                <w:i w:val="0"/>
                <w:color w:val="1A1A1A"/>
                <w:sz w:val="19"/>
              </w:rPr>
              <w:t>Risk Register .xlsx (template-based, formula-ready)</w:t>
            </w:r>
          </w:p>
        </w:tc>
      </w:tr>
      <w:tr>
        <w:tc>
          <w:tcPr>
            <w:tcW w:type="dxa" w:w="2551"/>
            <w:shd w:val="clear" w:color="auto" w:fill="FFFFFF"/>
            <w:vAlign w:val="center"/>
          </w:tcPr>
          <w:p>
            <w:pPr>
              <w:spacing w:before="40" w:after="40"/>
            </w:pPr>
            <w:r>
              <w:rPr>
                <w:rFonts w:ascii="Calibri" w:hAnsi="Calibri"/>
                <w:b/>
                <w:i w:val="0"/>
                <w:color w:val="003B6E"/>
                <w:sz w:val="19"/>
              </w:rPr>
              <w:t>Schedule + Risk Register confirmed</w:t>
            </w:r>
          </w:p>
        </w:tc>
        <w:tc>
          <w:tcPr>
            <w:tcW w:type="dxa" w:w="3685"/>
            <w:shd w:val="clear" w:color="auto" w:fill="FFFFFF"/>
            <w:vAlign w:val="center"/>
          </w:tcPr>
          <w:p>
            <w:pPr>
              <w:spacing w:before="40" w:after="40"/>
            </w:pPr>
            <w:r>
              <w:rPr>
                <w:rFonts w:ascii="Calibri" w:hAnsi="Calibri"/>
                <w:b w:val="0"/>
                <w:i w:val="0"/>
                <w:color w:val="1A1A1A"/>
                <w:sz w:val="19"/>
              </w:rPr>
              <w:t>Cross-checks phases, resources, contingency lines</w:t>
            </w:r>
          </w:p>
        </w:tc>
        <w:tc>
          <w:tcPr>
            <w:tcW w:type="dxa" w:w="3402"/>
            <w:shd w:val="clear" w:color="auto" w:fill="FFFFFF"/>
            <w:vAlign w:val="center"/>
          </w:tcPr>
          <w:p>
            <w:pPr>
              <w:spacing w:before="40" w:after="40"/>
            </w:pPr>
            <w:r>
              <w:rPr>
                <w:rFonts w:ascii="Calibri" w:hAnsi="Calibri"/>
                <w:b w:val="0"/>
                <w:i w:val="0"/>
                <w:color w:val="1A1A1A"/>
                <w:sz w:val="19"/>
              </w:rPr>
              <w:t>IT Labour Cost Plan CSV with phase breakdown</w:t>
            </w:r>
          </w:p>
        </w:tc>
      </w:tr>
      <w:tr>
        <w:tc>
          <w:tcPr>
            <w:tcW w:type="dxa" w:w="2551"/>
            <w:shd w:val="clear" w:color="auto" w:fill="E8F0FA"/>
            <w:vAlign w:val="center"/>
          </w:tcPr>
          <w:p>
            <w:pPr>
              <w:spacing w:before="40" w:after="40"/>
            </w:pPr>
            <w:r>
              <w:rPr>
                <w:rFonts w:ascii="Calibri" w:hAnsi="Calibri"/>
                <w:b/>
                <w:i w:val="0"/>
                <w:color w:val="003B6E"/>
                <w:sz w:val="19"/>
              </w:rPr>
              <w:t>Cost Plan confirmed</w:t>
            </w:r>
          </w:p>
        </w:tc>
        <w:tc>
          <w:tcPr>
            <w:tcW w:type="dxa" w:w="3685"/>
            <w:shd w:val="clear" w:color="auto" w:fill="E8F0FA"/>
            <w:vAlign w:val="center"/>
          </w:tcPr>
          <w:p>
            <w:pPr>
              <w:spacing w:before="40" w:after="40"/>
            </w:pPr>
            <w:r>
              <w:rPr>
                <w:rFonts w:ascii="Calibri" w:hAnsi="Calibri"/>
                <w:b w:val="0"/>
                <w:i w:val="0"/>
                <w:color w:val="1A1A1A"/>
                <w:sz w:val="19"/>
              </w:rPr>
              <w:t>Composes governance narrative; embeds Bosch logo</w:t>
            </w:r>
          </w:p>
        </w:tc>
        <w:tc>
          <w:tcPr>
            <w:tcW w:type="dxa" w:w="3402"/>
            <w:shd w:val="clear" w:color="auto" w:fill="E8F0FA"/>
            <w:vAlign w:val="center"/>
          </w:tcPr>
          <w:p>
            <w:pPr>
              <w:spacing w:before="40" w:after="40"/>
            </w:pPr>
            <w:r>
              <w:rPr>
                <w:rFonts w:ascii="Calibri" w:hAnsi="Calibri"/>
                <w:b w:val="0"/>
                <w:i w:val="0"/>
                <w:color w:val="1A1A1A"/>
                <w:sz w:val="19"/>
              </w:rPr>
              <w:t>Project Charter self-contained HTML</w:t>
            </w:r>
          </w:p>
        </w:tc>
      </w:tr>
      <w:tr>
        <w:tc>
          <w:tcPr>
            <w:tcW w:type="dxa" w:w="2551"/>
            <w:shd w:val="clear" w:color="auto" w:fill="FFFFFF"/>
            <w:vAlign w:val="center"/>
          </w:tcPr>
          <w:p>
            <w:pPr>
              <w:spacing w:before="40" w:after="40"/>
            </w:pPr>
            <w:r>
              <w:rPr>
                <w:rFonts w:ascii="Calibri" w:hAnsi="Calibri"/>
                <w:b/>
                <w:i w:val="0"/>
                <w:color w:val="003B6E"/>
                <w:sz w:val="19"/>
              </w:rPr>
              <w:t>Full data set confirmed</w:t>
            </w:r>
          </w:p>
        </w:tc>
        <w:tc>
          <w:tcPr>
            <w:tcW w:type="dxa" w:w="3685"/>
            <w:shd w:val="clear" w:color="auto" w:fill="FFFFFF"/>
            <w:vAlign w:val="center"/>
          </w:tcPr>
          <w:p>
            <w:pPr>
              <w:spacing w:before="40" w:after="40"/>
            </w:pPr>
            <w:r>
              <w:rPr>
                <w:rFonts w:ascii="Calibri" w:hAnsi="Calibri"/>
                <w:b w:val="0"/>
                <w:i w:val="0"/>
                <w:color w:val="1A1A1A"/>
                <w:sz w:val="19"/>
              </w:rPr>
              <w:t>Renders 3-page A4 layout; base64-embeds logo for offline use</w:t>
            </w:r>
          </w:p>
        </w:tc>
        <w:tc>
          <w:tcPr>
            <w:tcW w:type="dxa" w:w="3402"/>
            <w:shd w:val="clear" w:color="auto" w:fill="FFFFFF"/>
            <w:vAlign w:val="center"/>
          </w:tcPr>
          <w:p>
            <w:pPr>
              <w:spacing w:before="40" w:after="40"/>
            </w:pPr>
            <w:r>
              <w:rPr>
                <w:rFonts w:ascii="Calibri" w:hAnsi="Calibri"/>
                <w:b w:val="0"/>
                <w:i w:val="0"/>
                <w:color w:val="1A1A1A"/>
                <w:sz w:val="19"/>
              </w:rPr>
              <w:t>Executive Dashboard self-contained HTML</w:t>
            </w:r>
          </w:p>
        </w:tc>
      </w:tr>
      <w:tr>
        <w:tc>
          <w:tcPr>
            <w:tcW w:type="dxa" w:w="2551"/>
            <w:shd w:val="clear" w:color="auto" w:fill="E8F0FA"/>
            <w:vAlign w:val="center"/>
          </w:tcPr>
          <w:p>
            <w:pPr>
              <w:spacing w:before="40" w:after="40"/>
            </w:pPr>
            <w:r>
              <w:rPr>
                <w:rFonts w:ascii="Calibri" w:hAnsi="Calibri"/>
                <w:b/>
                <w:i w:val="0"/>
                <w:color w:val="003B6E"/>
                <w:sz w:val="19"/>
              </w:rPr>
              <w:t>Full data set confirmed</w:t>
            </w:r>
          </w:p>
        </w:tc>
        <w:tc>
          <w:tcPr>
            <w:tcW w:type="dxa" w:w="3685"/>
            <w:shd w:val="clear" w:color="auto" w:fill="E8F0FA"/>
            <w:vAlign w:val="center"/>
          </w:tcPr>
          <w:p>
            <w:pPr>
              <w:spacing w:before="40" w:after="40"/>
            </w:pPr>
            <w:r>
              <w:rPr>
                <w:rFonts w:ascii="Calibri" w:hAnsi="Calibri"/>
                <w:b w:val="0"/>
                <w:i w:val="0"/>
                <w:color w:val="1A1A1A"/>
                <w:sz w:val="19"/>
              </w:rPr>
              <w:t>12-column KPI card grid; SPI/CPI/readiness metrics</w:t>
            </w:r>
          </w:p>
        </w:tc>
        <w:tc>
          <w:tcPr>
            <w:tcW w:type="dxa" w:w="3402"/>
            <w:shd w:val="clear" w:color="auto" w:fill="E8F0FA"/>
            <w:vAlign w:val="center"/>
          </w:tcPr>
          <w:p>
            <w:pPr>
              <w:spacing w:before="40" w:after="40"/>
            </w:pPr>
            <w:r>
              <w:rPr>
                <w:rFonts w:ascii="Calibri" w:hAnsi="Calibri"/>
                <w:b w:val="0"/>
                <w:i w:val="0"/>
                <w:color w:val="1A1A1A"/>
                <w:sz w:val="19"/>
              </w:rPr>
              <w:t>Management KPI Dashboard self-contained HTML</w:t>
            </w:r>
          </w:p>
        </w:tc>
      </w:tr>
      <w:tr>
        <w:tc>
          <w:tcPr>
            <w:tcW w:type="dxa" w:w="2551"/>
            <w:shd w:val="clear" w:color="auto" w:fill="FFFFFF"/>
            <w:vAlign w:val="center"/>
          </w:tcPr>
          <w:p>
            <w:pPr>
              <w:spacing w:before="40" w:after="40"/>
            </w:pPr>
            <w:r>
              <w:rPr>
                <w:rFonts w:ascii="Calibri" w:hAnsi="Calibri"/>
                <w:b/>
                <w:i w:val="0"/>
                <w:color w:val="003B6E"/>
                <w:sz w:val="19"/>
              </w:rPr>
              <w:t>All above confirmed</w:t>
            </w:r>
          </w:p>
        </w:tc>
        <w:tc>
          <w:tcPr>
            <w:tcW w:type="dxa" w:w="3685"/>
            <w:shd w:val="clear" w:color="auto" w:fill="FFFFFF"/>
            <w:vAlign w:val="center"/>
          </w:tcPr>
          <w:p>
            <w:pPr>
              <w:spacing w:before="40" w:after="40"/>
            </w:pPr>
            <w:r>
              <w:rPr>
                <w:rFonts w:ascii="Calibri" w:hAnsi="Calibri"/>
                <w:b w:val="0"/>
                <w:i w:val="0"/>
                <w:color w:val="1A1A1A"/>
                <w:sz w:val="19"/>
              </w:rPr>
              <w:t>A4 PDF with auto-calculated days-to-gate from today's date</w:t>
            </w:r>
          </w:p>
        </w:tc>
        <w:tc>
          <w:tcPr>
            <w:tcW w:type="dxa" w:w="3402"/>
            <w:shd w:val="clear" w:color="auto" w:fill="FFFFFF"/>
            <w:vAlign w:val="center"/>
          </w:tcPr>
          <w:p>
            <w:pPr>
              <w:spacing w:before="40" w:after="40"/>
            </w:pPr>
            <w:r>
              <w:rPr>
                <w:rFonts w:ascii="Calibri" w:hAnsi="Calibri"/>
                <w:b w:val="0"/>
                <w:i w:val="0"/>
                <w:color w:val="1A1A1A"/>
                <w:sz w:val="19"/>
              </w:rPr>
              <w:t>Monthly Status Report PDF (auto-dated filename)</w:t>
            </w:r>
          </w:p>
        </w:tc>
      </w:tr>
    </w:tbl>
    <w:p/>
    <w:p>
      <w:pPr>
        <w:spacing w:before="360" w:after="120"/>
        <w:pBdr>
          <w:bottom w:val="single" w:sz="8" w:space="1" w:color="003b6e"/>
        </w:pBdr>
      </w:pPr>
      <w:r>
        <w:rPr>
          <w:rFonts w:ascii="Calibri" w:hAnsi="Calibri"/>
          <w:b/>
          <w:i w:val="0"/>
          <w:color w:val="0066CC"/>
          <w:sz w:val="26"/>
        </w:rPr>
        <w:t xml:space="preserve">03  </w:t>
      </w:r>
      <w:r>
        <w:rPr>
          <w:rFonts w:ascii="Calibri" w:hAnsi="Calibri"/>
          <w:b/>
          <w:i w:val="0"/>
          <w:color w:val="003B6E"/>
          <w:sz w:val="26"/>
        </w:rPr>
        <w:t>THE ARCHITECTURE: HOW THE SYSTEM IS BUILT</w:t>
      </w:r>
    </w:p>
    <w:p>
      <w:pPr>
        <w:spacing w:before="0" w:after="100"/>
        <w:jc w:val="both"/>
      </w:pPr>
      <w:r>
        <w:rPr>
          <w:rFonts w:ascii="Calibri" w:hAnsi="Calibri"/>
          <w:b w:val="0"/>
          <w:i w:val="0"/>
          <w:color w:val="1A1A1A"/>
          <w:sz w:val="21"/>
        </w:rPr>
        <w:t>The toolkit is built on four integrated layers. Understanding each layer — and how they interact — explains why this approach produces consistently correct output, rather than the plausible-but-wrong output that emerges from simple AI prompting.</w:t>
      </w:r>
    </w:p>
    <w:p>
      <w:pPr>
        <w:spacing w:before="200" w:after="80"/>
      </w:pPr>
      <w:r>
        <w:rPr>
          <w:rFonts w:ascii="Calibri" w:hAnsi="Calibri"/>
          <w:b/>
          <w:i w:val="0"/>
          <w:color w:val="005199"/>
          <w:sz w:val="22"/>
        </w:rPr>
        <w:t>Layer 1 — The AI Engine: GitHub Copilot on Claude Sonnet</w:t>
      </w:r>
    </w:p>
    <w:p>
      <w:pPr>
        <w:spacing w:before="0" w:after="100"/>
        <w:jc w:val="both"/>
      </w:pPr>
      <w:r>
        <w:rPr>
          <w:rFonts w:ascii="Calibri" w:hAnsi="Calibri"/>
          <w:b w:val="0"/>
          <w:i w:val="0"/>
          <w:color w:val="1A1A1A"/>
          <w:sz w:val="21"/>
        </w:rPr>
        <w:t>GitHub Copilot, powered by Anthropic's Claude Sonnet 4.6 model, serves as the AI reasoning engine. Running inside Visual Studio Code in Agent mode, it can read files, write files, execute Python scripts, and take multi-step actions — not just generate text responses. This agentic capability is what makes multi-deliverable orchestration possible in a single conversation.</w:t>
      </w:r>
    </w:p>
    <w:p>
      <w:pPr>
        <w:spacing w:before="0" w:after="100"/>
        <w:jc w:val="both"/>
      </w:pPr>
      <w:r>
        <w:rPr>
          <w:rFonts w:ascii="Calibri" w:hAnsi="Calibri"/>
          <w:b/>
          <w:i w:val="0"/>
          <w:color w:val="1A1A1A"/>
          <w:sz w:val="21"/>
        </w:rPr>
        <w:t xml:space="preserve">Agent mode is critical. </w:t>
      </w:r>
      <w:r>
        <w:rPr>
          <w:rFonts w:ascii="Calibri" w:hAnsi="Calibri"/>
          <w:b w:val="0"/>
          <w:i w:val="0"/>
          <w:color w:val="1A1A1A"/>
          <w:sz w:val="21"/>
        </w:rPr>
        <w:t>In standard chat mode, Copilot suggests; in Agent mode, Copilot acts. It reads the methodology skill files, writes Python generator scripts, executes them, reads the output, cross-checks for consistency, and reports completion — all within one workflow.</w:t>
      </w:r>
    </w:p>
    <w:p>
      <w:pPr>
        <w:spacing w:before="200" w:after="80"/>
      </w:pPr>
      <w:r>
        <w:rPr>
          <w:rFonts w:ascii="Calibri" w:hAnsi="Calibri"/>
          <w:b/>
          <w:i w:val="0"/>
          <w:color w:val="005199"/>
          <w:sz w:val="22"/>
        </w:rPr>
        <w:t>Layer 2 — The Knowledge Repository: GitHub + VS Code Workspace</w:t>
      </w:r>
    </w:p>
    <w:p>
      <w:pPr>
        <w:spacing w:before="0" w:after="100"/>
        <w:jc w:val="both"/>
      </w:pPr>
      <w:r>
        <w:rPr>
          <w:rFonts w:ascii="Calibri" w:hAnsi="Calibri"/>
          <w:b w:val="0"/>
          <w:i w:val="0"/>
          <w:color w:val="1A1A1A"/>
          <w:sz w:val="21"/>
        </w:rPr>
        <w:t>The knowledge repository on GitHub is the institutional brain of the system. It stores not just code and templates, but the methodology instructions that tell the AI how to behave. Two files are loaded automatically by Copilot every time the workspace is opened:</w:t>
      </w:r>
    </w:p>
    <w:p>
      <w:pPr>
        <w:pStyle w:val="ListBullet"/>
        <w:spacing w:before="20" w:after="60"/>
        <w:ind w:left="454" w:hanging="227"/>
      </w:pPr>
      <w:r>
        <w:rPr>
          <w:rFonts w:ascii="Calibri" w:hAnsi="Calibri"/>
          <w:b w:val="0"/>
          <w:i w:val="0"/>
          <w:color w:val="1A1A1A"/>
          <w:sz w:val="21"/>
        </w:rPr>
        <w:t>copilot-instructions.md (.github/): Workspace-level guardrails — the always-on constitution that enforces intake validation, derivation rules, output format standards, and the mandatory deliverable sequence.</w:t>
      </w:r>
    </w:p>
    <w:p>
      <w:pPr>
        <w:pStyle w:val="ListBullet"/>
        <w:spacing w:before="20" w:after="60"/>
        <w:ind w:left="454" w:hanging="227"/>
      </w:pPr>
      <w:r>
        <w:rPr>
          <w:rFonts w:ascii="Calibri" w:hAnsi="Calibri"/>
          <w:b w:val="0"/>
          <w:i w:val="0"/>
          <w:color w:val="1A1A1A"/>
          <w:sz w:val="21"/>
        </w:rPr>
        <w:t>CLAUDE.md (repository root): A parallel copy of the same guardrails in Claude's native format — ensuring the rules apply regardless of which AI entry point is used.</w:t>
      </w:r>
    </w:p>
    <w:p>
      <w:pPr>
        <w:spacing w:before="0" w:after="100"/>
        <w:jc w:val="both"/>
      </w:pPr>
      <w:r>
        <w:rPr>
          <w:rFonts w:ascii="Calibri" w:hAnsi="Calibri"/>
          <w:b w:val="0"/>
          <w:i w:val="0"/>
          <w:color w:val="1A1A1A"/>
          <w:sz w:val="21"/>
        </w:rPr>
        <w:t>The repository follows a four-zone content model: references/ (methodology assets, read-only to AI), templates/ (blank project templates), active-projects/ (live engagement outputs), and archive/ (closed engagements). This structure prevents a common AI failure mode — copying facts from a reference project into a new engagement.</w:t>
      </w:r>
    </w:p>
    <w:p>
      <w:pPr>
        <w:spacing w:before="200" w:after="80"/>
      </w:pPr>
      <w:r>
        <w:rPr>
          <w:rFonts w:ascii="Calibri" w:hAnsi="Calibri"/>
          <w:b/>
          <w:i w:val="0"/>
          <w:color w:val="005199"/>
          <w:sz w:val="22"/>
        </w:rPr>
        <w:t>Layer 3 — The Domain Skills: Encoded MIL Methodology</w:t>
      </w:r>
    </w:p>
    <w:p>
      <w:pPr>
        <w:spacing w:before="0" w:after="100"/>
        <w:jc w:val="both"/>
      </w:pPr>
      <w:r>
        <w:rPr>
          <w:rFonts w:ascii="Calibri" w:hAnsi="Calibri"/>
          <w:b w:val="0"/>
          <w:i w:val="0"/>
          <w:color w:val="1A1A1A"/>
          <w:sz w:val="21"/>
        </w:rPr>
        <w:t>The most important architectural element is the skills layer. Eight structured SKILL.md files in the .claude/skills/ directory encode the complete Bosch MIL methodology for each deliverable type. These are not prompt templates — they are procedural specifications that the AI reads and executes.</w:t>
      </w:r>
    </w:p>
    <w:tbl>
      <w:tblPr>
        <w:tblW w:type="auto" w:w="0"/>
        <w:tblLook w:firstColumn="1" w:firstRow="1" w:lastColumn="0" w:lastRow="0" w:noHBand="0" w:noVBand="1" w:val="04A0"/>
        <w:tblBorders>
          <w:top w:val="single" w:sz="4" w:space="0" w:color="0066CC"/>
          <w:left w:val="single" w:sz="4" w:space="0" w:color="0066CC"/>
          <w:bottom w:val="single" w:sz="4" w:space="0" w:color="0066CC"/>
          <w:right w:val="single" w:sz="4" w:space="0" w:color="0066CC"/>
          <w:insideH w:val="single" w:sz="4" w:space="0" w:color="0066CC"/>
          <w:insideV w:val="single" w:sz="4" w:space="0" w:color="0066CC"/>
        </w:tblBorders>
      </w:tblPr>
      <w:tblGrid>
        <w:gridCol w:w="4703"/>
        <w:gridCol w:w="4703"/>
      </w:tblGrid>
      <w:tr>
        <w:tc>
          <w:tcPr>
            <w:tcW w:type="dxa" w:w="3118"/>
            <w:shd w:val="clear" w:color="auto" w:fill="003B6E"/>
            <w:vAlign w:val="center"/>
          </w:tcPr>
          <w:p>
            <w:pPr>
              <w:spacing w:before="60" w:after="60"/>
            </w:pPr>
            <w:r>
              <w:rPr>
                <w:rFonts w:ascii="Calibri" w:hAnsi="Calibri"/>
                <w:b/>
                <w:i w:val="0"/>
                <w:color w:val="FFFFFF"/>
                <w:sz w:val="18"/>
              </w:rPr>
              <w:t>Skill</w:t>
            </w:r>
          </w:p>
        </w:tc>
        <w:tc>
          <w:tcPr>
            <w:tcW w:type="dxa" w:w="6520"/>
            <w:shd w:val="clear" w:color="auto" w:fill="003B6E"/>
            <w:vAlign w:val="center"/>
          </w:tcPr>
          <w:p>
            <w:pPr>
              <w:spacing w:before="60" w:after="60"/>
            </w:pPr>
            <w:r>
              <w:rPr>
                <w:rFonts w:ascii="Calibri" w:hAnsi="Calibri"/>
                <w:b/>
                <w:i w:val="0"/>
                <w:color w:val="FFFFFF"/>
                <w:sz w:val="18"/>
              </w:rPr>
              <w:t>What It Encodes</w:t>
            </w:r>
          </w:p>
        </w:tc>
      </w:tr>
      <w:tr>
        <w:tc>
          <w:tcPr>
            <w:tcW w:type="dxa" w:w="3118"/>
            <w:shd w:val="clear" w:color="auto" w:fill="E8F0FA"/>
            <w:vAlign w:val="center"/>
          </w:tcPr>
          <w:p>
            <w:pPr>
              <w:spacing w:before="40" w:after="40"/>
            </w:pPr>
            <w:r>
              <w:rPr>
                <w:rFonts w:ascii="Calibri" w:hAnsi="Calibri"/>
                <w:b/>
                <w:i w:val="0"/>
                <w:color w:val="003B6E"/>
                <w:sz w:val="19"/>
              </w:rPr>
              <w:t>intake-compliance-gate</w:t>
            </w:r>
          </w:p>
        </w:tc>
        <w:tc>
          <w:tcPr>
            <w:tcW w:type="dxa" w:w="6520"/>
            <w:shd w:val="clear" w:color="auto" w:fill="E8F0FA"/>
            <w:vAlign w:val="center"/>
          </w:tcPr>
          <w:p>
            <w:pPr>
              <w:spacing w:before="40" w:after="40"/>
            </w:pPr>
            <w:r>
              <w:rPr>
                <w:rFonts w:ascii="Calibri" w:hAnsi="Calibri"/>
                <w:b w:val="0"/>
                <w:i w:val="0"/>
                <w:color w:val="1A1A1A"/>
                <w:sz w:val="19"/>
              </w:rPr>
              <w:t>11 mandatory fields, blocking rules, budget TBC exception, buyer/seller derivation</w:t>
            </w:r>
          </w:p>
        </w:tc>
      </w:tr>
      <w:tr>
        <w:tc>
          <w:tcPr>
            <w:tcW w:type="dxa" w:w="3118"/>
            <w:shd w:val="clear" w:color="auto" w:fill="FFFFFF"/>
            <w:vAlign w:val="center"/>
          </w:tcPr>
          <w:p>
            <w:pPr>
              <w:spacing w:before="40" w:after="40"/>
            </w:pPr>
            <w:r>
              <w:rPr>
                <w:rFonts w:ascii="Calibri" w:hAnsi="Calibri"/>
                <w:b/>
                <w:i w:val="0"/>
                <w:color w:val="003B6E"/>
                <w:sz w:val="19"/>
              </w:rPr>
              <w:t>schedule-generation</w:t>
            </w:r>
          </w:p>
        </w:tc>
        <w:tc>
          <w:tcPr>
            <w:tcW w:type="dxa" w:w="6520"/>
            <w:shd w:val="clear" w:color="auto" w:fill="FFFFFF"/>
            <w:vAlign w:val="center"/>
          </w:tcPr>
          <w:p>
            <w:pPr>
              <w:spacing w:before="40" w:after="40"/>
            </w:pPr>
            <w:r>
              <w:rPr>
                <w:rFonts w:ascii="Calibri" w:hAnsi="Calibri"/>
                <w:b w:val="0"/>
                <w:i w:val="0"/>
                <w:color w:val="1A1A1A"/>
                <w:sz w:val="19"/>
              </w:rPr>
              <w:t>5-phase/5-QG framework, task schema, MSPDI XML element ordering rules, subprocess pattern</w:t>
            </w:r>
          </w:p>
        </w:tc>
      </w:tr>
      <w:tr>
        <w:tc>
          <w:tcPr>
            <w:tcW w:type="dxa" w:w="3118"/>
            <w:shd w:val="clear" w:color="auto" w:fill="E8F0FA"/>
            <w:vAlign w:val="center"/>
          </w:tcPr>
          <w:p>
            <w:pPr>
              <w:spacing w:before="40" w:after="40"/>
            </w:pPr>
            <w:r>
              <w:rPr>
                <w:rFonts w:ascii="Calibri" w:hAnsi="Calibri"/>
                <w:b/>
                <w:i w:val="0"/>
                <w:color w:val="003B6E"/>
                <w:sz w:val="19"/>
              </w:rPr>
              <w:t>cost-plan-generation</w:t>
            </w:r>
          </w:p>
        </w:tc>
        <w:tc>
          <w:tcPr>
            <w:tcW w:type="dxa" w:w="6520"/>
            <w:shd w:val="clear" w:color="auto" w:fill="E8F0FA"/>
            <w:vAlign w:val="center"/>
          </w:tcPr>
          <w:p>
            <w:pPr>
              <w:spacing w:before="40" w:after="40"/>
            </w:pPr>
            <w:r>
              <w:rPr>
                <w:rFonts w:ascii="Calibri" w:hAnsi="Calibri"/>
                <w:b w:val="0"/>
                <w:i w:val="0"/>
                <w:color w:val="1A1A1A"/>
                <w:sz w:val="19"/>
              </w:rPr>
              <w:t>3 pre-generation cross-checks: schedule alignment, risk register alignment, resource consistency</w:t>
            </w:r>
          </w:p>
        </w:tc>
      </w:tr>
      <w:tr>
        <w:tc>
          <w:tcPr>
            <w:tcW w:type="dxa" w:w="3118"/>
            <w:shd w:val="clear" w:color="auto" w:fill="FFFFFF"/>
            <w:vAlign w:val="center"/>
          </w:tcPr>
          <w:p>
            <w:pPr>
              <w:spacing w:before="40" w:after="40"/>
            </w:pPr>
            <w:r>
              <w:rPr>
                <w:rFonts w:ascii="Calibri" w:hAnsi="Calibri"/>
                <w:b/>
                <w:i w:val="0"/>
                <w:color w:val="003B6E"/>
                <w:sz w:val="19"/>
              </w:rPr>
              <w:t>risk-register-generation</w:t>
            </w:r>
          </w:p>
        </w:tc>
        <w:tc>
          <w:tcPr>
            <w:tcW w:type="dxa" w:w="6520"/>
            <w:shd w:val="clear" w:color="auto" w:fill="FFFFFF"/>
            <w:vAlign w:val="center"/>
          </w:tcPr>
          <w:p>
            <w:pPr>
              <w:spacing w:before="40" w:after="40"/>
            </w:pPr>
            <w:r>
              <w:rPr>
                <w:rFonts w:ascii="Calibri" w:hAnsi="Calibri"/>
                <w:b w:val="0"/>
                <w:i w:val="0"/>
                <w:color w:val="1A1A1A"/>
                <w:sz w:val="19"/>
              </w:rPr>
              <w:t>Risk taxonomy (8 categories), P×I scoring, template column mapping, openpyxl rules</w:t>
            </w:r>
          </w:p>
        </w:tc>
      </w:tr>
      <w:tr>
        <w:tc>
          <w:tcPr>
            <w:tcW w:type="dxa" w:w="3118"/>
            <w:shd w:val="clear" w:color="auto" w:fill="E8F0FA"/>
            <w:vAlign w:val="center"/>
          </w:tcPr>
          <w:p>
            <w:pPr>
              <w:spacing w:before="40" w:after="40"/>
            </w:pPr>
            <w:r>
              <w:rPr>
                <w:rFonts w:ascii="Calibri" w:hAnsi="Calibri"/>
                <w:b/>
                <w:i w:val="0"/>
                <w:color w:val="003B6E"/>
                <w:sz w:val="19"/>
              </w:rPr>
              <w:t>executive-dashboard-generation</w:t>
            </w:r>
          </w:p>
        </w:tc>
        <w:tc>
          <w:tcPr>
            <w:tcW w:type="dxa" w:w="6520"/>
            <w:shd w:val="clear" w:color="auto" w:fill="E8F0FA"/>
            <w:vAlign w:val="center"/>
          </w:tcPr>
          <w:p>
            <w:pPr>
              <w:spacing w:before="40" w:after="40"/>
            </w:pPr>
            <w:r>
              <w:rPr>
                <w:rFonts w:ascii="Calibri" w:hAnsi="Calibri"/>
                <w:b w:val="0"/>
                <w:i w:val="0"/>
                <w:color w:val="1A1A1A"/>
                <w:sz w:val="19"/>
              </w:rPr>
              <w:t>3-page A4 Trinity layout, Bosch colour palette, logo embedding, self-contained HTML rules</w:t>
            </w:r>
          </w:p>
        </w:tc>
      </w:tr>
      <w:tr>
        <w:tc>
          <w:tcPr>
            <w:tcW w:type="dxa" w:w="3118"/>
            <w:shd w:val="clear" w:color="auto" w:fill="FFFFFF"/>
            <w:vAlign w:val="center"/>
          </w:tcPr>
          <w:p>
            <w:pPr>
              <w:spacing w:before="40" w:after="40"/>
            </w:pPr>
            <w:r>
              <w:rPr>
                <w:rFonts w:ascii="Calibri" w:hAnsi="Calibri"/>
                <w:b/>
                <w:i w:val="0"/>
                <w:color w:val="003B6E"/>
                <w:sz w:val="19"/>
              </w:rPr>
              <w:t>management-kpi-dashboard-generation</w:t>
            </w:r>
          </w:p>
        </w:tc>
        <w:tc>
          <w:tcPr>
            <w:tcW w:type="dxa" w:w="6520"/>
            <w:shd w:val="clear" w:color="auto" w:fill="FFFFFF"/>
            <w:vAlign w:val="center"/>
          </w:tcPr>
          <w:p>
            <w:pPr>
              <w:spacing w:before="40" w:after="40"/>
            </w:pPr>
            <w:r>
              <w:rPr>
                <w:rFonts w:ascii="Calibri" w:hAnsi="Calibri"/>
                <w:b w:val="0"/>
                <w:i w:val="0"/>
                <w:color w:val="1A1A1A"/>
                <w:sz w:val="19"/>
              </w:rPr>
              <w:t>12-column card grid, SPI/CPI/readiness metrics, 90-day action forecast</w:t>
            </w:r>
          </w:p>
        </w:tc>
      </w:tr>
      <w:tr>
        <w:tc>
          <w:tcPr>
            <w:tcW w:type="dxa" w:w="3118"/>
            <w:shd w:val="clear" w:color="auto" w:fill="E8F0FA"/>
            <w:vAlign w:val="center"/>
          </w:tcPr>
          <w:p>
            <w:pPr>
              <w:spacing w:before="40" w:after="40"/>
            </w:pPr>
            <w:r>
              <w:rPr>
                <w:rFonts w:ascii="Calibri" w:hAnsi="Calibri"/>
                <w:b/>
                <w:i w:val="0"/>
                <w:color w:val="003B6E"/>
                <w:sz w:val="19"/>
              </w:rPr>
              <w:t>monthly-status-report-generation</w:t>
            </w:r>
          </w:p>
        </w:tc>
        <w:tc>
          <w:tcPr>
            <w:tcW w:type="dxa" w:w="6520"/>
            <w:shd w:val="clear" w:color="auto" w:fill="E8F0FA"/>
            <w:vAlign w:val="center"/>
          </w:tcPr>
          <w:p>
            <w:pPr>
              <w:spacing w:before="40" w:after="40"/>
            </w:pPr>
            <w:r>
              <w:rPr>
                <w:rFonts w:ascii="Calibri" w:hAnsi="Calibri"/>
                <w:b w:val="0"/>
                <w:i w:val="0"/>
                <w:color w:val="1A1A1A"/>
                <w:sz w:val="19"/>
              </w:rPr>
              <w:t>A4 reportlab layout, auto-dated filename, days-to-gate auto-calculation</w:t>
            </w:r>
          </w:p>
        </w:tc>
      </w:tr>
      <w:tr>
        <w:tc>
          <w:tcPr>
            <w:tcW w:type="dxa" w:w="3118"/>
            <w:shd w:val="clear" w:color="auto" w:fill="FFFFFF"/>
            <w:vAlign w:val="center"/>
          </w:tcPr>
          <w:p>
            <w:pPr>
              <w:spacing w:before="40" w:after="40"/>
            </w:pPr>
            <w:r>
              <w:rPr>
                <w:rFonts w:ascii="Calibri" w:hAnsi="Calibri"/>
                <w:b/>
                <w:i w:val="0"/>
                <w:color w:val="003B6E"/>
                <w:sz w:val="19"/>
              </w:rPr>
              <w:t>repository-governance-updates</w:t>
            </w:r>
          </w:p>
        </w:tc>
        <w:tc>
          <w:tcPr>
            <w:tcW w:type="dxa" w:w="6520"/>
            <w:shd w:val="clear" w:color="auto" w:fill="FFFFFF"/>
            <w:vAlign w:val="center"/>
          </w:tcPr>
          <w:p>
            <w:pPr>
              <w:spacing w:before="40" w:after="40"/>
            </w:pPr>
            <w:r>
              <w:rPr>
                <w:rFonts w:ascii="Calibri" w:hAnsi="Calibri"/>
                <w:b w:val="0"/>
                <w:i w:val="0"/>
                <w:color w:val="1A1A1A"/>
                <w:sz w:val="19"/>
              </w:rPr>
              <w:t>Metadata maintenance rules, naming conventions, inventory sync, last-reviewed tracking</w:t>
            </w:r>
          </w:p>
        </w:tc>
      </w:tr>
    </w:tbl>
    <w:p/>
    <w:p>
      <w:pPr>
        <w:spacing w:before="0" w:after="100"/>
        <w:jc w:val="both"/>
      </w:pPr>
      <w:r>
        <w:rPr>
          <w:rFonts w:ascii="Calibri" w:hAnsi="Calibri"/>
          <w:b w:val="0"/>
          <w:i w:val="0"/>
          <w:color w:val="1A1A1A"/>
          <w:sz w:val="21"/>
        </w:rPr>
        <w:t>When the AI receives a generation request, it looks up the relevant skill in the routing table defined in copilot-instructions.md, reads the full SKILL.md file, and executes its instructions. This two-level architecture keeps the global instruction file concise — fitting within the AI's context window — while allowing each skill to carry rich, detailed methodology logic.</w:t>
      </w:r>
    </w:p>
    <w:p>
      <w:pPr>
        <w:spacing w:before="200" w:after="80"/>
      </w:pPr>
      <w:r>
        <w:rPr>
          <w:rFonts w:ascii="Calibri" w:hAnsi="Calibri"/>
          <w:b/>
          <w:i w:val="0"/>
          <w:color w:val="005199"/>
          <w:sz w:val="22"/>
        </w:rPr>
        <w:t>Layer 4 — The Generator Scripts: Python Automation</w:t>
      </w:r>
    </w:p>
    <w:p>
      <w:pPr>
        <w:spacing w:before="0" w:after="100"/>
        <w:jc w:val="both"/>
      </w:pPr>
      <w:r>
        <w:rPr>
          <w:rFonts w:ascii="Calibri" w:hAnsi="Calibri"/>
          <w:b w:val="0"/>
          <w:i w:val="0"/>
          <w:color w:val="1A1A1A"/>
          <w:sz w:val="21"/>
        </w:rPr>
        <w:t>The AI does not write documents by filling in Word templates. It writes Python scripts that generate documents programmatically — using reportlab for PDFs, openpyxl for Excel files, and pure Python for MSPDI XML and self-contained HTML. Each project has its own set of generator scripts that hardcode the engagement parameters as auditable Python data structures.</w:t>
      </w:r>
    </w:p>
    <w:p>
      <w:pPr>
        <w:spacing w:before="0" w:after="100"/>
        <w:jc w:val="both"/>
      </w:pPr>
      <w:r>
        <w:rPr>
          <w:rFonts w:ascii="Calibri" w:hAnsi="Calibri"/>
          <w:b w:val="0"/>
          <w:i w:val="0"/>
          <w:color w:val="1A1A1A"/>
          <w:sz w:val="21"/>
        </w:rPr>
        <w:t>The canonical CSV-to-XML converter (generate_msp_xml.py) is a shared script called by all schedule generators as a subprocess. It encodes a set of critical Microsoft Project MSPDI XML rules discovered empirically through real import testing — rules that are not documented in the MS Project specification but which are essential for task dates to survive import without drifting. These rules are captured in the skill file, the script, and the AI's persistent memory layer.</w:t>
      </w:r>
    </w:p>
    <w:tbl>
      <w:tblPr>
        <w:tblW w:type="auto" w:w="0"/>
        <w:tblLook w:firstColumn="1" w:firstRow="1" w:lastColumn="0" w:lastRow="0" w:noHBand="0" w:noVBand="1" w:val="04A0"/>
        <w:jc w:val="center"/>
        <w:tblBorders>
          <w:top w:val="single" w:sz="4" w:space="0" w:color="003b6e"/>
          <w:left w:val="single" w:sz="4" w:space="0" w:color="003b6e"/>
          <w:bottom w:val="single" w:sz="4" w:space="0" w:color="003b6e"/>
          <w:right w:val="single" w:sz="4" w:space="0" w:color="003b6e"/>
          <w:insideH w:val="single" w:sz="4" w:space="0" w:color="003b6e"/>
          <w:insideV w:val="single" w:sz="4" w:space="0" w:color="003b6e"/>
        </w:tblBorders>
      </w:tblPr>
      <w:tblGrid>
        <w:gridCol w:w="9406"/>
      </w:tblGrid>
      <w:tr>
        <w:tc>
          <w:tcPr>
            <w:tcW w:type="dxa" w:w="9071"/>
            <w:shd w:val="clear" w:color="auto" w:fill="EFF5FF"/>
          </w:tcPr>
          <w:p>
            <w:pPr>
              <w:spacing w:before="80" w:after="40"/>
            </w:pPr>
            <w:r>
              <w:rPr>
                <w:rFonts w:ascii="Calibri" w:hAnsi="Calibri"/>
                <w:b/>
                <w:i w:val="0"/>
                <w:color w:val="003B6E"/>
                <w:sz w:val="18"/>
              </w:rPr>
              <w:t>THE MS PROJECT XML DATE INTEGRITY PROBLEM — SOLVED</w:t>
            </w:r>
          </w:p>
          <w:p>
            <w:pPr>
              <w:spacing w:before="20" w:after="20"/>
              <w:ind w:left="170"/>
            </w:pPr>
            <w:r>
              <w:rPr>
                <w:rFonts w:ascii="Calibri" w:hAnsi="Calibri"/>
                <w:b w:val="0"/>
                <w:i w:val="0"/>
                <w:color w:val="1A1A1A"/>
                <w:sz w:val="20"/>
              </w:rPr>
              <w:t>• Problem: MS Project recalculates all task dates from the predecessor chain on import, causing GoLive to appear months early or late.</w:t>
            </w:r>
          </w:p>
          <w:p>
            <w:pPr>
              <w:spacing w:before="20" w:after="20"/>
              <w:ind w:left="170"/>
            </w:pPr>
            <w:r>
              <w:rPr>
                <w:rFonts w:ascii="Calibri" w:hAnsi="Calibri"/>
                <w:b w:val="0"/>
                <w:i w:val="0"/>
                <w:color w:val="1A1A1A"/>
                <w:sz w:val="20"/>
              </w:rPr>
              <w:t>• Cause: The &lt;TaskMode&gt;1&lt;/TaskMode&gt; element must appear immediately after &lt;Name&gt; in each Task element. Placed anywhere else, MS Project silently ignores it.</w:t>
            </w:r>
          </w:p>
          <w:p>
            <w:pPr>
              <w:spacing w:before="20" w:after="20"/>
              <w:ind w:left="170"/>
            </w:pPr>
            <w:r>
              <w:rPr>
                <w:rFonts w:ascii="Calibri" w:hAnsi="Calibri"/>
                <w:b w:val="0"/>
                <w:i w:val="0"/>
                <w:color w:val="1A1A1A"/>
                <w:sz w:val="20"/>
              </w:rPr>
              <w:t>• Solution: generate_msp_xml.py enforces strict element ordering, ManualStart/Finish fields, ConstraintType='Must Start On', and project-level manual scheduling flags.</w:t>
            </w:r>
          </w:p>
          <w:p>
            <w:pPr>
              <w:spacing w:before="20" w:after="20"/>
              <w:ind w:left="170"/>
            </w:pPr>
            <w:r>
              <w:rPr>
                <w:rFonts w:ascii="Calibri" w:hAnsi="Calibri"/>
                <w:b w:val="0"/>
                <w:i w:val="0"/>
                <w:color w:val="1A1A1A"/>
                <w:sz w:val="20"/>
              </w:rPr>
              <w:t>• Impact: All project schedules import into MS Project with dates exactly as authored — zero drift, zero manual correction required.</w:t>
            </w:r>
          </w:p>
        </w:tc>
      </w:tr>
    </w:tbl>
    <w:p/>
    <w:p>
      <w:pPr>
        <w:spacing w:before="200" w:after="80"/>
      </w:pPr>
      <w:r>
        <w:rPr>
          <w:rFonts w:ascii="Calibri" w:hAnsi="Calibri"/>
          <w:b/>
          <w:i w:val="0"/>
          <w:color w:val="005199"/>
          <w:sz w:val="22"/>
        </w:rPr>
        <w:t>The Memory System: AI That Learns Across Sessions</w:t>
      </w:r>
    </w:p>
    <w:p>
      <w:pPr>
        <w:spacing w:before="0" w:after="100"/>
        <w:jc w:val="both"/>
      </w:pPr>
      <w:r>
        <w:rPr>
          <w:rFonts w:ascii="Calibri" w:hAnsi="Calibri"/>
          <w:b w:val="0"/>
          <w:i w:val="0"/>
          <w:color w:val="1A1A1A"/>
          <w:sz w:val="21"/>
        </w:rPr>
        <w:t>A key differentiator of this system is its three-tier persistent memory architecture. Unlike a standard AI session that forgets everything when closed, this system maintains structured memory files that survive across all sessions:</w:t>
      </w:r>
    </w:p>
    <w:p>
      <w:pPr>
        <w:pStyle w:val="ListBullet"/>
        <w:spacing w:before="20" w:after="60"/>
        <w:ind w:left="454" w:hanging="227"/>
      </w:pPr>
      <w:r>
        <w:rPr>
          <w:rFonts w:ascii="Calibri" w:hAnsi="Calibri"/>
          <w:b w:val="0"/>
          <w:i w:val="0"/>
          <w:color w:val="1A1A1A"/>
          <w:sz w:val="21"/>
        </w:rPr>
        <w:t>User memory: Cross-workspace permanent notes capturing output standards, known bugs and their fixes, and CSS/XML rules that must not be regressed.</w:t>
      </w:r>
    </w:p>
    <w:p>
      <w:pPr>
        <w:pStyle w:val="ListBullet"/>
        <w:spacing w:before="20" w:after="60"/>
        <w:ind w:left="454" w:hanging="227"/>
      </w:pPr>
      <w:r>
        <w:rPr>
          <w:rFonts w:ascii="Calibri" w:hAnsi="Calibri"/>
          <w:b w:val="0"/>
          <w:i w:val="0"/>
          <w:color w:val="1A1A1A"/>
          <w:sz w:val="21"/>
        </w:rPr>
        <w:t>Session memory: Conversation-scoped working notes for multi-step tasks.</w:t>
      </w:r>
    </w:p>
    <w:p>
      <w:pPr>
        <w:pStyle w:val="ListBullet"/>
        <w:spacing w:before="20" w:after="60"/>
        <w:ind w:left="454" w:hanging="227"/>
      </w:pPr>
      <w:r>
        <w:rPr>
          <w:rFonts w:ascii="Calibri" w:hAnsi="Calibri"/>
          <w:b w:val="0"/>
          <w:i w:val="0"/>
          <w:color w:val="1A1A1A"/>
          <w:sz w:val="21"/>
        </w:rPr>
        <w:t>Repository memory: Repository-scoped facts — GitHub remote URL, Python interpreter path, canonical branch.</w:t>
      </w:r>
    </w:p>
    <w:p>
      <w:pPr>
        <w:spacing w:before="0" w:after="100"/>
        <w:jc w:val="both"/>
      </w:pPr>
      <w:r>
        <w:rPr>
          <w:rFonts w:ascii="Calibri" w:hAnsi="Calibri"/>
          <w:b w:val="0"/>
          <w:i w:val="0"/>
          <w:color w:val="1A1A1A"/>
          <w:sz w:val="21"/>
        </w:rPr>
        <w:t>When a new session starts, the AI reads these memory files before acting. It does not rediscover known issues. It does not reproduce previously fixed bugs. The system becomes more reliable with every engagement — accumulating institutional knowledge in a structured, machine-readable form.</w:t>
      </w:r>
    </w:p>
    <w:p>
      <w:pPr>
        <w:spacing w:before="360" w:after="120"/>
        <w:pBdr>
          <w:bottom w:val="single" w:sz="8" w:space="1" w:color="003b6e"/>
        </w:pBdr>
      </w:pPr>
      <w:r>
        <w:rPr>
          <w:rFonts w:ascii="Calibri" w:hAnsi="Calibri"/>
          <w:b/>
          <w:i w:val="0"/>
          <w:color w:val="0066CC"/>
          <w:sz w:val="26"/>
        </w:rPr>
        <w:t xml:space="preserve">04  </w:t>
      </w:r>
      <w:r>
        <w:rPr>
          <w:rFonts w:ascii="Calibri" w:hAnsi="Calibri"/>
          <w:b/>
          <w:i w:val="0"/>
          <w:color w:val="003B6E"/>
          <w:sz w:val="26"/>
        </w:rPr>
        <w:t>VALUE PROPOSITION: WHAT THIS CHANGES FOR PROJECT MANAGERS</w:t>
      </w:r>
    </w:p>
    <w:p>
      <w:pPr>
        <w:spacing w:before="0" w:after="100"/>
        <w:jc w:val="both"/>
      </w:pPr>
      <w:r>
        <w:rPr>
          <w:rFonts w:ascii="Calibri" w:hAnsi="Calibri"/>
          <w:b w:val="0"/>
          <w:i w:val="0"/>
          <w:color w:val="1A1A1A"/>
          <w:sz w:val="21"/>
        </w:rPr>
        <w:t>The value of this system is not simply speed — though the speed is dramatic. It is a fundamental shift in how project managers can deploy their expertise at the start of a carve-out engagement.</w:t>
      </w:r>
    </w:p>
    <w:p>
      <w:pPr>
        <w:spacing w:before="200" w:after="80"/>
      </w:pPr>
      <w:r>
        <w:rPr>
          <w:rFonts w:ascii="Calibri" w:hAnsi="Calibri"/>
          <w:b/>
          <w:i w:val="0"/>
          <w:color w:val="005199"/>
          <w:sz w:val="22"/>
        </w:rPr>
        <w:t>From Weeks to Under One Hour: Speed of Mobilisation</w:t>
      </w:r>
    </w:p>
    <w:p>
      <w:pPr>
        <w:spacing w:before="0" w:after="100"/>
        <w:jc w:val="both"/>
      </w:pPr>
      <w:r>
        <w:rPr>
          <w:rFonts w:ascii="Calibri" w:hAnsi="Calibri"/>
          <w:b w:val="0"/>
          <w:i w:val="0"/>
          <w:color w:val="1A1A1A"/>
          <w:sz w:val="21"/>
        </w:rPr>
        <w:t>A complete initial deliverable set that previously required three to four weeks of expert manual work is generated in under 35 minutes of AI-assisted production. For context: the project schedule alone — with all its phase dependencies, QG milestones, and resource assignments — takes an experienced PM five to seven days to construct from scratch manually. The two dashboards are even more challenging: most PMs are not fluent in HTML-based reporting and rely on PowerPoint slides instead, each taking more than five days to produce per reporting cycle. The AI generates all seven deliverables in a single 35-minute automated run — each item taking approximately five minutes.</w:t>
      </w:r>
    </w:p>
    <w:tbl>
      <w:tblPr>
        <w:tblW w:type="auto" w:w="0"/>
        <w:tblLook w:firstColumn="1" w:firstRow="1" w:lastColumn="0" w:lastRow="0" w:noHBand="0" w:noVBand="1" w:val="04A0"/>
        <w:jc w:val="center"/>
        <w:tblBorders>
          <w:top w:val="single" w:sz="4" w:space="0" w:color="007A33"/>
          <w:left w:val="single" w:sz="4" w:space="0" w:color="007A33"/>
          <w:bottom w:val="single" w:sz="4" w:space="0" w:color="007A33"/>
          <w:right w:val="single" w:sz="4" w:space="0" w:color="007A33"/>
          <w:insideH w:val="single" w:sz="4" w:space="0" w:color="007A33"/>
          <w:insideV w:val="single" w:sz="4" w:space="0" w:color="007A33"/>
        </w:tblBorders>
      </w:tblPr>
      <w:tblGrid>
        <w:gridCol w:w="9406"/>
      </w:tblGrid>
      <w:tr>
        <w:tc>
          <w:tcPr>
            <w:tcW w:type="dxa" w:w="9071"/>
            <w:shd w:val="clear" w:color="auto" w:fill="E6F4EC"/>
          </w:tcPr>
          <w:p>
            <w:pPr>
              <w:spacing w:before="80" w:after="40"/>
            </w:pPr>
            <w:r>
              <w:rPr>
                <w:rFonts w:ascii="Calibri" w:hAnsi="Calibri"/>
                <w:b/>
                <w:i w:val="0"/>
                <w:color w:val="003B6E"/>
                <w:sz w:val="18"/>
              </w:rPr>
              <w:t>TIME COMPARISON: MANUAL VS AI-ASSISTED PRODUCTION</w:t>
            </w:r>
          </w:p>
          <w:p>
            <w:pPr>
              <w:spacing w:before="20" w:after="20"/>
              <w:ind w:left="170"/>
            </w:pPr>
            <w:r>
              <w:rPr>
                <w:rFonts w:ascii="Calibri" w:hAnsi="Calibri"/>
                <w:b w:val="0"/>
                <w:i w:val="0"/>
                <w:color w:val="1A1A1A"/>
                <w:sz w:val="20"/>
              </w:rPr>
              <w:t>• Schedule (CSV + MS Project XML)       Manual: 5–7 days    →  AI: ~5 minutes</w:t>
            </w:r>
          </w:p>
          <w:p>
            <w:pPr>
              <w:spacing w:before="20" w:after="20"/>
              <w:ind w:left="170"/>
            </w:pPr>
            <w:r>
              <w:rPr>
                <w:rFonts w:ascii="Calibri" w:hAnsi="Calibri"/>
                <w:b w:val="0"/>
                <w:i w:val="0"/>
                <w:color w:val="1A1A1A"/>
                <w:sz w:val="20"/>
              </w:rPr>
              <w:t>• Risk Register (.xlsx, 15–25 risks)    Manual: 3 days      →  AI: ~5 minutes</w:t>
            </w:r>
          </w:p>
          <w:p>
            <w:pPr>
              <w:spacing w:before="20" w:after="20"/>
              <w:ind w:left="170"/>
            </w:pPr>
            <w:r>
              <w:rPr>
                <w:rFonts w:ascii="Calibri" w:hAnsi="Calibri"/>
                <w:b w:val="0"/>
                <w:i w:val="0"/>
                <w:color w:val="1A1A1A"/>
                <w:sz w:val="20"/>
              </w:rPr>
              <w:t>• IT Labour Cost Plan (.csv)             Manual: 3 days      →  AI: ~5 minutes</w:t>
            </w:r>
          </w:p>
          <w:p>
            <w:pPr>
              <w:spacing w:before="20" w:after="20"/>
              <w:ind w:left="170"/>
            </w:pPr>
            <w:r>
              <w:rPr>
                <w:rFonts w:ascii="Calibri" w:hAnsi="Calibri"/>
                <w:b w:val="0"/>
                <w:i w:val="0"/>
                <w:color w:val="1A1A1A"/>
                <w:sz w:val="20"/>
              </w:rPr>
              <w:t>• Project Charter (HTML)                 Manual: 3 days      →  AI: ~5 minutes</w:t>
            </w:r>
          </w:p>
          <w:p>
            <w:pPr>
              <w:spacing w:before="20" w:after="20"/>
              <w:ind w:left="170"/>
            </w:pPr>
            <w:r>
              <w:rPr>
                <w:rFonts w:ascii="Calibri" w:hAnsi="Calibri"/>
                <w:b w:val="0"/>
                <w:i w:val="0"/>
                <w:color w:val="1A1A1A"/>
                <w:sz w:val="20"/>
              </w:rPr>
              <w:t>• Executive Dashboard (HTML — vs PPT)    Manual: 5+ days     →  AI: ~5 minutes</w:t>
            </w:r>
          </w:p>
          <w:p>
            <w:pPr>
              <w:spacing w:before="20" w:after="20"/>
              <w:ind w:left="170"/>
            </w:pPr>
            <w:r>
              <w:rPr>
                <w:rFonts w:ascii="Calibri" w:hAnsi="Calibri"/>
                <w:b w:val="0"/>
                <w:i w:val="0"/>
                <w:color w:val="1A1A1A"/>
                <w:sz w:val="20"/>
              </w:rPr>
              <w:t>• Management KPI Dashboard (HTML — vs PPT) Manual: 5+ days   →  AI: ~5 minutes</w:t>
            </w:r>
          </w:p>
          <w:p>
            <w:pPr>
              <w:spacing w:before="20" w:after="20"/>
              <w:ind w:left="170"/>
            </w:pPr>
            <w:r>
              <w:rPr>
                <w:rFonts w:ascii="Calibri" w:hAnsi="Calibri"/>
                <w:b w:val="0"/>
                <w:i w:val="0"/>
                <w:color w:val="1A1A1A"/>
                <w:sz w:val="20"/>
              </w:rPr>
              <w:t>• Monthly Status Report (PDF)            Manual: 2–3 days/month → AI: ~5 minutes</w:t>
            </w:r>
          </w:p>
          <w:p>
            <w:pPr>
              <w:spacing w:before="20" w:after="20"/>
              <w:ind w:left="170"/>
            </w:pPr>
            <w:r>
              <w:rPr>
                <w:rFonts w:ascii="Calibri" w:hAnsi="Calibri"/>
                <w:b w:val="0"/>
                <w:i w:val="0"/>
                <w:color w:val="1A1A1A"/>
                <w:sz w:val="20"/>
              </w:rPr>
              <w:t>• TOTAL initial set:  3–4 weeks  →  Under 35 minutes (full automated run)</w:t>
            </w:r>
          </w:p>
        </w:tc>
      </w:tr>
    </w:tbl>
    <w:p/>
    <w:p>
      <w:pPr>
        <w:spacing w:before="200" w:after="80"/>
      </w:pPr>
      <w:r>
        <w:rPr>
          <w:rFonts w:ascii="Calibri" w:hAnsi="Calibri"/>
          <w:b/>
          <w:i w:val="0"/>
          <w:color w:val="005199"/>
          <w:sz w:val="22"/>
        </w:rPr>
        <w:t>Structural Consistency: Documents That Actually Agree</w:t>
      </w:r>
    </w:p>
    <w:p>
      <w:pPr>
        <w:spacing w:before="0" w:after="100"/>
        <w:jc w:val="both"/>
      </w:pPr>
      <w:r>
        <w:rPr>
          <w:rFonts w:ascii="Calibri" w:hAnsi="Calibri"/>
          <w:b w:val="0"/>
          <w:i w:val="0"/>
          <w:color w:val="1A1A1A"/>
          <w:sz w:val="21"/>
        </w:rPr>
        <w:t>Because all deliverables are generated from the same source facts — the engagement parameters supplied at intake — and because the AI enforces cross-checks between them, the outputs are structurally consistent in a way that manual production rarely achieves:</w:t>
      </w:r>
    </w:p>
    <w:p>
      <w:pPr>
        <w:pStyle w:val="ListBullet"/>
        <w:spacing w:before="20" w:after="60"/>
        <w:ind w:left="454" w:hanging="227"/>
      </w:pPr>
      <w:r>
        <w:rPr>
          <w:rFonts w:ascii="Calibri" w:hAnsi="Calibri"/>
          <w:b w:val="0"/>
          <w:i w:val="0"/>
          <w:color w:val="1A1A1A"/>
          <w:sz w:val="21"/>
        </w:rPr>
        <w:t>Phase names and dates in the cost plan match the schedule exactly — because the cost plan skill mandates a schedule alignment cross-check before writing any figures.</w:t>
      </w:r>
    </w:p>
    <w:p>
      <w:pPr>
        <w:pStyle w:val="ListBullet"/>
        <w:spacing w:before="20" w:after="60"/>
        <w:ind w:left="454" w:hanging="227"/>
      </w:pPr>
      <w:r>
        <w:rPr>
          <w:rFonts w:ascii="Calibri" w:hAnsi="Calibri"/>
          <w:b w:val="0"/>
          <w:i w:val="0"/>
          <w:color w:val="1A1A1A"/>
          <w:sz w:val="21"/>
        </w:rPr>
        <w:t>Resource labels in the cost plan map to resource names in the schedule — because the skill checks every resource token for traceability.</w:t>
      </w:r>
    </w:p>
    <w:p>
      <w:pPr>
        <w:pStyle w:val="ListBullet"/>
        <w:spacing w:before="20" w:after="60"/>
        <w:ind w:left="454" w:hanging="227"/>
      </w:pPr>
      <w:r>
        <w:rPr>
          <w:rFonts w:ascii="Calibri" w:hAnsi="Calibri"/>
          <w:b w:val="0"/>
          <w:i w:val="0"/>
          <w:color w:val="1A1A1A"/>
          <w:sz w:val="21"/>
        </w:rPr>
        <w:t>CAPEX contingency lines in the cost plan reference the specific risk register entries that drove them — because the skill requires a risk register cross-check for all Amber/Red or high-scoring risks.</w:t>
      </w:r>
    </w:p>
    <w:p>
      <w:pPr>
        <w:pStyle w:val="ListBullet"/>
        <w:spacing w:before="20" w:after="60"/>
        <w:ind w:left="454" w:hanging="227"/>
      </w:pPr>
      <w:r>
        <w:rPr>
          <w:rFonts w:ascii="Calibri" w:hAnsi="Calibri"/>
          <w:b w:val="0"/>
          <w:i w:val="0"/>
          <w:color w:val="1A1A1A"/>
          <w:sz w:val="21"/>
        </w:rPr>
        <w:t>The executive dashboard countdown to GoLive matches the GoLive date in the schedule — because both are derived from the same intake parameter.</w:t>
      </w:r>
    </w:p>
    <w:p>
      <w:pPr>
        <w:spacing w:before="200" w:after="80"/>
      </w:pPr>
      <w:r>
        <w:rPr>
          <w:rFonts w:ascii="Calibri" w:hAnsi="Calibri"/>
          <w:b/>
          <w:i w:val="0"/>
          <w:color w:val="005199"/>
          <w:sz w:val="22"/>
        </w:rPr>
        <w:t>Methodological Guardrails: Enforcing What Experience Learned</w:t>
      </w:r>
    </w:p>
    <w:p>
      <w:pPr>
        <w:spacing w:before="0" w:after="100"/>
        <w:jc w:val="both"/>
      </w:pPr>
      <w:r>
        <w:rPr>
          <w:rFonts w:ascii="Calibri" w:hAnsi="Calibri"/>
          <w:b w:val="0"/>
          <w:i w:val="0"/>
          <w:color w:val="1A1A1A"/>
          <w:sz w:val="21"/>
        </w:rPr>
        <w:t>The skills layer encodes hard-won methodological lessons that might otherwise be silently omitted under time pressure. The intake compliance gate will not let a document be generated if site count, user count, or project dates are missing — because these are not cosmetic details; they are the parameters that drive schedule duration, resource loading, and risk exposure.</w:t>
      </w:r>
    </w:p>
    <w:p>
      <w:pPr>
        <w:spacing w:before="0" w:after="100"/>
        <w:jc w:val="both"/>
      </w:pPr>
      <w:r>
        <w:rPr>
          <w:rFonts w:ascii="Calibri" w:hAnsi="Calibri"/>
          <w:b w:val="0"/>
          <w:i w:val="0"/>
          <w:color w:val="1A1A1A"/>
          <w:sz w:val="21"/>
        </w:rPr>
        <w:t>Bosch's standard 5-phase, 5-Quality-Gate framework is applied consistently across every engagement, regardless of size or model (Stand Alone, Integration, or Combination). The framework is not a suggestion — it is the authoritative structure that Bosch Quality Management and Legal require at every gate review.</w:t>
      </w:r>
    </w:p>
    <w:p>
      <w:pPr>
        <w:spacing w:before="200" w:after="80"/>
      </w:pPr>
      <w:r>
        <w:rPr>
          <w:rFonts w:ascii="Calibri" w:hAnsi="Calibri"/>
          <w:b/>
          <w:i w:val="0"/>
          <w:color w:val="005199"/>
          <w:sz w:val="22"/>
        </w:rPr>
        <w:t>Audit Trail and Governance</w:t>
      </w:r>
    </w:p>
    <w:p>
      <w:pPr>
        <w:spacing w:before="0" w:after="100"/>
        <w:jc w:val="both"/>
      </w:pPr>
      <w:r>
        <w:rPr>
          <w:rFonts w:ascii="Calibri" w:hAnsi="Calibri"/>
          <w:b w:val="0"/>
          <w:i w:val="0"/>
          <w:color w:val="1A1A1A"/>
          <w:sz w:val="21"/>
        </w:rPr>
        <w:t>Every generated file is committed to the Git repository. Every script execution is timestamped in the terminal output. This creates an immutable, reviewable record of what was generated, when, under what instructions, and with what input parameters. For M&amp;A transactions — which involve legal, regulatory, and fiduciary obligations — this level of traceability is not a nice-to-have. It is essential.</w:t>
      </w:r>
    </w:p>
    <w:p>
      <w:pPr>
        <w:spacing w:before="200" w:after="80"/>
      </w:pPr>
      <w:r>
        <w:rPr>
          <w:rFonts w:ascii="Calibri" w:hAnsi="Calibri"/>
          <w:b/>
          <w:i w:val="0"/>
          <w:color w:val="005199"/>
          <w:sz w:val="22"/>
        </w:rPr>
        <w:t>Focus Where It Matters: Judgment Over Administration</w:t>
      </w:r>
    </w:p>
    <w:p>
      <w:pPr>
        <w:spacing w:before="0" w:after="100"/>
        <w:jc w:val="both"/>
      </w:pPr>
      <w:r>
        <w:rPr>
          <w:rFonts w:ascii="Calibri" w:hAnsi="Calibri"/>
          <w:b w:val="0"/>
          <w:i w:val="0"/>
          <w:color w:val="1A1A1A"/>
          <w:sz w:val="21"/>
        </w:rPr>
        <w:t>The most profound benefit is the redirection of the project manager's attention. When a PM no longer spends three to four weeks building documents, they spend that time on the questions that actually require human expertise: Which risks are the ones that will derail this programme? Is the GoLive date achievable given what we know about the buyer's IT readiness? How do we message the budget ask to the Steering Committee without triggering a scope reduction? These are judgment calls. Document production is not.</w:t>
      </w:r>
    </w:p>
    <w:tbl>
      <w:tblPr>
        <w:tblW w:type="auto" w:w="0"/>
        <w:tblLook w:firstColumn="1" w:firstRow="1" w:lastColumn="0" w:lastRow="0" w:noHBand="0" w:noVBand="1" w:val="04A0"/>
        <w:tblBorders>
          <w:top w:val="single" w:sz="4" w:space="0" w:color="0066CC"/>
          <w:left w:val="single" w:sz="4" w:space="0" w:color="0066CC"/>
          <w:bottom w:val="single" w:sz="4" w:space="0" w:color="0066CC"/>
          <w:right w:val="single" w:sz="4" w:space="0" w:color="0066CC"/>
          <w:insideH w:val="single" w:sz="4" w:space="0" w:color="0066CC"/>
          <w:insideV w:val="single" w:sz="4" w:space="0" w:color="0066CC"/>
        </w:tblBorders>
      </w:tblPr>
      <w:tblGrid>
        <w:gridCol w:w="4703"/>
        <w:gridCol w:w="4703"/>
      </w:tblGrid>
      <w:tr>
        <w:tc>
          <w:tcPr>
            <w:tcW w:type="dxa" w:w="4819"/>
            <w:shd w:val="clear" w:color="auto" w:fill="003B6E"/>
            <w:vAlign w:val="center"/>
          </w:tcPr>
          <w:p>
            <w:pPr>
              <w:spacing w:before="60" w:after="60"/>
            </w:pPr>
            <w:r>
              <w:rPr>
                <w:rFonts w:ascii="Calibri" w:hAnsi="Calibri"/>
                <w:b/>
                <w:i w:val="0"/>
                <w:color w:val="FFFFFF"/>
                <w:sz w:val="18"/>
              </w:rPr>
              <w:t>Without AI Assistance</w:t>
            </w:r>
          </w:p>
        </w:tc>
        <w:tc>
          <w:tcPr>
            <w:tcW w:type="dxa" w:w="4819"/>
            <w:shd w:val="clear" w:color="auto" w:fill="003B6E"/>
            <w:vAlign w:val="center"/>
          </w:tcPr>
          <w:p>
            <w:pPr>
              <w:spacing w:before="60" w:after="60"/>
            </w:pPr>
            <w:r>
              <w:rPr>
                <w:rFonts w:ascii="Calibri" w:hAnsi="Calibri"/>
                <w:b/>
                <w:i w:val="0"/>
                <w:color w:val="FFFFFF"/>
                <w:sz w:val="18"/>
              </w:rPr>
              <w:t>With AI Assistance</w:t>
            </w:r>
          </w:p>
        </w:tc>
      </w:tr>
      <w:tr>
        <w:tc>
          <w:tcPr>
            <w:tcW w:type="dxa" w:w="4819"/>
            <w:shd w:val="clear" w:color="auto" w:fill="E8F0FA"/>
            <w:vAlign w:val="center"/>
          </w:tcPr>
          <w:p>
            <w:pPr>
              <w:spacing w:before="40" w:after="40"/>
            </w:pPr>
            <w:r>
              <w:rPr>
                <w:rFonts w:ascii="Calibri" w:hAnsi="Calibri"/>
                <w:b/>
                <w:i w:val="0"/>
                <w:color w:val="003B6E"/>
                <w:sz w:val="19"/>
              </w:rPr>
              <w:t>3–4 weeks building the initial document set</w:t>
            </w:r>
          </w:p>
        </w:tc>
        <w:tc>
          <w:tcPr>
            <w:tcW w:type="dxa" w:w="4819"/>
            <w:shd w:val="clear" w:color="auto" w:fill="E8F0FA"/>
            <w:vAlign w:val="center"/>
          </w:tcPr>
          <w:p>
            <w:pPr>
              <w:spacing w:before="40" w:after="40"/>
            </w:pPr>
            <w:r>
              <w:rPr>
                <w:rFonts w:ascii="Calibri" w:hAnsi="Calibri"/>
                <w:b w:val="0"/>
                <w:i w:val="0"/>
                <w:color w:val="1A1A1A"/>
                <w:sz w:val="19"/>
              </w:rPr>
              <w:t>Under 35 minutes — PM reviews and approves</w:t>
            </w:r>
          </w:p>
        </w:tc>
      </w:tr>
      <w:tr>
        <w:tc>
          <w:tcPr>
            <w:tcW w:type="dxa" w:w="4819"/>
            <w:shd w:val="clear" w:color="auto" w:fill="FFFFFF"/>
            <w:vAlign w:val="center"/>
          </w:tcPr>
          <w:p>
            <w:pPr>
              <w:spacing w:before="40" w:after="40"/>
            </w:pPr>
            <w:r>
              <w:rPr>
                <w:rFonts w:ascii="Calibri" w:hAnsi="Calibri"/>
                <w:b/>
                <w:i w:val="0"/>
                <w:color w:val="003B6E"/>
                <w:sz w:val="19"/>
              </w:rPr>
              <w:t>Documents produced in isolation per tool</w:t>
            </w:r>
          </w:p>
        </w:tc>
        <w:tc>
          <w:tcPr>
            <w:tcW w:type="dxa" w:w="4819"/>
            <w:shd w:val="clear" w:color="auto" w:fill="FFFFFF"/>
            <w:vAlign w:val="center"/>
          </w:tcPr>
          <w:p>
            <w:pPr>
              <w:spacing w:before="40" w:after="40"/>
            </w:pPr>
            <w:r>
              <w:rPr>
                <w:rFonts w:ascii="Calibri" w:hAnsi="Calibri"/>
                <w:b w:val="0"/>
                <w:i w:val="0"/>
                <w:color w:val="1A1A1A"/>
                <w:sz w:val="19"/>
              </w:rPr>
              <w:t>All documents generated from a single consistent data set</w:t>
            </w:r>
          </w:p>
        </w:tc>
      </w:tr>
      <w:tr>
        <w:tc>
          <w:tcPr>
            <w:tcW w:type="dxa" w:w="4819"/>
            <w:shd w:val="clear" w:color="auto" w:fill="E8F0FA"/>
            <w:vAlign w:val="center"/>
          </w:tcPr>
          <w:p>
            <w:pPr>
              <w:spacing w:before="40" w:after="40"/>
            </w:pPr>
            <w:r>
              <w:rPr>
                <w:rFonts w:ascii="Calibri" w:hAnsi="Calibri"/>
                <w:b/>
                <w:i w:val="0"/>
                <w:color w:val="003B6E"/>
                <w:sz w:val="19"/>
              </w:rPr>
              <w:t>Manual consistency checking across files</w:t>
            </w:r>
          </w:p>
        </w:tc>
        <w:tc>
          <w:tcPr>
            <w:tcW w:type="dxa" w:w="4819"/>
            <w:shd w:val="clear" w:color="auto" w:fill="E8F0FA"/>
            <w:vAlign w:val="center"/>
          </w:tcPr>
          <w:p>
            <w:pPr>
              <w:spacing w:before="40" w:after="40"/>
            </w:pPr>
            <w:r>
              <w:rPr>
                <w:rFonts w:ascii="Calibri" w:hAnsi="Calibri"/>
                <w:b w:val="0"/>
                <w:i w:val="0"/>
                <w:color w:val="1A1A1A"/>
                <w:sz w:val="19"/>
              </w:rPr>
              <w:t>Cross-checks enforced automatically before generation</w:t>
            </w:r>
          </w:p>
        </w:tc>
      </w:tr>
      <w:tr>
        <w:tc>
          <w:tcPr>
            <w:tcW w:type="dxa" w:w="4819"/>
            <w:shd w:val="clear" w:color="auto" w:fill="FFFFFF"/>
            <w:vAlign w:val="center"/>
          </w:tcPr>
          <w:p>
            <w:pPr>
              <w:spacing w:before="40" w:after="40"/>
            </w:pPr>
            <w:r>
              <w:rPr>
                <w:rFonts w:ascii="Calibri" w:hAnsi="Calibri"/>
                <w:b/>
                <w:i w:val="0"/>
                <w:color w:val="003B6E"/>
                <w:sz w:val="19"/>
              </w:rPr>
              <w:t>Methodology applied from memory, under time pressure</w:t>
            </w:r>
          </w:p>
        </w:tc>
        <w:tc>
          <w:tcPr>
            <w:tcW w:type="dxa" w:w="4819"/>
            <w:shd w:val="clear" w:color="auto" w:fill="FFFFFF"/>
            <w:vAlign w:val="center"/>
          </w:tcPr>
          <w:p>
            <w:pPr>
              <w:spacing w:before="40" w:after="40"/>
            </w:pPr>
            <w:r>
              <w:rPr>
                <w:rFonts w:ascii="Calibri" w:hAnsi="Calibri"/>
                <w:b w:val="0"/>
                <w:i w:val="0"/>
                <w:color w:val="1A1A1A"/>
                <w:sz w:val="19"/>
              </w:rPr>
              <w:t>Methodology encoded in skills — always applied, always current</w:t>
            </w:r>
          </w:p>
        </w:tc>
      </w:tr>
      <w:tr>
        <w:tc>
          <w:tcPr>
            <w:tcW w:type="dxa" w:w="4819"/>
            <w:shd w:val="clear" w:color="auto" w:fill="E8F0FA"/>
            <w:vAlign w:val="center"/>
          </w:tcPr>
          <w:p>
            <w:pPr>
              <w:spacing w:before="40" w:after="40"/>
            </w:pPr>
            <w:r>
              <w:rPr>
                <w:rFonts w:ascii="Calibri" w:hAnsi="Calibri"/>
                <w:b/>
                <w:i w:val="0"/>
                <w:color w:val="003B6E"/>
                <w:sz w:val="19"/>
              </w:rPr>
              <w:t>No formal link between risk register and cost plan</w:t>
            </w:r>
          </w:p>
        </w:tc>
        <w:tc>
          <w:tcPr>
            <w:tcW w:type="dxa" w:w="4819"/>
            <w:shd w:val="clear" w:color="auto" w:fill="E8F0FA"/>
            <w:vAlign w:val="center"/>
          </w:tcPr>
          <w:p>
            <w:pPr>
              <w:spacing w:before="40" w:after="40"/>
            </w:pPr>
            <w:r>
              <w:rPr>
                <w:rFonts w:ascii="Calibri" w:hAnsi="Calibri"/>
                <w:b w:val="0"/>
                <w:i w:val="0"/>
                <w:color w:val="1A1A1A"/>
                <w:sz w:val="19"/>
              </w:rPr>
              <w:t>Every high-scoring risk traces to a cost contingency line</w:t>
            </w:r>
          </w:p>
        </w:tc>
      </w:tr>
      <w:tr>
        <w:tc>
          <w:tcPr>
            <w:tcW w:type="dxa" w:w="4819"/>
            <w:shd w:val="clear" w:color="auto" w:fill="FFFFFF"/>
            <w:vAlign w:val="center"/>
          </w:tcPr>
          <w:p>
            <w:pPr>
              <w:spacing w:before="40" w:after="40"/>
            </w:pPr>
            <w:r>
              <w:rPr>
                <w:rFonts w:ascii="Calibri" w:hAnsi="Calibri"/>
                <w:b/>
                <w:i w:val="0"/>
                <w:color w:val="003B6E"/>
                <w:sz w:val="19"/>
              </w:rPr>
              <w:t>Monthly report requires manual re-entry of dates</w:t>
            </w:r>
          </w:p>
        </w:tc>
        <w:tc>
          <w:tcPr>
            <w:tcW w:type="dxa" w:w="4819"/>
            <w:shd w:val="clear" w:color="auto" w:fill="FFFFFF"/>
            <w:vAlign w:val="center"/>
          </w:tcPr>
          <w:p>
            <w:pPr>
              <w:spacing w:before="40" w:after="40"/>
            </w:pPr>
            <w:r>
              <w:rPr>
                <w:rFonts w:ascii="Calibri" w:hAnsi="Calibri"/>
                <w:b w:val="0"/>
                <w:i w:val="0"/>
                <w:color w:val="1A1A1A"/>
                <w:sz w:val="19"/>
              </w:rPr>
              <w:t>All dates auto-calculated from today at script run time</w:t>
            </w:r>
          </w:p>
        </w:tc>
      </w:tr>
      <w:tr>
        <w:tc>
          <w:tcPr>
            <w:tcW w:type="dxa" w:w="4819"/>
            <w:shd w:val="clear" w:color="auto" w:fill="E8F0FA"/>
            <w:vAlign w:val="center"/>
          </w:tcPr>
          <w:p>
            <w:pPr>
              <w:spacing w:before="40" w:after="40"/>
            </w:pPr>
            <w:r>
              <w:rPr>
                <w:rFonts w:ascii="Calibri" w:hAnsi="Calibri"/>
                <w:b/>
                <w:i w:val="0"/>
                <w:color w:val="003B6E"/>
                <w:sz w:val="19"/>
              </w:rPr>
              <w:t>Audit trail is 'email thread + shared folder'</w:t>
            </w:r>
          </w:p>
        </w:tc>
        <w:tc>
          <w:tcPr>
            <w:tcW w:type="dxa" w:w="4819"/>
            <w:shd w:val="clear" w:color="auto" w:fill="E8F0FA"/>
            <w:vAlign w:val="center"/>
          </w:tcPr>
          <w:p>
            <w:pPr>
              <w:spacing w:before="40" w:after="40"/>
            </w:pPr>
            <w:r>
              <w:rPr>
                <w:rFonts w:ascii="Calibri" w:hAnsi="Calibri"/>
                <w:b w:val="0"/>
                <w:i w:val="0"/>
                <w:color w:val="1A1A1A"/>
                <w:sz w:val="19"/>
              </w:rPr>
              <w:t>Full Git commit history — who, what, when, under what instruction</w:t>
            </w:r>
          </w:p>
        </w:tc>
      </w:tr>
    </w:tbl>
    <w:p/>
    <w:p>
      <w:pPr>
        <w:spacing w:before="360" w:after="120"/>
        <w:pBdr>
          <w:bottom w:val="single" w:sz="8" w:space="1" w:color="003b6e"/>
        </w:pBdr>
      </w:pPr>
      <w:r>
        <w:rPr>
          <w:rFonts w:ascii="Calibri" w:hAnsi="Calibri"/>
          <w:b/>
          <w:i w:val="0"/>
          <w:color w:val="0066CC"/>
          <w:sz w:val="26"/>
        </w:rPr>
        <w:t xml:space="preserve">05  </w:t>
      </w:r>
      <w:r>
        <w:rPr>
          <w:rFonts w:ascii="Calibri" w:hAnsi="Calibri"/>
          <w:b/>
          <w:i w:val="0"/>
          <w:color w:val="003B6E"/>
          <w:sz w:val="26"/>
        </w:rPr>
        <w:t>THE DELIVERABLES: WHAT GETS GENERATED</w:t>
      </w:r>
    </w:p>
    <w:p>
      <w:pPr>
        <w:spacing w:before="0" w:after="100"/>
        <w:jc w:val="both"/>
      </w:pPr>
      <w:r>
        <w:rPr>
          <w:rFonts w:ascii="Calibri" w:hAnsi="Calibri"/>
          <w:b w:val="0"/>
          <w:i w:val="0"/>
          <w:color w:val="1A1A1A"/>
          <w:sz w:val="21"/>
        </w:rPr>
        <w:t>The system generates seven mandatory deliverables, in a fixed dependency sequence. No deliverable can be generated before its predecessors are confirmed — this enforcement is built into the AI instruction layer, not left to the PM's discretion.</w:t>
      </w:r>
    </w:p>
    <w:p>
      <w:pPr>
        <w:spacing w:before="200" w:after="80"/>
      </w:pPr>
      <w:r>
        <w:rPr>
          <w:rFonts w:ascii="Calibri" w:hAnsi="Calibri"/>
          <w:b/>
          <w:i w:val="0"/>
          <w:color w:val="005199"/>
          <w:sz w:val="22"/>
        </w:rPr>
        <w:t>1. Project Schedule — CSV + Microsoft Project XML</w:t>
      </w:r>
    </w:p>
    <w:p>
      <w:pPr>
        <w:spacing w:before="0" w:after="100"/>
        <w:jc w:val="both"/>
      </w:pPr>
      <w:r>
        <w:rPr>
          <w:rFonts w:ascii="Calibri" w:hAnsi="Calibri"/>
          <w:b w:val="0"/>
          <w:i w:val="0"/>
          <w:color w:val="1A1A1A"/>
          <w:sz w:val="21"/>
        </w:rPr>
        <w:t>The foundation of all downstream deliverables. Built on Bosch's standard 5-phase framework (Initialization → Concept → Development &amp; Build → Testing &amp; Cutover → GoLive &amp; Hypercare) with QG0 through QG5 milestone gates. Delivered in both human-readable CSV and MSPDI XML format — importable directly into Microsoft Project with all task dates preserved exactly as authored.</w:t>
      </w:r>
    </w:p>
    <w:p>
      <w:pPr>
        <w:spacing w:before="200" w:after="80"/>
      </w:pPr>
      <w:r>
        <w:rPr>
          <w:rFonts w:ascii="Calibri" w:hAnsi="Calibri"/>
          <w:b/>
          <w:i w:val="0"/>
          <w:color w:val="005199"/>
          <w:sz w:val="22"/>
        </w:rPr>
        <w:t>2. Risk Register — Excel (.xlsx)</w:t>
      </w:r>
    </w:p>
    <w:p>
      <w:pPr>
        <w:spacing w:before="0" w:after="100"/>
        <w:jc w:val="both"/>
      </w:pPr>
      <w:r>
        <w:rPr>
          <w:rFonts w:ascii="Calibri" w:hAnsi="Calibri"/>
          <w:b w:val="0"/>
          <w:i w:val="0"/>
          <w:color w:val="1A1A1A"/>
          <w:sz w:val="21"/>
        </w:rPr>
        <w:t>Generated from the authoritative Risk_analysis_template.xlsx with all 8 Bosch risk categories (Schedule, Scope, Resource, Budget, Quality, Business, Legal, Compliance), Probability × Impact scoring (1–5 scale), mitigation actions, owners, and target dates. High-priority risks (P×I ≥ 12) are flagged automatically.</w:t>
      </w:r>
    </w:p>
    <w:p>
      <w:pPr>
        <w:spacing w:before="200" w:after="80"/>
      </w:pPr>
      <w:r>
        <w:rPr>
          <w:rFonts w:ascii="Calibri" w:hAnsi="Calibri"/>
          <w:b/>
          <w:i w:val="0"/>
          <w:color w:val="005199"/>
          <w:sz w:val="22"/>
        </w:rPr>
        <w:t>3. IT Labour Cost Plan — CSV</w:t>
      </w:r>
    </w:p>
    <w:p>
      <w:pPr>
        <w:spacing w:before="0" w:after="100"/>
        <w:jc w:val="both"/>
      </w:pPr>
      <w:r>
        <w:rPr>
          <w:rFonts w:ascii="Calibri" w:hAnsi="Calibri"/>
          <w:b w:val="0"/>
          <w:i w:val="0"/>
          <w:color w:val="1A1A1A"/>
          <w:sz w:val="21"/>
        </w:rPr>
        <w:t>A structured cost breakdown derived from schedule resource assignments, with category subtotals, phase breakdown, and CAPEX/contingency lines cross-referenced to the risk register. All three components — schedule, risk register, and resource names — are verified for consistency before any cost figure is written.</w:t>
      </w:r>
    </w:p>
    <w:p>
      <w:pPr>
        <w:spacing w:before="200" w:after="80"/>
      </w:pPr>
      <w:r>
        <w:rPr>
          <w:rFonts w:ascii="Calibri" w:hAnsi="Calibri"/>
          <w:b/>
          <w:i w:val="0"/>
          <w:color w:val="005199"/>
          <w:sz w:val="22"/>
        </w:rPr>
        <w:t>4. Project Charter — Self-Contained HTML</w:t>
      </w:r>
    </w:p>
    <w:p>
      <w:pPr>
        <w:spacing w:before="0" w:after="100"/>
        <w:jc w:val="both"/>
      </w:pPr>
      <w:r>
        <w:rPr>
          <w:rFonts w:ascii="Calibri" w:hAnsi="Calibri"/>
          <w:b w:val="0"/>
          <w:i w:val="0"/>
          <w:color w:val="1A1A1A"/>
          <w:sz w:val="21"/>
        </w:rPr>
        <w:t>A governance document presenting scope, timeline, budget baseline, quality gate criteria, key parties, and programme assumptions. Includes embedded Bosch logo. Self-contained — no external links — so it renders correctly in SharePoint, email clients, and offline environments.</w:t>
      </w:r>
    </w:p>
    <w:p>
      <w:pPr>
        <w:spacing w:before="200" w:after="80"/>
      </w:pPr>
      <w:r>
        <w:rPr>
          <w:rFonts w:ascii="Calibri" w:hAnsi="Calibri"/>
          <w:b/>
          <w:i w:val="0"/>
          <w:color w:val="005199"/>
          <w:sz w:val="22"/>
        </w:rPr>
        <w:t>5. Executive Dashboard — Self-Contained HTML (3-Page A4)</w:t>
      </w:r>
    </w:p>
    <w:p>
      <w:pPr>
        <w:spacing w:before="0" w:after="100"/>
        <w:jc w:val="both"/>
      </w:pPr>
      <w:r>
        <w:rPr>
          <w:rFonts w:ascii="Calibri" w:hAnsi="Calibri"/>
          <w:b w:val="0"/>
          <w:i w:val="0"/>
          <w:color w:val="1A1A1A"/>
          <w:sz w:val="21"/>
        </w:rPr>
        <w:t>A strategic programme overview including: countdown to key events, phase timeline, milestones and QG table, budget distribution, workstream confidence grid (9 workstreams), quality gate tracker, regional site distribution, risk indicators, application migration waves, country complexity hotspots, and critical path. Blue-primary Bosch theme. Print-ready — PDF output from browser in one click.</w:t>
      </w:r>
    </w:p>
    <w:p>
      <w:pPr>
        <w:spacing w:before="200" w:after="80"/>
      </w:pPr>
      <w:r>
        <w:rPr>
          <w:rFonts w:ascii="Calibri" w:hAnsi="Calibri"/>
          <w:b/>
          <w:i w:val="0"/>
          <w:color w:val="005199"/>
          <w:sz w:val="22"/>
        </w:rPr>
        <w:t>6. Management KPI Dashboard — Self-Contained HTML</w:t>
      </w:r>
    </w:p>
    <w:p>
      <w:pPr>
        <w:spacing w:before="0" w:after="100"/>
        <w:jc w:val="both"/>
      </w:pPr>
      <w:r>
        <w:rPr>
          <w:rFonts w:ascii="Calibri" w:hAnsi="Calibri"/>
          <w:b w:val="0"/>
          <w:i w:val="0"/>
          <w:color w:val="1A1A1A"/>
          <w:sz w:val="21"/>
        </w:rPr>
        <w:t>The operational steering view for PMO and SteerCo. Twelve-column card grid with: SPI, CPI, Day-1 readiness score, TSA confidence, workstream confidence bars, milestone gate control timeline, top risk table, carve-out model key differences, and 90-day action forecast.</w:t>
      </w:r>
    </w:p>
    <w:p>
      <w:pPr>
        <w:spacing w:before="200" w:after="80"/>
      </w:pPr>
      <w:r>
        <w:rPr>
          <w:rFonts w:ascii="Calibri" w:hAnsi="Calibri"/>
          <w:b/>
          <w:i w:val="0"/>
          <w:color w:val="005199"/>
          <w:sz w:val="22"/>
        </w:rPr>
        <w:t>7. Monthly Status Report — PDF</w:t>
      </w:r>
    </w:p>
    <w:p>
      <w:pPr>
        <w:spacing w:before="0" w:after="100"/>
        <w:jc w:val="both"/>
      </w:pPr>
      <w:r>
        <w:rPr>
          <w:rFonts w:ascii="Calibri" w:hAnsi="Calibri"/>
          <w:b w:val="0"/>
          <w:i w:val="0"/>
          <w:color w:val="1A1A1A"/>
          <w:sz w:val="21"/>
        </w:rPr>
        <w:t>A single-page A4 report with programme overview, days-to-gate countdown, phase RAG statuses, risk summary, budget burn, and upcoming actions. Output filename auto-includes the current month and year — running the script on the first of each month produces a correctly-named report with all date calculations refreshed.</w:t>
      </w:r>
    </w:p>
    <w:p>
      <w:pPr>
        <w:spacing w:before="360" w:after="120"/>
        <w:pBdr>
          <w:bottom w:val="single" w:sz="8" w:space="1" w:color="003b6e"/>
        </w:pBdr>
      </w:pPr>
      <w:r>
        <w:rPr>
          <w:rFonts w:ascii="Calibri" w:hAnsi="Calibri"/>
          <w:b/>
          <w:i w:val="0"/>
          <w:color w:val="0066CC"/>
          <w:sz w:val="26"/>
        </w:rPr>
        <w:t xml:space="preserve">06  </w:t>
      </w:r>
      <w:r>
        <w:rPr>
          <w:rFonts w:ascii="Calibri" w:hAnsi="Calibri"/>
          <w:b/>
          <w:i w:val="0"/>
          <w:color w:val="003B6E"/>
          <w:sz w:val="26"/>
        </w:rPr>
        <w:t>THE PILOT PROGRAMME: MAY 2026 LAUNCH</w:t>
      </w:r>
    </w:p>
    <w:p>
      <w:pPr>
        <w:spacing w:before="0" w:after="100"/>
        <w:jc w:val="both"/>
      </w:pPr>
      <w:r>
        <w:rPr>
          <w:rFonts w:ascii="Calibri" w:hAnsi="Calibri"/>
          <w:b w:val="0"/>
          <w:i w:val="0"/>
          <w:color w:val="1A1A1A"/>
          <w:sz w:val="21"/>
        </w:rPr>
        <w:t>The AI-Assisted Project Management Toolkit has been developed and validated through a series of internal carve-out engagements, running in parallel as a shadow delivery track alongside the conventional approach. The pilot produced complete, consistent deliverable sets that passed internal methodology review — in multiple different carve-out contexts ranging from small JV separations to large multi-site Stand Alone programmes.</w:t>
      </w:r>
    </w:p>
    <w:tbl>
      <w:tblPr>
        <w:tblW w:type="auto" w:w="0"/>
        <w:tblLook w:firstColumn="1" w:firstRow="1" w:lastColumn="0" w:lastRow="0" w:noHBand="0" w:noVBand="1" w:val="04A0"/>
        <w:jc w:val="center"/>
        <w:tblBorders>
          <w:top w:val="single" w:sz="4" w:space="0" w:color="0066CC"/>
          <w:left w:val="single" w:sz="4" w:space="0" w:color="0066CC"/>
          <w:bottom w:val="single" w:sz="4" w:space="0" w:color="0066CC"/>
          <w:right w:val="single" w:sz="4" w:space="0" w:color="0066CC"/>
          <w:insideH w:val="single" w:sz="4" w:space="0" w:color="0066CC"/>
          <w:insideV w:val="single" w:sz="4" w:space="0" w:color="0066CC"/>
        </w:tblBorders>
      </w:tblPr>
      <w:tblGrid>
        <w:gridCol w:w="9406"/>
      </w:tblGrid>
      <w:tr>
        <w:tc>
          <w:tcPr>
            <w:tcW w:type="dxa" w:w="9071"/>
            <w:shd w:val="clear" w:color="auto" w:fill="E8F0FA"/>
          </w:tcPr>
          <w:p>
            <w:pPr>
              <w:spacing w:before="80" w:after="40"/>
            </w:pPr>
            <w:r>
              <w:rPr>
                <w:rFonts w:ascii="Calibri" w:hAnsi="Calibri"/>
                <w:b/>
                <w:i w:val="0"/>
                <w:color w:val="003B6E"/>
                <w:sz w:val="18"/>
              </w:rPr>
              <w:t>PILOT PROGRAMME — KEY FACTS</w:t>
            </w:r>
          </w:p>
          <w:p>
            <w:pPr>
              <w:spacing w:before="20" w:after="20"/>
              <w:ind w:left="170"/>
            </w:pPr>
            <w:r>
              <w:rPr>
                <w:rFonts w:ascii="Calibri" w:hAnsi="Calibri"/>
                <w:b/>
                <w:i w:val="0"/>
                <w:color w:val="1A1A1A"/>
                <w:sz w:val="20"/>
              </w:rPr>
              <w:t>Launch month:  May 2026</w:t>
            </w:r>
          </w:p>
          <w:p>
            <w:pPr>
              <w:spacing w:before="20" w:after="20"/>
              <w:ind w:left="170"/>
            </w:pPr>
            <w:r>
              <w:rPr>
                <w:rFonts w:ascii="Calibri" w:hAnsi="Calibri"/>
                <w:b/>
                <w:i w:val="0"/>
                <w:color w:val="1A1A1A"/>
                <w:sz w:val="20"/>
              </w:rPr>
              <w:t>Scope:  Active MIL IT carve-out engagements nominated for the pilot</w:t>
            </w:r>
          </w:p>
          <w:p>
            <w:pPr>
              <w:spacing w:before="20" w:after="20"/>
              <w:ind w:left="170"/>
            </w:pPr>
            <w:r>
              <w:rPr>
                <w:rFonts w:ascii="Calibri" w:hAnsi="Calibri"/>
                <w:b/>
                <w:i w:val="0"/>
                <w:color w:val="1A1A1A"/>
                <w:sz w:val="20"/>
              </w:rPr>
              <w:t>Model:  AI-generated deliverables as the primary production method, reviewed and approved by the PM before submission</w:t>
            </w:r>
          </w:p>
          <w:p>
            <w:pPr>
              <w:spacing w:before="20" w:after="20"/>
              <w:ind w:left="170"/>
            </w:pPr>
            <w:r>
              <w:rPr>
                <w:rFonts w:ascii="Calibri" w:hAnsi="Calibri"/>
                <w:b/>
                <w:i w:val="0"/>
                <w:color w:val="1A1A1A"/>
                <w:sz w:val="20"/>
              </w:rPr>
              <w:t>Governance:  All outputs committed to Bosch DevCloud Git repository with full timestamped audit trail</w:t>
            </w:r>
          </w:p>
          <w:p>
            <w:pPr>
              <w:spacing w:before="20" w:after="20"/>
              <w:ind w:left="170"/>
            </w:pPr>
            <w:r>
              <w:rPr>
                <w:rFonts w:ascii="Calibri" w:hAnsi="Calibri"/>
                <w:b/>
                <w:i w:val="0"/>
                <w:color w:val="1A1A1A"/>
                <w:sz w:val="20"/>
              </w:rPr>
              <w:t>Platform:  GitHub Copilot (Claude Sonnet 4.6) · VS Code Agent mode · Python 3 generator scripts</w:t>
            </w:r>
          </w:p>
          <w:p>
            <w:pPr>
              <w:spacing w:before="20" w:after="20"/>
              <w:ind w:left="170"/>
            </w:pPr>
            <w:r>
              <w:rPr>
                <w:rFonts w:ascii="Calibri" w:hAnsi="Calibri"/>
                <w:b/>
                <w:i w:val="0"/>
                <w:color w:val="1A1A1A"/>
                <w:sz w:val="20"/>
              </w:rPr>
              <w:t>Success criteria:  Document accuracy, consistency, PM effort reduction, stakeholder acceptance at QG0 / QG1</w:t>
            </w:r>
          </w:p>
        </w:tc>
      </w:tr>
    </w:tbl>
    <w:p/>
    <w:p>
      <w:pPr>
        <w:spacing w:before="200" w:after="80"/>
      </w:pPr>
      <w:r>
        <w:rPr>
          <w:rFonts w:ascii="Calibri" w:hAnsi="Calibri"/>
          <w:b/>
          <w:i w:val="0"/>
          <w:color w:val="005199"/>
          <w:sz w:val="22"/>
        </w:rPr>
        <w:t>How the Pilot Works in Practice</w:t>
      </w:r>
    </w:p>
    <w:p>
      <w:pPr>
        <w:spacing w:before="0" w:after="100"/>
        <w:jc w:val="both"/>
      </w:pPr>
      <w:r>
        <w:rPr>
          <w:rFonts w:ascii="Calibri" w:hAnsi="Calibri"/>
          <w:b w:val="0"/>
          <w:i w:val="0"/>
          <w:color w:val="1A1A1A"/>
          <w:sz w:val="21"/>
        </w:rPr>
        <w:t>A project manager opens the workspace in VS Code and invokes Copilot in Agent mode with a simple request: 'Generate the full initial deliverable set for this engagement.' The AI applies the compliance gate, asks for any missing parameters, generates each deliverable in sequence, performs all cross-checks, and reports completion with file paths and generation times. The PM reviews the outputs, makes any judgment-level adjustments to tone or narrative, and commits the approved set to the repository.</w:t>
      </w:r>
    </w:p>
    <w:p>
      <w:pPr>
        <w:spacing w:before="0" w:after="100"/>
        <w:jc w:val="both"/>
      </w:pPr>
      <w:r>
        <w:rPr>
          <w:rFonts w:ascii="Calibri" w:hAnsi="Calibri"/>
          <w:b w:val="0"/>
          <w:i w:val="0"/>
          <w:color w:val="1A1A1A"/>
          <w:sz w:val="21"/>
        </w:rPr>
        <w:t>For monthly reporting, the PM runs the status report generator script — a single command — and receives a correctly dated, current-data PDF ready for distribution. All days-to-gate values, phase status calculations, and risk summaries update automatically from today's date.</w:t>
      </w:r>
    </w:p>
    <w:p>
      <w:pPr>
        <w:spacing w:before="200" w:after="80"/>
      </w:pPr>
      <w:r>
        <w:rPr>
          <w:rFonts w:ascii="Calibri" w:hAnsi="Calibri"/>
          <w:b/>
          <w:i w:val="0"/>
          <w:color w:val="005199"/>
          <w:sz w:val="22"/>
        </w:rPr>
        <w:t>What We Are Learning</w:t>
      </w:r>
    </w:p>
    <w:p>
      <w:pPr>
        <w:pStyle w:val="ListBullet"/>
        <w:spacing w:before="20" w:after="60"/>
        <w:ind w:left="454" w:hanging="227"/>
      </w:pPr>
      <w:r>
        <w:rPr>
          <w:rFonts w:ascii="Calibri" w:hAnsi="Calibri"/>
          <w:b w:val="0"/>
          <w:i w:val="0"/>
          <w:color w:val="1A1A1A"/>
          <w:sz w:val="21"/>
        </w:rPr>
        <w:t>Speed of adoption: How quickly can a PM with no prior AI tooling experience produce a complete deliverable set unassisted?</w:t>
      </w:r>
    </w:p>
    <w:p>
      <w:pPr>
        <w:pStyle w:val="ListBullet"/>
        <w:spacing w:before="20" w:after="60"/>
        <w:ind w:left="454" w:hanging="227"/>
      </w:pPr>
      <w:r>
        <w:rPr>
          <w:rFonts w:ascii="Calibri" w:hAnsi="Calibri"/>
          <w:b w:val="0"/>
          <w:i w:val="0"/>
          <w:color w:val="1A1A1A"/>
          <w:sz w:val="21"/>
        </w:rPr>
        <w:t>Review accuracy: What proportion of AI-generated content requires substantive correction vs. minor factual adjustment?</w:t>
      </w:r>
    </w:p>
    <w:p>
      <w:pPr>
        <w:pStyle w:val="ListBullet"/>
        <w:spacing w:before="20" w:after="60"/>
        <w:ind w:left="454" w:hanging="227"/>
      </w:pPr>
      <w:r>
        <w:rPr>
          <w:rFonts w:ascii="Calibri" w:hAnsi="Calibri"/>
          <w:b w:val="0"/>
          <w:i w:val="0"/>
          <w:color w:val="1A1A1A"/>
          <w:sz w:val="21"/>
        </w:rPr>
        <w:t>Stakeholder acceptance: Do QG0 and QG1 reviewers accept AI-generated documentation as methodologically sound?</w:t>
      </w:r>
    </w:p>
    <w:p>
      <w:pPr>
        <w:pStyle w:val="ListBullet"/>
        <w:spacing w:before="20" w:after="60"/>
        <w:ind w:left="454" w:hanging="227"/>
      </w:pPr>
      <w:r>
        <w:rPr>
          <w:rFonts w:ascii="Calibri" w:hAnsi="Calibri"/>
          <w:b w:val="0"/>
          <w:i w:val="0"/>
          <w:color w:val="1A1A1A"/>
          <w:sz w:val="21"/>
        </w:rPr>
        <w:t>Consistency over time: Does the AI maintain cross-document consistency across multiple revision cycles during the engagement?</w:t>
      </w:r>
    </w:p>
    <w:p>
      <w:pPr>
        <w:pStyle w:val="ListBullet"/>
        <w:spacing w:before="20" w:after="60"/>
        <w:ind w:left="454" w:hanging="227"/>
      </w:pPr>
      <w:r>
        <w:rPr>
          <w:rFonts w:ascii="Calibri" w:hAnsi="Calibri"/>
          <w:b w:val="0"/>
          <w:i w:val="0"/>
          <w:color w:val="1A1A1A"/>
          <w:sz w:val="21"/>
        </w:rPr>
        <w:t>Memory effectiveness: Does the three-tier memory system successfully prevent regression to previously resolved issues?</w:t>
      </w:r>
    </w:p>
    <w:p>
      <w:pPr>
        <w:spacing w:before="360" w:after="120"/>
        <w:pBdr>
          <w:bottom w:val="single" w:sz="8" w:space="1" w:color="003b6e"/>
        </w:pBdr>
      </w:pPr>
      <w:r>
        <w:rPr>
          <w:rFonts w:ascii="Calibri" w:hAnsi="Calibri"/>
          <w:b/>
          <w:i w:val="0"/>
          <w:color w:val="0066CC"/>
          <w:sz w:val="26"/>
        </w:rPr>
        <w:t xml:space="preserve">07  </w:t>
      </w:r>
      <w:r>
        <w:rPr>
          <w:rFonts w:ascii="Calibri" w:hAnsi="Calibri"/>
          <w:b/>
          <w:i w:val="0"/>
          <w:color w:val="003B6E"/>
          <w:sz w:val="26"/>
        </w:rPr>
        <w:t>LOOKING AHEAD: THE EVOLVING AI DELIVERY PLATFORM</w:t>
      </w:r>
    </w:p>
    <w:p>
      <w:pPr>
        <w:spacing w:before="0" w:after="100"/>
        <w:jc w:val="both"/>
      </w:pPr>
      <w:r>
        <w:rPr>
          <w:rFonts w:ascii="Calibri" w:hAnsi="Calibri"/>
          <w:b w:val="0"/>
          <w:i w:val="0"/>
          <w:color w:val="1A1A1A"/>
          <w:sz w:val="21"/>
        </w:rPr>
        <w:t>The pilot is the first step in a broader vision: an AI delivery platform for Bosch MIL that continuously improves with each engagement, scales across the practice, and eventually supports the full delivery lifecycle — not just the mobilisation phase.</w:t>
      </w:r>
    </w:p>
    <w:tbl>
      <w:tblPr>
        <w:tblW w:type="auto" w:w="0"/>
        <w:tblLook w:firstColumn="1" w:firstRow="1" w:lastColumn="0" w:lastRow="0" w:noHBand="0" w:noVBand="1" w:val="04A0"/>
        <w:tblBorders>
          <w:top w:val="single" w:sz="4" w:space="0" w:color="0066CC"/>
          <w:left w:val="single" w:sz="4" w:space="0" w:color="0066CC"/>
          <w:bottom w:val="single" w:sz="4" w:space="0" w:color="0066CC"/>
          <w:right w:val="single" w:sz="4" w:space="0" w:color="0066CC"/>
          <w:insideH w:val="single" w:sz="4" w:space="0" w:color="0066CC"/>
          <w:insideV w:val="single" w:sz="4" w:space="0" w:color="0066CC"/>
        </w:tblBorders>
      </w:tblPr>
      <w:tblGrid>
        <w:gridCol w:w="3135"/>
        <w:gridCol w:w="3135"/>
        <w:gridCol w:w="3135"/>
      </w:tblGrid>
      <w:tr>
        <w:tc>
          <w:tcPr>
            <w:tcW w:type="dxa" w:w="2551"/>
            <w:shd w:val="clear" w:color="auto" w:fill="003B6E"/>
            <w:vAlign w:val="center"/>
          </w:tcPr>
          <w:p>
            <w:pPr>
              <w:spacing w:before="60" w:after="60"/>
            </w:pPr>
            <w:r>
              <w:rPr>
                <w:rFonts w:ascii="Calibri" w:hAnsi="Calibri"/>
                <w:b/>
                <w:i w:val="0"/>
                <w:color w:val="FFFFFF"/>
                <w:sz w:val="18"/>
              </w:rPr>
              <w:t>Capability</w:t>
            </w:r>
          </w:p>
        </w:tc>
        <w:tc>
          <w:tcPr>
            <w:tcW w:type="dxa" w:w="5102"/>
            <w:shd w:val="clear" w:color="auto" w:fill="003B6E"/>
            <w:vAlign w:val="center"/>
          </w:tcPr>
          <w:p>
            <w:pPr>
              <w:spacing w:before="60" w:after="60"/>
            </w:pPr>
            <w:r>
              <w:rPr>
                <w:rFonts w:ascii="Calibri" w:hAnsi="Calibri"/>
                <w:b/>
                <w:i w:val="0"/>
                <w:color w:val="FFFFFF"/>
                <w:sz w:val="18"/>
              </w:rPr>
              <w:t>Description</w:t>
            </w:r>
          </w:p>
        </w:tc>
        <w:tc>
          <w:tcPr>
            <w:tcW w:type="dxa" w:w="1984"/>
            <w:shd w:val="clear" w:color="auto" w:fill="003B6E"/>
            <w:vAlign w:val="center"/>
          </w:tcPr>
          <w:p>
            <w:pPr>
              <w:spacing w:before="60" w:after="60"/>
            </w:pPr>
            <w:r>
              <w:rPr>
                <w:rFonts w:ascii="Calibri" w:hAnsi="Calibri"/>
                <w:b/>
                <w:i w:val="0"/>
                <w:color w:val="FFFFFF"/>
                <w:sz w:val="18"/>
              </w:rPr>
              <w:t>Timeline</w:t>
            </w:r>
          </w:p>
        </w:tc>
      </w:tr>
      <w:tr>
        <w:tc>
          <w:tcPr>
            <w:tcW w:type="dxa" w:w="2551"/>
            <w:shd w:val="clear" w:color="auto" w:fill="E8F0FA"/>
            <w:vAlign w:val="center"/>
          </w:tcPr>
          <w:p>
            <w:pPr>
              <w:spacing w:before="40" w:after="40"/>
            </w:pPr>
            <w:r>
              <w:rPr>
                <w:rFonts w:ascii="Calibri" w:hAnsi="Calibri"/>
                <w:b/>
                <w:i w:val="0"/>
                <w:color w:val="003B6E"/>
                <w:sz w:val="19"/>
              </w:rPr>
              <w:t>Dashboard auto-refresh</w:t>
            </w:r>
          </w:p>
        </w:tc>
        <w:tc>
          <w:tcPr>
            <w:tcW w:type="dxa" w:w="5102"/>
            <w:shd w:val="clear" w:color="auto" w:fill="E8F0FA"/>
            <w:vAlign w:val="center"/>
          </w:tcPr>
          <w:p>
            <w:pPr>
              <w:spacing w:before="40" w:after="40"/>
            </w:pPr>
            <w:r>
              <w:rPr>
                <w:rFonts w:ascii="Calibri" w:hAnsi="Calibri"/>
                <w:b w:val="0"/>
                <w:i w:val="0"/>
                <w:color w:val="1A1A1A"/>
                <w:sz w:val="19"/>
              </w:rPr>
              <w:t>Scripts that read live progress data and regenerate dashboards automatically for weekly status cycles</w:t>
            </w:r>
          </w:p>
        </w:tc>
        <w:tc>
          <w:tcPr>
            <w:tcW w:type="dxa" w:w="1984"/>
            <w:shd w:val="clear" w:color="auto" w:fill="E8F0FA"/>
            <w:vAlign w:val="center"/>
          </w:tcPr>
          <w:p>
            <w:pPr>
              <w:spacing w:before="40" w:after="40"/>
            </w:pPr>
            <w:r>
              <w:rPr>
                <w:rFonts w:ascii="Calibri" w:hAnsi="Calibri"/>
                <w:b w:val="0"/>
                <w:i w:val="0"/>
                <w:color w:val="1A1A1A"/>
                <w:sz w:val="19"/>
              </w:rPr>
              <w:t>Q3 2026</w:t>
            </w:r>
          </w:p>
        </w:tc>
      </w:tr>
      <w:tr>
        <w:tc>
          <w:tcPr>
            <w:tcW w:type="dxa" w:w="2551"/>
            <w:shd w:val="clear" w:color="auto" w:fill="FFFFFF"/>
            <w:vAlign w:val="center"/>
          </w:tcPr>
          <w:p>
            <w:pPr>
              <w:spacing w:before="40" w:after="40"/>
            </w:pPr>
            <w:r>
              <w:rPr>
                <w:rFonts w:ascii="Calibri" w:hAnsi="Calibri"/>
                <w:b/>
                <w:i w:val="0"/>
                <w:color w:val="003B6E"/>
                <w:sz w:val="19"/>
              </w:rPr>
              <w:t>Deliverable diff reporting</w:t>
            </w:r>
          </w:p>
        </w:tc>
        <w:tc>
          <w:tcPr>
            <w:tcW w:type="dxa" w:w="5102"/>
            <w:shd w:val="clear" w:color="auto" w:fill="FFFFFF"/>
            <w:vAlign w:val="center"/>
          </w:tcPr>
          <w:p>
            <w:pPr>
              <w:spacing w:before="40" w:after="40"/>
            </w:pPr>
            <w:r>
              <w:rPr>
                <w:rFonts w:ascii="Calibri" w:hAnsi="Calibri"/>
                <w:b w:val="0"/>
                <w:i w:val="0"/>
                <w:color w:val="1A1A1A"/>
                <w:sz w:val="19"/>
              </w:rPr>
              <w:t>AI comparison of two schedule or cost plan versions, generating a change-control summary for SteerCo</w:t>
            </w:r>
          </w:p>
        </w:tc>
        <w:tc>
          <w:tcPr>
            <w:tcW w:type="dxa" w:w="1984"/>
            <w:shd w:val="clear" w:color="auto" w:fill="FFFFFF"/>
            <w:vAlign w:val="center"/>
          </w:tcPr>
          <w:p>
            <w:pPr>
              <w:spacing w:before="40" w:after="40"/>
            </w:pPr>
            <w:r>
              <w:rPr>
                <w:rFonts w:ascii="Calibri" w:hAnsi="Calibri"/>
                <w:b w:val="0"/>
                <w:i w:val="0"/>
                <w:color w:val="1A1A1A"/>
                <w:sz w:val="19"/>
              </w:rPr>
              <w:t>Q3 2026</w:t>
            </w:r>
          </w:p>
        </w:tc>
      </w:tr>
      <w:tr>
        <w:tc>
          <w:tcPr>
            <w:tcW w:type="dxa" w:w="2551"/>
            <w:shd w:val="clear" w:color="auto" w:fill="E8F0FA"/>
            <w:vAlign w:val="center"/>
          </w:tcPr>
          <w:p>
            <w:pPr>
              <w:spacing w:before="40" w:after="40"/>
            </w:pPr>
            <w:r>
              <w:rPr>
                <w:rFonts w:ascii="Calibri" w:hAnsi="Calibri"/>
                <w:b/>
                <w:i w:val="0"/>
                <w:color w:val="003B6E"/>
                <w:sz w:val="19"/>
              </w:rPr>
              <w:t>Portfolio view</w:t>
            </w:r>
          </w:p>
        </w:tc>
        <w:tc>
          <w:tcPr>
            <w:tcW w:type="dxa" w:w="5102"/>
            <w:shd w:val="clear" w:color="auto" w:fill="E8F0FA"/>
            <w:vAlign w:val="center"/>
          </w:tcPr>
          <w:p>
            <w:pPr>
              <w:spacing w:before="40" w:after="40"/>
            </w:pPr>
            <w:r>
              <w:rPr>
                <w:rFonts w:ascii="Calibri" w:hAnsi="Calibri"/>
                <w:b w:val="0"/>
                <w:i w:val="0"/>
                <w:color w:val="1A1A1A"/>
                <w:sz w:val="19"/>
              </w:rPr>
              <w:t>Aggregated multi-engagement dashboard showing status across all active MIL carve-outs from a single view</w:t>
            </w:r>
          </w:p>
        </w:tc>
        <w:tc>
          <w:tcPr>
            <w:tcW w:type="dxa" w:w="1984"/>
            <w:shd w:val="clear" w:color="auto" w:fill="E8F0FA"/>
            <w:vAlign w:val="center"/>
          </w:tcPr>
          <w:p>
            <w:pPr>
              <w:spacing w:before="40" w:after="40"/>
            </w:pPr>
            <w:r>
              <w:rPr>
                <w:rFonts w:ascii="Calibri" w:hAnsi="Calibri"/>
                <w:b w:val="0"/>
                <w:i w:val="0"/>
                <w:color w:val="1A1A1A"/>
                <w:sz w:val="19"/>
              </w:rPr>
              <w:t>Q4 2026</w:t>
            </w:r>
          </w:p>
        </w:tc>
      </w:tr>
      <w:tr>
        <w:tc>
          <w:tcPr>
            <w:tcW w:type="dxa" w:w="2551"/>
            <w:shd w:val="clear" w:color="auto" w:fill="FFFFFF"/>
            <w:vAlign w:val="center"/>
          </w:tcPr>
          <w:p>
            <w:pPr>
              <w:spacing w:before="40" w:after="40"/>
            </w:pPr>
            <w:r>
              <w:rPr>
                <w:rFonts w:ascii="Calibri" w:hAnsi="Calibri"/>
                <w:b/>
                <w:i w:val="0"/>
                <w:color w:val="003B6E"/>
                <w:sz w:val="19"/>
              </w:rPr>
              <w:t>Natural language status updates</w:t>
            </w:r>
          </w:p>
        </w:tc>
        <w:tc>
          <w:tcPr>
            <w:tcW w:type="dxa" w:w="5102"/>
            <w:shd w:val="clear" w:color="auto" w:fill="FFFFFF"/>
            <w:vAlign w:val="center"/>
          </w:tcPr>
          <w:p>
            <w:pPr>
              <w:spacing w:before="40" w:after="40"/>
            </w:pPr>
            <w:r>
              <w:rPr>
                <w:rFonts w:ascii="Calibri" w:hAnsi="Calibri"/>
                <w:b w:val="0"/>
                <w:i w:val="0"/>
                <w:color w:val="1A1A1A"/>
                <w:sz w:val="19"/>
              </w:rPr>
              <w:t>PM types a status narrative; AI propagates updates to all relevant fields in report and dashboards</w:t>
            </w:r>
          </w:p>
        </w:tc>
        <w:tc>
          <w:tcPr>
            <w:tcW w:type="dxa" w:w="1984"/>
            <w:shd w:val="clear" w:color="auto" w:fill="FFFFFF"/>
            <w:vAlign w:val="center"/>
          </w:tcPr>
          <w:p>
            <w:pPr>
              <w:spacing w:before="40" w:after="40"/>
            </w:pPr>
            <w:r>
              <w:rPr>
                <w:rFonts w:ascii="Calibri" w:hAnsi="Calibri"/>
                <w:b w:val="0"/>
                <w:i w:val="0"/>
                <w:color w:val="1A1A1A"/>
                <w:sz w:val="19"/>
              </w:rPr>
              <w:t>Q4 2026</w:t>
            </w:r>
          </w:p>
        </w:tc>
      </w:tr>
      <w:tr>
        <w:tc>
          <w:tcPr>
            <w:tcW w:type="dxa" w:w="2551"/>
            <w:shd w:val="clear" w:color="auto" w:fill="E8F0FA"/>
            <w:vAlign w:val="center"/>
          </w:tcPr>
          <w:p>
            <w:pPr>
              <w:spacing w:before="40" w:after="40"/>
            </w:pPr>
            <w:r>
              <w:rPr>
                <w:rFonts w:ascii="Calibri" w:hAnsi="Calibri"/>
                <w:b/>
                <w:i w:val="0"/>
                <w:color w:val="003B6E"/>
                <w:sz w:val="19"/>
              </w:rPr>
              <w:t>Quality gate checklist automation</w:t>
            </w:r>
          </w:p>
        </w:tc>
        <w:tc>
          <w:tcPr>
            <w:tcW w:type="dxa" w:w="5102"/>
            <w:shd w:val="clear" w:color="auto" w:fill="E8F0FA"/>
            <w:vAlign w:val="center"/>
          </w:tcPr>
          <w:p>
            <w:pPr>
              <w:spacing w:before="40" w:after="40"/>
            </w:pPr>
            <w:r>
              <w:rPr>
                <w:rFonts w:ascii="Calibri" w:hAnsi="Calibri"/>
                <w:b w:val="0"/>
                <w:i w:val="0"/>
                <w:color w:val="1A1A1A"/>
                <w:sz w:val="19"/>
              </w:rPr>
              <w:t>AI generates gate-readiness checklists from the schedule QG milestones and open high-priority risk register items</w:t>
            </w:r>
          </w:p>
        </w:tc>
        <w:tc>
          <w:tcPr>
            <w:tcW w:type="dxa" w:w="1984"/>
            <w:shd w:val="clear" w:color="auto" w:fill="E8F0FA"/>
            <w:vAlign w:val="center"/>
          </w:tcPr>
          <w:p>
            <w:pPr>
              <w:spacing w:before="40" w:after="40"/>
            </w:pPr>
            <w:r>
              <w:rPr>
                <w:rFonts w:ascii="Calibri" w:hAnsi="Calibri"/>
                <w:b w:val="0"/>
                <w:i w:val="0"/>
                <w:color w:val="1A1A1A"/>
                <w:sz w:val="19"/>
              </w:rPr>
              <w:t>Q1 2027</w:t>
            </w:r>
          </w:p>
        </w:tc>
      </w:tr>
      <w:tr>
        <w:tc>
          <w:tcPr>
            <w:tcW w:type="dxa" w:w="2551"/>
            <w:shd w:val="clear" w:color="auto" w:fill="FFFFFF"/>
            <w:vAlign w:val="center"/>
          </w:tcPr>
          <w:p>
            <w:pPr>
              <w:spacing w:before="40" w:after="40"/>
            </w:pPr>
            <w:r>
              <w:rPr>
                <w:rFonts w:ascii="Calibri" w:hAnsi="Calibri"/>
                <w:b/>
                <w:i w:val="0"/>
                <w:color w:val="003B6E"/>
                <w:sz w:val="19"/>
              </w:rPr>
              <w:t>Template versioning</w:t>
            </w:r>
          </w:p>
        </w:tc>
        <w:tc>
          <w:tcPr>
            <w:tcW w:type="dxa" w:w="5102"/>
            <w:shd w:val="clear" w:color="auto" w:fill="FFFFFF"/>
            <w:vAlign w:val="center"/>
          </w:tcPr>
          <w:p>
            <w:pPr>
              <w:spacing w:before="40" w:after="40"/>
            </w:pPr>
            <w:r>
              <w:rPr>
                <w:rFonts w:ascii="Calibri" w:hAnsi="Calibri"/>
                <w:b w:val="0"/>
                <w:i w:val="0"/>
                <w:color w:val="1A1A1A"/>
                <w:sz w:val="19"/>
              </w:rPr>
              <w:t>Formal versioning of all templates and layout specs; AI instructed to use the version tagged at engagement start</w:t>
            </w:r>
          </w:p>
        </w:tc>
        <w:tc>
          <w:tcPr>
            <w:tcW w:type="dxa" w:w="1984"/>
            <w:shd w:val="clear" w:color="auto" w:fill="FFFFFF"/>
            <w:vAlign w:val="center"/>
          </w:tcPr>
          <w:p>
            <w:pPr>
              <w:spacing w:before="40" w:after="40"/>
            </w:pPr>
            <w:r>
              <w:rPr>
                <w:rFonts w:ascii="Calibri" w:hAnsi="Calibri"/>
                <w:b w:val="0"/>
                <w:i w:val="0"/>
                <w:color w:val="1A1A1A"/>
                <w:sz w:val="19"/>
              </w:rPr>
              <w:t>Q1 2027</w:t>
            </w:r>
          </w:p>
        </w:tc>
      </w:tr>
    </w:tbl>
    <w:p/>
    <w:p>
      <w:pPr>
        <w:spacing w:before="0" w:after="100"/>
        <w:jc w:val="both"/>
      </w:pPr>
      <w:r>
        <w:rPr>
          <w:rFonts w:ascii="Calibri" w:hAnsi="Calibri"/>
          <w:b w:val="0"/>
          <w:i w:val="0"/>
          <w:color w:val="1A1A1A"/>
          <w:sz w:val="21"/>
        </w:rPr>
        <w:t>The longer-term vision is a practice where new MIL engagements are mobilised in hours, not days — where the AI handles the systematic application of methodology, and PMs and consultants focus entirely on the complex, judgement-intensive work that defines the value of experienced M&amp;A practitioners.</w:t>
      </w:r>
    </w:p>
    <w:p>
      <w:pPr>
        <w:spacing w:before="360" w:after="120"/>
        <w:pBdr>
          <w:bottom w:val="single" w:sz="8" w:space="1" w:color="003b6e"/>
        </w:pBdr>
      </w:pPr>
      <w:r>
        <w:rPr>
          <w:rFonts w:ascii="Calibri" w:hAnsi="Calibri"/>
          <w:b/>
          <w:i w:val="0"/>
          <w:color w:val="0066CC"/>
          <w:sz w:val="26"/>
        </w:rPr>
        <w:t xml:space="preserve">08  </w:t>
      </w:r>
      <w:r>
        <w:rPr>
          <w:rFonts w:ascii="Calibri" w:hAnsi="Calibri"/>
          <w:b/>
          <w:i w:val="0"/>
          <w:color w:val="003B6E"/>
          <w:sz w:val="26"/>
        </w:rPr>
        <w:t>CONCLUSION</w:t>
      </w:r>
    </w:p>
    <w:p>
      <w:pPr>
        <w:spacing w:before="0" w:after="100"/>
        <w:jc w:val="both"/>
      </w:pPr>
      <w:r>
        <w:rPr>
          <w:rFonts w:ascii="Calibri" w:hAnsi="Calibri"/>
          <w:b w:val="0"/>
          <w:i w:val="0"/>
          <w:color w:val="1A1A1A"/>
          <w:sz w:val="21"/>
        </w:rPr>
        <w:t>The Bosch MIL AI Project Management Toolkit is not a technology experiment. It is a practical solution to a real and recurring problem: the documentation burden that consumes expert time at the most critical phase of every IT carve-out engagement.</w:t>
      </w:r>
    </w:p>
    <w:p>
      <w:pPr>
        <w:spacing w:before="0" w:after="100"/>
        <w:jc w:val="both"/>
      </w:pPr>
      <w:r>
        <w:rPr>
          <w:rFonts w:ascii="Calibri" w:hAnsi="Calibri"/>
          <w:b w:val="0"/>
          <w:i w:val="0"/>
          <w:color w:val="1A1A1A"/>
          <w:sz w:val="21"/>
        </w:rPr>
        <w:t>By combining GitHub Copilot's AI reasoning with structured MIL methodology knowledge — encoded in skill files, enforced by guardrails, and accumulated in persistent memory — the system produces governance-quality deliverables that are faster to generate, more consistent across documents, more methodologically rigorous, and more auditable than their manually-produced equivalents.</w:t>
      </w:r>
    </w:p>
    <w:p>
      <w:pPr>
        <w:spacing w:before="0" w:after="100"/>
        <w:jc w:val="both"/>
      </w:pPr>
      <w:r>
        <w:rPr>
          <w:rFonts w:ascii="Calibri" w:hAnsi="Calibri"/>
          <w:b w:val="0"/>
          <w:i w:val="0"/>
          <w:color w:val="1A1A1A"/>
          <w:sz w:val="21"/>
        </w:rPr>
        <w:t>The pilot launching in May 2026 will test this in live engagement conditions. The architecture is built, the tools are validated, the methodology is encoded. What remains is to demonstrate — at scale, in real programmes — that autonomous AI can be a trusted, reliable, and transparent partner in M&amp;A project delivery.</w:t>
      </w:r>
    </w:p>
    <w:p>
      <w:pPr>
        <w:spacing w:before="0" w:after="100"/>
        <w:jc w:val="both"/>
      </w:pPr>
      <w:r>
        <w:rPr>
          <w:rFonts w:ascii="Calibri" w:hAnsi="Calibri"/>
          <w:b/>
          <w:i w:val="0"/>
          <w:color w:val="1A1A1A"/>
          <w:sz w:val="21"/>
        </w:rPr>
        <w:t xml:space="preserve">The construction is automated. The judgment remains human. </w:t>
      </w:r>
      <w:r>
        <w:rPr>
          <w:rFonts w:ascii="Calibri" w:hAnsi="Calibri"/>
          <w:b w:val="0"/>
          <w:i w:val="0"/>
          <w:color w:val="1A1A1A"/>
          <w:sz w:val="21"/>
        </w:rPr>
        <w:t>That is the right balance for where AI capability stands today — and it is the balance this toolkit is designed to preserve.</w:t>
      </w:r>
    </w:p>
    <w:p/>
    <w:p>
      <w:pPr>
        <w:spacing w:before="0" w:after="0"/>
        <w:pBdr>
          <w:bottom w:val="single" w:sz="8" w:space="0" w:color="0066CC"/>
        </w:pBdr>
      </w:pPr>
    </w:p>
    <w:p/>
    <w:tbl>
      <w:tblPr>
        <w:tblW w:type="auto" w:w="0"/>
        <w:tblLook w:firstColumn="1" w:firstRow="1" w:lastColumn="0" w:lastRow="0" w:noHBand="0" w:noVBand="1" w:val="04A0"/>
        <w:tblBorders>
          <w:top w:val="single" w:sz="4" w:space="0" w:color="CCDDEE"/>
          <w:left w:val="single" w:sz="4" w:space="0" w:color="CCDDEE"/>
          <w:bottom w:val="single" w:sz="4" w:space="0" w:color="CCDDEE"/>
          <w:right w:val="single" w:sz="4" w:space="0" w:color="CCDDEE"/>
          <w:insideH w:val="single" w:sz="4" w:space="0" w:color="CCDDEE"/>
          <w:insideV w:val="single" w:sz="4" w:space="0" w:color="CCDDEE"/>
        </w:tblBorders>
      </w:tblPr>
      <w:tblGrid>
        <w:gridCol w:w="3135"/>
        <w:gridCol w:w="3135"/>
        <w:gridCol w:w="3135"/>
      </w:tblGrid>
      <w:tr>
        <w:tc>
          <w:tcPr>
            <w:tcW w:type="dxa" w:w="2835"/>
            <w:shd w:val="clear" w:color="auto" w:fill="F4F6F9"/>
          </w:tcPr>
          <w:p>
            <w:pPr>
              <w:spacing w:before="80" w:after="80"/>
              <w:jc w:val="center"/>
            </w:pPr>
            <w:r>
              <w:rPr>
                <w:rFonts w:ascii="Calibri" w:hAnsi="Calibri"/>
                <w:b/>
                <w:i w:val="0"/>
                <w:color w:val="003B6E"/>
                <w:sz w:val="16"/>
              </w:rPr>
              <w:t>Practice</w:t>
              <w:br/>
            </w:r>
            <w:r>
              <w:rPr>
                <w:rFonts w:ascii="Calibri" w:hAnsi="Calibri"/>
                <w:b w:val="0"/>
                <w:i w:val="0"/>
                <w:color w:val="1A1A1A"/>
                <w:sz w:val="16"/>
              </w:rPr>
              <w:t>Bosch MIL — IT Strategy</w:t>
            </w:r>
          </w:p>
        </w:tc>
        <w:tc>
          <w:tcPr>
            <w:tcW w:type="dxa" w:w="3969"/>
            <w:shd w:val="clear" w:color="auto" w:fill="F4F6F9"/>
          </w:tcPr>
          <w:p>
            <w:pPr>
              <w:spacing w:before="80" w:after="80"/>
              <w:jc w:val="center"/>
            </w:pPr>
            <w:r>
              <w:rPr>
                <w:rFonts w:ascii="Calibri" w:hAnsi="Calibri"/>
                <w:b/>
                <w:i w:val="0"/>
                <w:color w:val="003B6E"/>
                <w:sz w:val="16"/>
              </w:rPr>
              <w:t>Platform</w:t>
              <w:br/>
            </w:r>
            <w:r>
              <w:rPr>
                <w:rFonts w:ascii="Calibri" w:hAnsi="Calibri"/>
                <w:b w:val="0"/>
                <w:i w:val="0"/>
                <w:color w:val="1A1A1A"/>
                <w:sz w:val="16"/>
              </w:rPr>
              <w:t>GitHub Copilot · VS Code · Claude Sonnet</w:t>
            </w:r>
          </w:p>
        </w:tc>
        <w:tc>
          <w:tcPr>
            <w:tcW w:type="dxa" w:w="2835"/>
            <w:shd w:val="clear" w:color="auto" w:fill="F4F6F9"/>
          </w:tcPr>
          <w:p>
            <w:pPr>
              <w:spacing w:before="80" w:after="80"/>
              <w:jc w:val="center"/>
            </w:pPr>
            <w:r>
              <w:rPr>
                <w:rFonts w:ascii="Calibri" w:hAnsi="Calibri"/>
                <w:b/>
                <w:i w:val="0"/>
                <w:color w:val="003B6E"/>
                <w:sz w:val="16"/>
              </w:rPr>
              <w:t>Pilot Launch</w:t>
              <w:br/>
            </w:r>
            <w:r>
              <w:rPr>
                <w:rFonts w:ascii="Calibri" w:hAnsi="Calibri"/>
                <w:b w:val="0"/>
                <w:i w:val="0"/>
                <w:color w:val="1A1A1A"/>
                <w:sz w:val="16"/>
              </w:rPr>
              <w:t>May 2026</w:t>
            </w:r>
          </w:p>
        </w:tc>
      </w:tr>
    </w:tbl>
    <w:p/>
    <w:p>
      <w:pPr>
        <w:spacing w:before="80" w:after="0"/>
        <w:jc w:val="center"/>
      </w:pPr>
      <w:r>
        <w:rPr>
          <w:rFonts w:ascii="Calibri" w:hAnsi="Calibri"/>
          <w:b w:val="0"/>
          <w:i/>
          <w:color w:val="555555"/>
          <w:sz w:val="16"/>
        </w:rPr>
        <w:t>© Bosch Group  ·  Internal  ·  Not for external distribution  ·  April 2026</w:t>
      </w:r>
    </w:p>
    <w:sectPr w:rsidR="00FC693F" w:rsidRPr="0006063C" w:rsidSect="00034616">
      <w:pgSz w:w="12240" w:h="15840"/>
      <w:pgMar w:top="1020"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