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34"/>
          <w:szCs w:val="34"/>
        </w:rPr>
        <w:t xml:space="preserve">Dustin Wijaya</w:t>
      </w:r>
    </w:p>
    <w:p>
      <w:pPr>
        <w:spacing w:after="55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Creative Director &amp; Marketing Lead</w:t>
      </w:r>
    </w:p>
    <w:p>
      <w:pPr>
        <w:spacing w:after="3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Dustinwijaya04@gmail.com</w:t>
      </w:r>
      <w:r>
        <w:rPr>
          <w:rFonts w:ascii="Calibri" w:cs="Calibri" w:eastAsia="Calibri" w:hAnsi="Calibri"/>
          <w:color w:val="9A9A9A"/>
          <w:sz w:val="17"/>
          <w:szCs w:val="17"/>
        </w:rPr>
        <w:t xml:space="preserve">   ·   +62 813-1408-5961   ·   Indonesia   ·   </w:t>
      </w:r>
      <w:hyperlink w:history="1" r:id="rId8yyipicdhr3ipk5z6etlu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linkedin.com/in/dustin-wijaya-924710216</w:t>
        </w:r>
      </w:hyperlink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SUMMARY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Creative Director at a specialty coffee company, running marketing end to end. Grew a personal content account from zero to 1M+ engagements through organic content alone. Own brand positioning, channel strategy and the full content pipeline from research question to published asset — concepting, scripting, editorial design and direction of external production. Build systems rather than one-off output: a documented evidence standard applied to every published claim, a repeatable script framework, and funnel-mapped programming reviewed weekly against a tracked performance dashboard.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EXPERIENCE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Creative Director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December 2024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Terroir Origin Indonesia (Terroir IDN) · Indonesia · On-site</w:t>
      </w:r>
    </w:p>
    <w:p>
      <w:pPr>
        <w:spacing w:after="7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Lead creative direction, marketing and the full content operation for a specialty coffee company.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Defined the brand positioning: an evidence-led specialty coffee brand that publishes its own sourcing and brewing research, competing on credibility rather than lifestyle marketing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Own marketing end to end — brand positioning, channel strategy, campaign planning and performance review across Instagram, TikTok and YouTube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Run funnel-mapped weekly programming at 3 top-of-funnel, 3 mid-funnel and 1 bottom-of-funnel pieces per week on a fixed publishing slot, reviewed weekly against a tracked performance dashboard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the content operation from zero: 16 researched series (148 designed assets) and 7 long-form video scripts on coffee science, sourced from peer-reviewed literature rather than secondary media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Set a three-tier evidence standard applied to every published claim — direct peer review, practitioner consensus, or manufacturer claim — now the brand’s core point of difference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Created a proprietary four-part script framework (Hook, Empathy, Content, Action) with the hook resolved before the eight-second mark, used across all long-form and short-form output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Direct an external video editor through annotated scripts with embedded graphics and sourced image briefs, reviewing cuts against the brand’s visual and editorial standard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Built an in-house editorial design system with a bilingual subtitle layer to extend reach to international audiences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Launched the company’s editorial blog as an owned marketing channel, researching and writing the founding 1,950-word article with 24 cited sources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Programme content around in-store events and guest barista takeovers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Content Creator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2022 – Present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Self-employed · Remote</w:t>
      </w:r>
    </w:p>
    <w:p>
      <w:pPr>
        <w:spacing w:after="70"/>
      </w:pPr>
      <w:r>
        <w:rPr>
          <w:rFonts w:ascii="Calibri" w:cs="Calibri" w:eastAsia="Calibri" w:hAnsi="Calibri"/>
          <w:color w:val="5A5A5A"/>
          <w:sz w:val="17"/>
          <w:szCs w:val="17"/>
        </w:rPr>
        <w:t xml:space="preserve">Instagram </w:t>
      </w:r>
      <w:hyperlink w:history="1" r:id="rIdoonr0s-xeghkyta6z1hy0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@dustinwijaya_</w:t>
        </w:r>
      </w:hyperlink>
      <w:r>
        <w:rPr>
          <w:rFonts w:ascii="Calibri" w:cs="Calibri" w:eastAsia="Calibri" w:hAnsi="Calibri"/>
          <w:color w:val="9A9A9A"/>
          <w:sz w:val="17"/>
          <w:szCs w:val="17"/>
        </w:rPr>
        <w:t xml:space="preserve">   ·   </w:t>
      </w:r>
      <w:r>
        <w:rPr>
          <w:rFonts w:ascii="Calibri" w:cs="Calibri" w:eastAsia="Calibri" w:hAnsi="Calibri"/>
          <w:color w:val="5A5A5A"/>
          <w:sz w:val="17"/>
          <w:szCs w:val="17"/>
        </w:rPr>
        <w:t xml:space="preserve">TikTok </w:t>
      </w:r>
      <w:hyperlink w:history="1" r:id="rId098o3egdooisunznqdis0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@dustinwijayaa</w:t>
        </w:r>
      </w:hyperlink>
      <w:r>
        <w:rPr>
          <w:rFonts w:ascii="Calibri" w:cs="Calibri" w:eastAsia="Calibri" w:hAnsi="Calibri"/>
          <w:color w:val="9A9A9A"/>
          <w:sz w:val="17"/>
          <w:szCs w:val="17"/>
        </w:rPr>
        <w:t xml:space="preserve">   ·   </w:t>
      </w:r>
      <w:r>
        <w:rPr>
          <w:rFonts w:ascii="Calibri" w:cs="Calibri" w:eastAsia="Calibri" w:hAnsi="Calibri"/>
          <w:color w:val="5A5A5A"/>
          <w:sz w:val="17"/>
          <w:szCs w:val="17"/>
        </w:rPr>
        <w:t xml:space="preserve">YouTube </w:t>
      </w:r>
      <w:hyperlink w:history="1" r:id="rIdcjpqcd0ujcn-rbohwzp4a">
        <w:r>
          <w:rPr>
            <w:rFonts w:ascii="Calibri" w:cs="Calibri" w:eastAsia="Calibri" w:hAnsi="Calibri"/>
            <w:color w:val="1155CC"/>
            <w:sz w:val="17"/>
            <w:szCs w:val="17"/>
            <w:u w:val="single"/>
          </w:rPr>
          <w:t xml:space="preserve">@dustinwijayaa</w:t>
        </w:r>
      </w:hyperlink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Grew the account from zero to 1M+ engagements through organic content alone, with no paid promotion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Attracted inbound brand partnership approaches on the strength of that organic reach, with brands citing the account’s soft-sell content style as the fit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Conceptualise, plan and produce video content for YouTube, TikTok and Instagram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 creative concepts, storyboards, scripts and production plans for video projects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 annotated production scripts with embedded graphics and sourced image briefs for handover to a video editor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Digital Marketing Specialist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Jan 2023 – Sep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Freelance ·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Conducted keyword research and analysis to identify relevant search terms, optimising website content, meta tags and link structures for improved organic search rankings and visibility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Developed brand strategy and positioning for clients, translating business goals into channel-level messaging and creative direction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Planned and produced digital marketing media across client channels — social posts, ad creative and landing page copy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Managed day-to-day social publishing and community engagement against a consistent content calendar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Ran competitor and audience research to identify content gaps and positioning opportunities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Set up campaign tracking and reported on traffic, engagement and conversion performance to steer the next cycle</w:t>
      </w:r>
    </w:p>
    <w:p>
      <w:pPr>
        <w:tabs>
          <w:tab w:val="right" w:pos="10240"/>
        </w:tabs>
        <w:spacing w:after="0" w:before="1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Assistant Vice President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Jun 2022 – Jan 2023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PT Sahabat Maju Jaya · Jakarta, Indonesia · On-site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Assisted the Vice President in designing and implementing strategic initiatives to meet company goals and objectives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Prepared business and financial reports, briefing materials and presentation decks for management review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Handled bookkeeping — recorded transactions, reconciled accounts and supported monthly and year-end financial reporting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Coordinated across departments to track progress against targets and escalated blockers to the Vice President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Supported budgeting and cost monitoring, flagging variances against plan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color w:val="2B2B2B"/>
          <w:sz w:val="19"/>
          <w:szCs w:val="19"/>
        </w:rPr>
        <w:t xml:space="preserve">Maintained company documentation and administrative records, keeping internal reporting and filings current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EDUCATION</w:t>
      </w:r>
    </w:p>
    <w:p>
      <w:pPr>
        <w:tabs>
          <w:tab w:val="right" w:pos="10240"/>
        </w:tabs>
        <w:spacing w:after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Bachelor’s Degree, Business, Management &amp; Marketing</w:t>
      </w:r>
      <w:r>
        <w:rPr>
          <w:rFonts w:ascii="Calibri" w:cs="Calibri" w:eastAsia="Calibri" w:hAnsi="Calibri"/>
          <w:color w:val="6B6B6B"/>
          <w:sz w:val="18"/>
          <w:szCs w:val="18"/>
        </w:rPr>
        <w:t xml:space="preserve">	2021 – 2024</w:t>
      </w:r>
    </w:p>
    <w:p>
      <w:pPr>
        <w:spacing w:after="65"/>
      </w:pPr>
      <w:r>
        <w:rPr>
          <w:rFonts w:ascii="Calibri" w:cs="Calibri" w:eastAsia="Calibri" w:hAnsi="Calibri"/>
          <w:color w:val="5A5A5A"/>
          <w:sz w:val="18"/>
          <w:szCs w:val="18"/>
        </w:rPr>
        <w:t xml:space="preserve">Bunda Mulia University · Jakarta, Indonesia · GPA 3.50 / 4.00</w:t>
      </w:r>
    </w:p>
    <w:p>
      <w:pPr>
        <w:pBdr>
          <w:bottom w:val="single" w:color="B8B8B8" w:sz="6" w:space="3"/>
        </w:pBdr>
        <w:spacing w:after="110" w:before="250"/>
      </w:pPr>
      <w:r>
        <w:rPr>
          <w:rFonts w:ascii="Calibri" w:cs="Calibri" w:eastAsia="Calibri" w:hAnsi="Calibri"/>
          <w:color w:val="6B6B6B"/>
          <w:spacing w:val="60"/>
          <w:sz w:val="17"/>
          <w:szCs w:val="17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Creative direction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concept development, editorial and visual direction, design systems, storyboarding, directing external editors and production partners, reviewing work to a defined standard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Content &amp; editorial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editorial systems design, evidence standards and source verification, research synthesis from primary literature, scripting, video production, content design, copywriting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Marketing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organic audience growth, brand positioning, channel strategy, campaign planning, funnel-based content programming, soft-sell and branded content, brand partnerships, SEO and keyword research, cross-platform performance analysis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Tools &amp; production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social-format design systems, explanatory graphics, bilingual subtitling, CMS-ready HTML publishing, version-controlled content repositories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Business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strategic planning support, business and financial reporting, budgeting and cost monitoring, bookkeeping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rFonts w:ascii="Calibri" w:cs="Calibri" w:eastAsia="Calibri" w:hAnsi="Calibri"/>
          <w:b/>
          <w:bCs/>
          <w:color w:val="2B2B2B"/>
          <w:sz w:val="19"/>
          <w:szCs w:val="19"/>
        </w:rPr>
        <w:t xml:space="preserve">Languages — </w:t>
      </w:r>
      <w:r>
        <w:rPr>
          <w:rFonts w:ascii="Calibri" w:cs="Calibri" w:eastAsia="Calibri" w:hAnsi="Calibri"/>
          <w:color w:val="2B2B2B"/>
          <w:sz w:val="19"/>
          <w:szCs w:val="19"/>
        </w:rPr>
        <w:t xml:space="preserve">Indonesian (native), English (professional working proficiency)</w:t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yyipicdhr3ipk5z6etlu" Type="http://schemas.openxmlformats.org/officeDocument/2006/relationships/hyperlink" Target="https://www.linkedin.com/in/dustin-wijaya-924710216/" TargetMode="External"/><Relationship Id="rIdoonr0s-xeghkyta6z1hy0" Type="http://schemas.openxmlformats.org/officeDocument/2006/relationships/hyperlink" Target="https://www.instagram.com/dustinwijaya_/" TargetMode="External"/><Relationship Id="rId098o3egdooisunznqdis0" Type="http://schemas.openxmlformats.org/officeDocument/2006/relationships/hyperlink" Target="https://www.tiktok.com/@dustinwijayaa" TargetMode="External"/><Relationship Id="rIdcjpqcd0ujcn-rbohwzp4a" Type="http://schemas.openxmlformats.org/officeDocument/2006/relationships/hyperlink" Target="https://www.youtube.com/@dustinwijayaa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2026-09-19T01:25:22.654Z</dcterms:created>
  <dcterms:modified xsi:type="dcterms:W3CDTF">2026-09-19T01:25:22.657Z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