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34"/>
          <w:szCs w:val="34"/>
        </w:rPr>
        <w:t xml:space="preserve">Dustin Wijaya</w:t>
      </w:r>
    </w:p>
    <w:p>
      <w:pPr>
        <w:spacing w:after="55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Creative Director &amp; Marketing Lead</w:t>
      </w:r>
    </w:p>
    <w:p>
      <w:pPr>
        <w:spacing w:after="3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Dustinwijaya04@gmail.com</w:t>
      </w:r>
      <w:r>
        <w:rPr>
          <w:rFonts w:ascii="Calibri" w:cs="Calibri" w:eastAsia="Calibri" w:hAnsi="Calibri"/>
          <w:color w:val="9A9A9A"/>
          <w:sz w:val="17"/>
          <w:szCs w:val="17"/>
        </w:rPr>
        <w:t xml:space="preserve">   ·   +62 813-1408-5961   ·   Indonesia   ·   </w:t>
      </w:r>
      <w:hyperlink w:history="1" r:id="rIdbhjgoiy1ecdm71xohn-4v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linkedin.com/in/dustin-wijaya-924710216</w:t>
        </w:r>
      </w:hyperlink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SUMMARY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Creative Director at a specialty coffee company, running marketing end to end. Own brand positioning, channel strategy and the full content pipeline from research question to published asset — concepting, scripting, editorial design and direction of external production. Build systems rather than one-off output: a documented evidence standard applied to every published claim, a repeatable script framework, and funnel-mapped programming reviewed weekly against a tracked performance dashboard.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EXPERIENCE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Creative Director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December 2024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Terroir Origin Indonesia (Terroir IDN) · Indonesia · On-site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Lead creative direction, marketing and the full content operation for a specialty coffee company.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Defined the brand positioning: an evidence-led specialty coffee brand that publishes its own sourcing and brewing research, competing on credibility rather than lifestyle marketing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Own marketing end to end — brand positioning, channel strategy, campaign planning and performance review across Instagram, TikTok and YouTube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Run funnel-mapped weekly programming at 3 top-of-funnel, 3 mid-funnel and 1 bottom-of-funnel pieces per week on a fixed publishing slot, reviewed weekly against a tracked performance dashboard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the content operation from zero: 16 researched series (148 designed assets) and 7 long-form video scripts on coffee science, sourced from peer-reviewed literature rather than secondary media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Set a three-tier evidence standard applied to every published claim — direct peer review, practitioner consensus, or manufacturer claim — now the brand’s core point of difference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Created a proprietary four-part script framework (Hook, Empathy, Content, Action) with the hook resolved before the eight-second mark, used across all long-form and short-form output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Direct an external video editor through annotated scripts with embedded graphics and sourced image briefs, reviewing cuts against the brand’s visual and editorial standard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an in-house editorial design system with a bilingual subtitle layer to extend reach to international audiences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Launched the company’s editorial blog as an owned marketing channel, researching and writing the founding 1,950-word article with 24 cited sources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Programme content around in-store events and guest barista takeovers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Content Creator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Jan 2022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Self-employed · Remote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Conceptualise, plan and produce video content for YouTube, TikTok and Instagram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 creative concepts, storyboards, scripts and production plans for video projects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Prepare annotated production scripts with embedded graphics and sourced image briefs for handover to a video editor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Digital Marketing Specialist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Jan 2023 – Sep 2023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Freelance ·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Conducted keyword research and analysis to identify relevant search terms, optimising website content, meta tags and link structures for improved organic search rankings and visibility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Developed brand strategy and positioning for clients, translating business goals into channel-level messaging and creative direction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Planned and produced digital marketing media across client channels — social posts, ad creative and landing page copy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Managed day-to-day social publishing and community engagement against a consistent content calendar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Ran competitor and audience research to identify content gaps and positioning opportunities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Set up campaign tracking and reported on traffic, engagement and conversion performance to steer the next cycle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Assistant Vice President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Jun 2022 – Jan 2023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Sahabat Maju Jaya · Jakarta,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Assisted the Vice President in designing and implementing strategic initiatives to meet company goals and objectives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Prepared business and financial reports, briefing materials and presentation decks for management review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Handled bookkeeping — recorded transactions, reconciled accounts and supported monthly and year-end financial reporting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Coordinated across departments to track progress against targets and escalated blockers to the Vice President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Supported budgeting and cost monitoring, flagging variances against plan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Maintained company documentation and administrative records, keeping internal reporting and filings current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EDUCATION</w:t>
      </w:r>
    </w:p>
    <w:p>
      <w:pPr>
        <w:tabs>
          <w:tab w:val="right" w:pos="10240"/>
        </w:tabs>
        <w:spacing w:after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Bachelor’s Degree, Business, Management &amp; Marketing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2021 – 2024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Bunda Mulia University · Jakarta, Indonesia · GPA 3.50 / 4.00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Creative direction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concept development, editorial and visual direction, design systems, storyboarding, directing external editors and production partners, reviewing work to a defined standard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Content &amp; editorial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editorial systems design, evidence standards and source verification, research synthesis from primary literature, scripting, video production, content design, copywriting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Marketing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brand positioning, channel strategy, campaign planning, funnel-based content programming, SEO and keyword research, on-page optimisation, cross-platform performance analysis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Tools &amp; production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social-format design systems, explanatory graphics, bilingual subtitling, CMS-ready HTML publishing, version-controlled content repositories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Business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strategic planning support, business and financial reporting, budgeting and cost monitoring, bookkeeping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Languages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Indonesian (native), English (professional working proficiency)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hjgoiy1ecdm71xohn-4v" Type="http://schemas.openxmlformats.org/officeDocument/2006/relationships/hyperlink" Target="https://www.linkedin.com/in/dustin-wijaya-92471021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2026-09-19T01:15:14.862Z</dcterms:created>
  <dcterms:modified xsi:type="dcterms:W3CDTF">2026-09-19T01:15:14.873Z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