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D7B228">
      <w:pPr>
        <w:pStyle w:val="2"/>
        <w:spacing w:before="0" w:after="0" w:line="560" w:lineRule="exact"/>
        <w:ind w:left="0" w:firstLine="0" w:firstLineChars="0"/>
        <w:jc w:val="center"/>
        <w:rPr>
          <w:rFonts w:hint="eastAsia" w:ascii="方正小标宋简体" w:hAnsi="方正小标宋简体" w:eastAsia="方正小标宋简体" w:cs="方正小标宋简体"/>
          <w:b/>
          <w:color w:val="000000"/>
          <w:sz w:val="44"/>
        </w:rPr>
      </w:pPr>
      <w:bookmarkStart w:id="0" w:name="关于五年规划平台建设部分的调整建议"/>
      <w:r>
        <w:rPr>
          <w:rFonts w:hint="eastAsia" w:ascii="方正小标宋简体" w:hAnsi="方正小标宋简体" w:eastAsia="方正小标宋简体" w:cs="方正小标宋简体"/>
          <w:b/>
          <w:color w:val="000000"/>
          <w:sz w:val="44"/>
        </w:rPr>
        <w:t>关于五年规划平台建设部分的调整建议</w:t>
      </w:r>
    </w:p>
    <w:p w14:paraId="0B2A8495">
      <w:pPr>
        <w:pStyle w:val="4"/>
        <w:spacing w:before="0" w:after="720" w:line="560" w:lineRule="exact"/>
        <w:ind w:left="0" w:firstLine="0" w:firstLineChars="0"/>
        <w:jc w:val="left"/>
        <w:rPr>
          <w:rFonts w:hint="eastAsia" w:ascii="黑体" w:hAnsi="黑体" w:eastAsia="黑体" w:cs="黑体"/>
          <w:b w:val="0"/>
          <w:color w:val="000000"/>
          <w:sz w:val="32"/>
        </w:rPr>
      </w:pPr>
      <w:bookmarkStart w:id="1" w:name="一建议明确平台的建设原则自主可控建设外包"/>
      <w:r>
        <w:rPr>
          <w:rFonts w:hint="eastAsia" w:ascii="黑体" w:hAnsi="黑体" w:eastAsia="黑体" w:cs="黑体"/>
          <w:b w:val="0"/>
          <w:color w:val="000000"/>
          <w:sz w:val="32"/>
        </w:rPr>
        <w:t>一、　建议明确平台的建设原则：自主可控，建设外包</w:t>
      </w:r>
    </w:p>
    <w:p w14:paraId="3D51CFE5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平台建设遵循”自主可控、建设外包”的策略，在主导权和建设模式两个层面明确分工与边界，既保障公司的战略主导权，又借助外部专业力量快速实现落地。</w:t>
      </w:r>
    </w:p>
    <w:p w14:paraId="23C8070E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2" w:name="二必要性与合理性"/>
      <w:r>
        <w:rPr>
          <w:rFonts w:hint="eastAsia" w:ascii="楷体" w:hAnsi="楷体" w:eastAsia="楷体" w:cs="楷体"/>
          <w:b/>
          <w:color w:val="000000"/>
          <w:sz w:val="32"/>
        </w:rPr>
        <w:t>（二）必要性与合理性</w:t>
      </w:r>
    </w:p>
    <w:p w14:paraId="3AA398C5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①为什么必须”自主可控”</w:t>
      </w:r>
    </w:p>
    <w:p w14:paraId="32071457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手拉手及全城联卖平台是公司”两翼”战略的核心组成部分，是公司未来获取流量、沉淀数据、拓展业务场景的战略性基础设施。平台一旦建成，将承载公司核心业务数据（房源信息、交易数据、客户资料、资金流水等），直接关系到公司的业务安全与长期竞争力。如果平台的设计权、标准制定权、数据主权不在自己手中，未来每一次功能调整、每一次供应商更换、每一次战略转型，都可能受制于人——轻则成本高昂，重则战略被动。因此，平台的主导权必须掌握在公司自己手里，不能外包，也不能让渡。</w:t>
      </w:r>
    </w:p>
    <w:p w14:paraId="02EBBE1F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②为什么必须”建设外包”</w:t>
      </w:r>
    </w:p>
    <w:p w14:paraId="108AC463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公司IT团队当前的人力规模和技术储备，尚不足以支撑从零开始自研一套完整的房产交易平台。如果坚持完全自研，开发周期可能在三年以上，不仅延误战略窗口期，而且从零自研的技术风险和质量风险也远高于采购成熟产品。通过采购成熟的源码平台作为底座，并借助外包实施力量快速完成定制开发，可以用合理的成本换取1—2年的时间优势，让平台尽快上线验证业务模式，抢占市场先机。</w:t>
      </w:r>
    </w:p>
    <w:p w14:paraId="639FC74B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③两者结合为什么是当前最优解</w:t>
      </w:r>
    </w:p>
    <w:p w14:paraId="3CA982BD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“自主可控”与”建设外包”并非矛盾，而是分工不同、互为支撑。公司自主做好顶层设计，明确”要什么、建成什么样”，外包负责”怎么建、用什么技术建”——这种模式下，公司不用担心被供应商”绑架”，因为蓝图是自己画的、标准是自己定的，外包只是按图施工的”施工队”；同时，公司也不用因为力量不足而无限期拖延，因为落地实施由专业的外包力量来完成。</w:t>
      </w:r>
    </w:p>
    <w:p w14:paraId="071AABD2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④长期价值</w:t>
      </w:r>
    </w:p>
    <w:p w14:paraId="4DEE8456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通过”自主可控、建设外包”的策略，公司可以在1—2年内快速拿到可用的平台，在业务跑通的同时，内部团队通过全程跟学跟建逐步建立自主维护能力，最终实现”外包实施→内部维护”的平滑过渡。这是一个”既能快速拿到结果、又能持续积累能力”的最优路径。</w:t>
      </w:r>
    </w:p>
    <w:bookmarkEnd w:id="1"/>
    <w:bookmarkEnd w:id="2"/>
    <w:p w14:paraId="678C327D">
      <w:pPr>
        <w:pStyle w:val="4"/>
        <w:spacing w:before="0" w:after="720" w:line="560" w:lineRule="exact"/>
        <w:ind w:left="0" w:firstLine="0" w:firstLineChars="0"/>
        <w:jc w:val="left"/>
        <w:rPr>
          <w:rFonts w:hint="eastAsia" w:ascii="黑体" w:hAnsi="黑体" w:eastAsia="黑体" w:cs="黑体"/>
          <w:b w:val="0"/>
          <w:color w:val="000000"/>
          <w:sz w:val="32"/>
        </w:rPr>
      </w:pPr>
      <w:bookmarkStart w:id="3" w:name="二关于平台策略由c端先行调整为b端先行"/>
      <w:r>
        <w:rPr>
          <w:rFonts w:hint="eastAsia" w:ascii="黑体" w:hAnsi="黑体" w:eastAsia="黑体" w:cs="黑体"/>
          <w:b w:val="0"/>
          <w:color w:val="000000"/>
          <w:sz w:val="32"/>
        </w:rPr>
        <w:t>二、　关于平台策略由”C端先行”调整为”B端先行”</w:t>
      </w:r>
    </w:p>
    <w:p w14:paraId="7D3B774A">
      <w:pPr>
        <w:pStyle w:val="5"/>
        <w:spacing w:before="0" w:after="48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4" w:name="一b端是高频可沉淀的c端是低频不可沉淀的"/>
      <w:r>
        <w:rPr>
          <w:rFonts w:hint="eastAsia" w:ascii="楷体" w:hAnsi="楷体" w:eastAsia="楷体" w:cs="楷体"/>
          <w:b/>
          <w:color w:val="000000"/>
          <w:sz w:val="32"/>
        </w:rPr>
        <w:t>（一）B端是高频、可沉淀的，C端是低频、不可沉淀的</w:t>
      </w:r>
    </w:p>
    <w:tbl>
      <w:tblPr>
        <w:tblStyle w:val="41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</w:tblPr>
      <w:tblGrid>
        <w:gridCol w:w="3069"/>
        <w:gridCol w:w="3069"/>
        <w:gridCol w:w="3069"/>
      </w:tblGrid>
      <w:tr w14:paraId="1B7A4FA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7505E720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使用频率</w:t>
            </w:r>
          </w:p>
        </w:tc>
        <w:tc>
          <w:tcPr>
            <w:shd w:val="clear" w:color="auto" w:fill="FFFFFF"/>
          </w:tcPr>
          <w:p w14:paraId="6F03F0BC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日常作业工具，每天打开多次</w:t>
            </w:r>
          </w:p>
        </w:tc>
        <w:tc>
          <w:tcPr>
            <w:shd w:val="clear" w:color="auto" w:fill="FFFFFF"/>
          </w:tcPr>
          <w:p w14:paraId="5D35FB5F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交易周期内用完即走，一辈子一到两次</w:t>
            </w:r>
          </w:p>
        </w:tc>
      </w:tr>
      <w:tr w14:paraId="65B3528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1549C434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用户粘性</w:t>
            </w:r>
          </w:p>
        </w:tc>
        <w:tc>
          <w:tcPr>
            <w:shd w:val="clear" w:color="auto" w:fill="FFFFFF"/>
          </w:tcPr>
          <w:p w14:paraId="53A336DE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高，工具和数据积累形成迁移成本</w:t>
            </w:r>
          </w:p>
        </w:tc>
        <w:tc>
          <w:tcPr>
            <w:shd w:val="clear" w:color="auto" w:fill="FFFFFF"/>
          </w:tcPr>
          <w:p w14:paraId="1E01E787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极低，无理由留存</w:t>
            </w:r>
          </w:p>
        </w:tc>
      </w:tr>
      <w:tr w14:paraId="15BDC9E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50D937DF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可沉淀性</w:t>
            </w:r>
          </w:p>
        </w:tc>
        <w:tc>
          <w:tcPr>
            <w:shd w:val="clear" w:color="auto" w:fill="FFFFFF"/>
          </w:tcPr>
          <w:p w14:paraId="5B721437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房源库、客户库、成交记录持续积累</w:t>
            </w:r>
          </w:p>
        </w:tc>
        <w:tc>
          <w:tcPr>
            <w:shd w:val="clear" w:color="auto" w:fill="FFFFFF"/>
          </w:tcPr>
          <w:p w14:paraId="5B5E16FF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交易结束后无持续交互价值</w:t>
            </w:r>
          </w:p>
        </w:tc>
      </w:tr>
      <w:tr w14:paraId="12724BB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11596688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决策影响力</w:t>
            </w:r>
          </w:p>
        </w:tc>
        <w:tc>
          <w:tcPr>
            <w:shd w:val="clear" w:color="auto" w:fill="FFFFFF"/>
          </w:tcPr>
          <w:p w14:paraId="1E998001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专业角色，对C端有强引导力</w:t>
            </w:r>
          </w:p>
        </w:tc>
        <w:tc>
          <w:tcPr>
            <w:shd w:val="clear" w:color="auto" w:fill="FFFFFF"/>
          </w:tcPr>
          <w:p w14:paraId="201FFB23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被动接收信息，决策依赖中介建议</w:t>
            </w:r>
          </w:p>
        </w:tc>
      </w:tr>
    </w:tbl>
    <w:p w14:paraId="762C3715">
      <w:pPr>
        <w:pStyle w:val="3"/>
        <w:spacing w:before="48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结论：用低频的C端去拉动高频的B端，是把撬棍插反了。正确的杠杆是用高频的B端沉淀内容和服务，再通过B端去触达和服务C端。</w:t>
      </w:r>
    </w:p>
    <w:bookmarkEnd w:id="4"/>
    <w:p w14:paraId="0360CBBA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5" w:name="二双边市场的规律第一推动力是供给侧"/>
      <w:r>
        <w:rPr>
          <w:rFonts w:hint="eastAsia" w:ascii="楷体" w:hAnsi="楷体" w:eastAsia="楷体" w:cs="楷体"/>
          <w:b/>
          <w:color w:val="000000"/>
          <w:sz w:val="32"/>
        </w:rPr>
        <w:t>（二）双边市场的规律——“第一推动力”是供给侧</w:t>
      </w:r>
    </w:p>
    <w:p w14:paraId="0B1765D6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双边市场有一个基本规律：必须先有供给，才能引来需求。</w:t>
      </w:r>
    </w:p>
    <w:p w14:paraId="31768D43">
      <w:pPr>
        <w:pStyle w:val="24"/>
        <w:numPr>
          <w:ilvl w:val="0"/>
          <w:numId w:val="1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滴滴是先有司机（供给），乘客才有车可打；</w:t>
      </w:r>
    </w:p>
    <w:p w14:paraId="44DC48A9">
      <w:pPr>
        <w:pStyle w:val="24"/>
        <w:numPr>
          <w:ilvl w:val="0"/>
          <w:numId w:val="1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美团是先有餐厅（供给），用户才有饭可点；</w:t>
      </w:r>
    </w:p>
    <w:p w14:paraId="7D81A1FC">
      <w:pPr>
        <w:pStyle w:val="24"/>
        <w:numPr>
          <w:ilvl w:val="0"/>
          <w:numId w:val="1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贝壳是先有经纪人（供给），购房者才有房可看。</w:t>
      </w:r>
    </w:p>
    <w:p w14:paraId="3604B87E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同样的逻辑：平台必须先有中介入驻、有房源共享、有联卖网络，C端用户来了才有东西可看、有人可服务。先推C端，用户来了发现房源少、中介少，体验差、口碑差，再想拉回来成本极高。</w:t>
      </w:r>
    </w:p>
    <w:bookmarkEnd w:id="5"/>
    <w:p w14:paraId="78455C76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6" w:name="三c端决策高度依赖中介引导先推c端会被中介截流"/>
      <w:r>
        <w:rPr>
          <w:rFonts w:hint="eastAsia" w:ascii="楷体" w:hAnsi="楷体" w:eastAsia="楷体" w:cs="楷体"/>
          <w:b/>
          <w:color w:val="000000"/>
          <w:sz w:val="32"/>
        </w:rPr>
        <w:t>（三）C端决策高度依赖中介引导，先推C端会被中介”截流”</w:t>
      </w:r>
    </w:p>
    <w:p w14:paraId="1E5A4B48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这是最关键的洞察。即使C端客户一开始通过平台了解到了自主交易方案，但大部分客户在交易决策过程中，仍然会咨询中介、依赖中介的专业建议。中介有天然的客户关系和信任基础，只要一句话——“你这个情况我们帮你处理更稳妥”，客户就被截流了。</w:t>
      </w:r>
    </w:p>
    <w:p w14:paraId="5CE4C2D9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我们的平台如果无法影响中介的行为，就无法真正影响C端的结果。只有让B端先用起来、用顺手、离不开了，他们才会主动把客户带到平台上来。B端才是我们触达C端最有效的渠道。</w:t>
      </w:r>
    </w:p>
    <w:bookmarkEnd w:id="6"/>
    <w:p w14:paraId="798E928D">
      <w:pPr>
        <w:pStyle w:val="5"/>
        <w:spacing w:before="0" w:after="48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7" w:name="四案例佐证"/>
      <w:r>
        <w:rPr>
          <w:rFonts w:hint="eastAsia" w:ascii="楷体" w:hAnsi="楷体" w:eastAsia="楷体" w:cs="楷体"/>
          <w:b/>
          <w:color w:val="000000"/>
          <w:sz w:val="32"/>
        </w:rPr>
        <w:t>（四）案例佐证</w:t>
      </w:r>
    </w:p>
    <w:tbl>
      <w:tblPr>
        <w:tblStyle w:val="41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</w:tblPr>
      <w:tblGrid>
        <w:gridCol w:w="3069"/>
        <w:gridCol w:w="3069"/>
        <w:gridCol w:w="3069"/>
      </w:tblGrid>
      <w:tr w14:paraId="669D40B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7512624F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贝壳找房</w:t>
            </w:r>
          </w:p>
        </w:tc>
        <w:tc>
          <w:tcPr>
            <w:shd w:val="clear" w:color="auto" w:fill="FFFFFF"/>
          </w:tcPr>
          <w:p w14:paraId="0C1ACBCA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B端先行（先整合经纪人、门店，构建ACN合作网络，房源共享体系成熟后才推C端APP）</w:t>
            </w:r>
          </w:p>
        </w:tc>
        <w:tc>
          <w:tcPr>
            <w:shd w:val="clear" w:color="auto" w:fill="FFFFFF"/>
          </w:tcPr>
          <w:p w14:paraId="519C1369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成功构建行业壁垒，C端流量自然随之而来</w:t>
            </w:r>
          </w:p>
        </w:tc>
      </w:tr>
      <w:tr w14:paraId="6257A93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65E5F100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滴滴出行</w:t>
            </w:r>
          </w:p>
        </w:tc>
        <w:tc>
          <w:tcPr>
            <w:shd w:val="clear" w:color="auto" w:fill="FFFFFF"/>
          </w:tcPr>
          <w:p w14:paraId="6A74CA97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B端先行（先补贴司机，保证接单能力）</w:t>
            </w:r>
          </w:p>
        </w:tc>
        <w:tc>
          <w:tcPr>
            <w:shd w:val="clear" w:color="auto" w:fill="FFFFFF"/>
          </w:tcPr>
          <w:p w14:paraId="0794DD40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充足的供给带来了海量用户</w:t>
            </w:r>
          </w:p>
        </w:tc>
      </w:tr>
      <w:tr w14:paraId="5E28DE5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410864C2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多数失败的地方房产平台</w:t>
            </w:r>
          </w:p>
        </w:tc>
        <w:tc>
          <w:tcPr>
            <w:shd w:val="clear" w:color="auto" w:fill="FFFFFF"/>
          </w:tcPr>
          <w:p w14:paraId="3CC61283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C端先行（花大量预算推广C端，但房源少、中介不活跃）</w:t>
            </w:r>
          </w:p>
        </w:tc>
        <w:tc>
          <w:tcPr>
            <w:shd w:val="clear" w:color="auto" w:fill="FFFFFF"/>
          </w:tcPr>
          <w:p w14:paraId="3F9321F3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用户来了一次即流失，平台沦为”僵尸平台”</w:t>
            </w:r>
          </w:p>
        </w:tc>
      </w:tr>
      <w:bookmarkEnd w:id="3"/>
      <w:bookmarkEnd w:id="7"/>
    </w:tbl>
    <w:p w14:paraId="56DCB5C7">
      <w:pPr>
        <w:pStyle w:val="4"/>
        <w:spacing w:before="480" w:after="720" w:line="560" w:lineRule="exact"/>
        <w:ind w:left="0" w:firstLine="0" w:firstLineChars="0"/>
        <w:jc w:val="left"/>
        <w:rPr>
          <w:rFonts w:hint="eastAsia" w:ascii="黑体" w:hAnsi="黑体" w:eastAsia="黑体" w:cs="黑体"/>
          <w:b w:val="0"/>
          <w:color w:val="000000"/>
          <w:sz w:val="32"/>
        </w:rPr>
      </w:pPr>
      <w:bookmarkStart w:id="8" w:name="三关于五年计划实施路径和年度行动计划"/>
      <w:r>
        <w:rPr>
          <w:rFonts w:hint="eastAsia" w:ascii="黑体" w:hAnsi="黑体" w:eastAsia="黑体" w:cs="黑体"/>
          <w:b w:val="0"/>
          <w:color w:val="000000"/>
          <w:sz w:val="32"/>
        </w:rPr>
        <w:t>三、　关于五年计划实施路径和年度行动计划</w:t>
      </w:r>
    </w:p>
    <w:p w14:paraId="10A960B9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9" w:name="一原计划"/>
      <w:r>
        <w:rPr>
          <w:rFonts w:hint="eastAsia" w:ascii="楷体" w:hAnsi="楷体" w:eastAsia="楷体" w:cs="楷体"/>
          <w:b/>
          <w:color w:val="000000"/>
          <w:sz w:val="32"/>
        </w:rPr>
        <w:t>（一）原计划</w:t>
      </w:r>
    </w:p>
    <w:p w14:paraId="245CD10D">
      <w:pPr>
        <w:pStyle w:val="23"/>
        <w:spacing w:before="0" w:after="48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三）年度实施路径中的平台节点（第六章）</w:t>
      </w:r>
    </w:p>
    <w:tbl>
      <w:tblPr>
        <w:tblStyle w:val="41"/>
        <w:tblW w:w="0" w:type="auto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</w:tblPr>
      <w:tblGrid>
        <w:gridCol w:w="2268"/>
        <w:gridCol w:w="6803"/>
      </w:tblGrid>
      <w:tr w14:paraId="39EE738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17CB6F09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2026年（夯基固本·C端先行）</w:t>
            </w:r>
          </w:p>
        </w:tc>
        <w:tc>
          <w:tcPr>
            <w:tcW w:w="6803" w:type="dxa"/>
            <w:shd w:val="clear" w:color="auto" w:fill="FFFFFF"/>
          </w:tcPr>
          <w:p w14:paraId="3B438375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MVP上线C端核心功能（自主交易、房源核验、资金监管、网签、交易咨询），采用SaaS/低代码，控制投入；完成与担保、资金监管系统对接；组建运营团队；建立数据看板</w:t>
            </w:r>
          </w:p>
        </w:tc>
      </w:tr>
      <w:tr w14:paraId="20B5E71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0D01BD3F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2027年（提质扩量·中介接入）</w:t>
            </w:r>
          </w:p>
        </w:tc>
        <w:tc>
          <w:tcPr>
            <w:tcW w:w="6803" w:type="dxa"/>
            <w:shd w:val="clear" w:color="auto" w:fill="FFFFFF"/>
          </w:tcPr>
          <w:p w14:paraId="28332C07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V2.0上线，新增中介入驻、房源共享、全城联卖功能；深化与政务/银行/公积金系统对接；启动中介招募与运营，建立分佣规则；验证流量转化逻辑</w:t>
            </w:r>
          </w:p>
        </w:tc>
      </w:tr>
      <w:tr w14:paraId="174F78A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3B49694B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2028年（转型见效·平台闭环）</w:t>
            </w:r>
          </w:p>
        </w:tc>
        <w:tc>
          <w:tcPr>
            <w:tcW w:w="6803" w:type="dxa"/>
            <w:shd w:val="clear" w:color="auto" w:fill="FFFFFF"/>
          </w:tcPr>
          <w:p w14:paraId="40D0CEB5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V3.0成熟运行，实现”房源—交易—资金监管—担保办理—资产服务”全流程闭环；流量稳定增长，成为重要获客入口；关键决策节点：评估前两年验证结果，决策是否进入第二阶段系统重构</w:t>
            </w:r>
          </w:p>
        </w:tc>
      </w:tr>
      <w:tr w14:paraId="3350887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26E0B58D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2029—2030年（跨越发展·平台标杆）</w:t>
            </w:r>
          </w:p>
        </w:tc>
        <w:tc>
          <w:tcPr>
            <w:tcW w:w="6803" w:type="dxa"/>
            <w:shd w:val="clear" w:color="auto" w:fill="FFFFFF"/>
          </w:tcPr>
          <w:p w14:paraId="71899107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成为区域民生服务标杆；实现数据驱动的智能匹配、智能风控；探索增值服务模式；若2028年决策重构，此阶段完成自有系统架构建设</w:t>
            </w:r>
          </w:p>
        </w:tc>
      </w:tr>
      <w:bookmarkEnd w:id="9"/>
    </w:tbl>
    <w:p w14:paraId="3594EB4D">
      <w:pPr>
        <w:pStyle w:val="5"/>
        <w:spacing w:before="48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10" w:name="二建议改成"/>
      <w:r>
        <w:rPr>
          <w:rFonts w:hint="eastAsia" w:ascii="楷体" w:hAnsi="楷体" w:eastAsia="楷体" w:cs="楷体"/>
          <w:b/>
          <w:color w:val="000000"/>
          <w:sz w:val="32"/>
        </w:rPr>
        <w:t>（二）建议改成</w:t>
      </w:r>
    </w:p>
    <w:p w14:paraId="04FE6CF7">
      <w:pPr>
        <w:pStyle w:val="23"/>
        <w:spacing w:before="0" w:after="48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平台建设核心任务（调整后）</w:t>
      </w:r>
    </w:p>
    <w:tbl>
      <w:tblPr>
        <w:tblStyle w:val="41"/>
        <w:tblW w:w="0" w:type="auto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</w:tblPr>
      <w:tblGrid>
        <w:gridCol w:w="2268"/>
        <w:gridCol w:w="6803"/>
      </w:tblGrid>
      <w:tr w14:paraId="7D46206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52D3F8F5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2026年（后半段）</w:t>
            </w:r>
          </w:p>
        </w:tc>
        <w:tc>
          <w:tcPr>
            <w:tcW w:w="6803" w:type="dxa"/>
            <w:shd w:val="clear" w:color="auto" w:fill="FFFFFF"/>
          </w:tcPr>
          <w:p w14:paraId="0CAF9F57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需求深研+整体设计+源码平台选型+供应商确定+合同签署。完成全场景业务需求梳理与业务架构设计；完成市场主流源码平台调研与技术评估；完成供应商比选与招标采购；完成合同谈判（重点明确源码交付范围、知识产权归属、后续服务条款）；完成2027年详细开发计划制定。不上线任何版本。</w:t>
            </w:r>
          </w:p>
        </w:tc>
      </w:tr>
      <w:tr w14:paraId="3EF5907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380BD7ED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2027年（提质扩量·开发上线）</w:t>
            </w:r>
          </w:p>
        </w:tc>
        <w:tc>
          <w:tcPr>
            <w:tcW w:w="6803" w:type="dxa"/>
            <w:shd w:val="clear" w:color="auto" w:fill="FFFFFF"/>
          </w:tcPr>
          <w:p w14:paraId="0A05E0EE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中标供应商实施二次开发。上半年完成核心C端功能改造（自主交易、房源核验、资金监管、网签、交易咨询）及内部系统（担保系统、“鹭房通”）对接，内部团队跟学跟建；下半年完成V1.0正式上线，组建运营团队，建立数据看板。同步启动中介端功能的需求细化和设计，为后续迭代做准备。</w:t>
            </w:r>
          </w:p>
        </w:tc>
      </w:tr>
      <w:tr w14:paraId="767F444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70CE2D3F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2028年（中介接入·生态成形）</w:t>
            </w:r>
          </w:p>
        </w:tc>
        <w:tc>
          <w:tcPr>
            <w:tcW w:w="6803" w:type="dxa"/>
            <w:shd w:val="clear" w:color="auto" w:fill="FFFFFF"/>
          </w:tcPr>
          <w:p w14:paraId="1FA076A1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平台V2.0上线，新增中介入驻、房源共享、全城联卖功能；深化与政务/银行/公积金等外部系统对接；启动中介招募与运营，建立分佣规则；验证C端引流与中介联卖的协同效果；平台初步形成”自主交易+联卖”双轮驱动格局。关键决策节点：评估前两年运营效果，决策是否加大自研投入，替换部分外包模块。</w:t>
            </w:r>
          </w:p>
        </w:tc>
      </w:tr>
      <w:tr w14:paraId="2FC277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tcW w:w="2268" w:type="dxa"/>
            <w:shd w:val="clear" w:color="auto" w:fill="FFFFFF"/>
          </w:tcPr>
          <w:p w14:paraId="5E077C91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2029—2030年（跨越发展·平台标杆）</w:t>
            </w:r>
          </w:p>
        </w:tc>
        <w:tc>
          <w:tcPr>
            <w:tcW w:w="6803" w:type="dxa"/>
            <w:shd w:val="clear" w:color="auto" w:fill="FFFFFF"/>
          </w:tcPr>
          <w:p w14:paraId="57D6ED8E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平台实现”房源—交易—资金监管—担保办理—资产服务”全流程闭环；成为区域民生服务标杆和公司重要获客入口；实现数据驱动的运营分析、智能匹配与智能风控；探索增值服务模式，提升平台自我造血能力；若2028年决策加大自研投入，此阶段完成核心模块自有化替换。</w:t>
            </w:r>
          </w:p>
        </w:tc>
      </w:tr>
      <w:bookmarkEnd w:id="10"/>
    </w:tbl>
    <w:p w14:paraId="7EF71688">
      <w:pPr>
        <w:pStyle w:val="5"/>
        <w:spacing w:before="48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11" w:name="三原因一对平台的理解深度不足需要先想清楚再动手做"/>
      <w:r>
        <w:rPr>
          <w:rFonts w:hint="eastAsia" w:ascii="楷体" w:hAnsi="楷体" w:eastAsia="楷体" w:cs="楷体"/>
          <w:b/>
          <w:color w:val="000000"/>
          <w:sz w:val="32"/>
        </w:rPr>
        <w:t>（三）原因一：对平台的理解深度不足，需要先”想清楚”再”动手做”</w:t>
      </w:r>
    </w:p>
    <w:p w14:paraId="352BED30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现状分析：</w:t>
      </w:r>
    </w:p>
    <w:p w14:paraId="4FA28F2A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我们内部对”手拉手及全城联卖平台”的功能设计、业务场景、运营模式的理解，尚处于较为初步的阶段。</w:t>
      </w:r>
    </w:p>
    <w:p w14:paraId="38DCEB9B">
      <w:pPr>
        <w:pStyle w:val="24"/>
        <w:numPr>
          <w:ilvl w:val="0"/>
          <w:numId w:val="1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业务理解层面：平台涉及C端自主交易、中介联卖、房源共享、分润结算、资金监管等多重复杂场景。这些场景在实际操作中如何流转？各方利益如何平衡？风控节点如何设置？这些核心问题，我们目前的答案还不够清晰和具体。</w:t>
      </w:r>
    </w:p>
    <w:p w14:paraId="0B3BFFA5">
      <w:pPr>
        <w:pStyle w:val="24"/>
        <w:numPr>
          <w:ilvl w:val="0"/>
          <w:numId w:val="1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行业认知层面：同类平台（如贝壳、安居客等）的运营逻辑各有不同，哪些适合我们？哪些不适合？市场上的技术方案能覆盖到什么程度？这些需要和行业内的人士（房产交易平台运营方、技术方案商、中介机构代表等）进行充分碰撞和交流，才能形成真正贴合公司实际、具有可操作性的方案。</w:t>
      </w:r>
    </w:p>
    <w:p w14:paraId="3D54D710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我们需要做什么：</w:t>
      </w:r>
    </w:p>
    <w:p w14:paraId="79E3ADCB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下半年需要安排一系列调研和研讨工作——与潜在供应商进行技术交流、走访同类平台或行业标杆、邀请行业专家进行方案评审、联合业务部门逐场景梳理需求。这些工作的核心目的，是把”我们要什么”想清楚、写明白。只有想清楚了，后续的选型和开发才有依据。这个过程需要时间，但它是必需的，也是省不掉的。</w:t>
      </w:r>
    </w:p>
    <w:p w14:paraId="7E2730D8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结论：在需求尚未充分论证、架构尚未清晰的情况下，贸然启动开发，做出来的东西大概率不是业务真正需要的，后续推倒重来的成本远高于现在多花几个月把设计做扎实。</w:t>
      </w:r>
    </w:p>
    <w:bookmarkEnd w:id="11"/>
    <w:p w14:paraId="7AFD6BCA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12" w:name="四原因二平台的建设路径尚未最终确定前期选型工作决定项目成败"/>
      <w:r>
        <w:rPr>
          <w:rFonts w:hint="eastAsia" w:ascii="楷体" w:hAnsi="楷体" w:eastAsia="楷体" w:cs="楷体"/>
          <w:b/>
          <w:color w:val="000000"/>
          <w:sz w:val="32"/>
        </w:rPr>
        <w:t>（四）原因二：平台的建设路径尚未最终确定，前期选型工作决定项目成败</w:t>
      </w:r>
    </w:p>
    <w:p w14:paraId="3FE3B1E9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现状分析：</w:t>
      </w:r>
    </w:p>
    <w:p w14:paraId="42436648">
      <w:pPr>
        <w:pStyle w:val="3"/>
        <w:spacing w:before="0" w:after="48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平台采用什么路径建设，目前还有多个选项在并行评估中：</w:t>
      </w:r>
    </w:p>
    <w:tbl>
      <w:tblPr>
        <w:tblStyle w:val="41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</w:tblPr>
      <w:tblGrid>
        <w:gridCol w:w="3069"/>
        <w:gridCol w:w="3069"/>
        <w:gridCol w:w="3069"/>
      </w:tblGrid>
      <w:tr w14:paraId="3D888C8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390B88C7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采购成熟源码平台进行二次开发</w:t>
            </w:r>
          </w:p>
        </w:tc>
        <w:tc>
          <w:tcPr>
            <w:shd w:val="clear" w:color="auto" w:fill="FFFFFF"/>
          </w:tcPr>
          <w:p w14:paraId="6D1FFAC7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底盘稳定、功能相对完整，但选型难度大、锁定风险高</w:t>
            </w:r>
          </w:p>
        </w:tc>
        <w:tc>
          <w:tcPr>
            <w:shd w:val="clear" w:color="auto" w:fill="FFFFFF"/>
          </w:tcPr>
          <w:p w14:paraId="598B3224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需求相对清晰、预算充足、能选到匹配度高的产品</w:t>
            </w:r>
          </w:p>
        </w:tc>
      </w:tr>
      <w:tr w14:paraId="2D810C5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5FB8097B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委托定制开发</w:t>
            </w:r>
          </w:p>
        </w:tc>
        <w:tc>
          <w:tcPr>
            <w:shd w:val="clear" w:color="auto" w:fill="FFFFFF"/>
          </w:tcPr>
          <w:p w14:paraId="45F6406A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完全按需定制，但开发周期长、质量风险高</w:t>
            </w:r>
          </w:p>
        </w:tc>
        <w:tc>
          <w:tcPr>
            <w:shd w:val="clear" w:color="auto" w:fill="FFFFFF"/>
          </w:tcPr>
          <w:p w14:paraId="16374A81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需求个性化强、市场上无匹配产品</w:t>
            </w:r>
          </w:p>
        </w:tc>
      </w:tr>
      <w:tr w14:paraId="280F399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70" w:type="dxa"/>
            <w:left w:w="283" w:type="dxa"/>
            <w:bottom w:w="170" w:type="dxa"/>
            <w:right w:w="283" w:type="dxa"/>
          </w:tblCellMar>
        </w:tblPrEx>
        <w:tc>
          <w:tcPr>
            <w:shd w:val="clear" w:color="auto" w:fill="FFFFFF"/>
          </w:tcPr>
          <w:p w14:paraId="4638078A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bookmarkStart w:id="20" w:name="_GoBack" w:colFirst="2" w:colLast="2"/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SaaS租用（如可行）</w:t>
            </w:r>
          </w:p>
        </w:tc>
        <w:tc>
          <w:tcPr>
            <w:shd w:val="clear" w:color="auto" w:fill="FFFFFF"/>
          </w:tcPr>
          <w:p w14:paraId="7483CC7F">
            <w:pPr>
              <w:pStyle w:val="24"/>
              <w:ind w:left="0" w:firstLine="0"/>
              <w:jc w:val="left"/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sz w:val="24"/>
              </w:rPr>
              <w:t>快速上线、投入低，但数据主权受限、长期依赖厂商</w:t>
            </w:r>
          </w:p>
        </w:tc>
        <w:tc>
          <w:tcPr>
            <w:shd w:val="clear" w:color="auto" w:fill="FFFFFF"/>
          </w:tcPr>
          <w:p w14:paraId="32A15C09">
            <w:pPr>
              <w:pStyle w:val="24"/>
              <w:ind w:left="0" w:firstLine="0"/>
              <w:jc w:val="left"/>
              <w:rPr>
                <w:rFonts w:hint="eastAsia" w:ascii="黑体" w:hAnsi="黑体" w:eastAsia="黑体" w:cs="黑体"/>
                <w:b/>
                <w:color w:val="000000"/>
                <w:sz w:val="24"/>
              </w:rPr>
            </w:pPr>
            <w:r>
              <w:rPr>
                <w:rFonts w:hint="eastAsia" w:ascii="黑体" w:hAnsi="黑体" w:eastAsia="黑体" w:cs="黑体"/>
                <w:b/>
                <w:color w:val="000000"/>
                <w:sz w:val="24"/>
              </w:rPr>
              <w:t>需求标准化、数据合规压力小</w:t>
            </w:r>
          </w:p>
        </w:tc>
      </w:tr>
      <w:bookmarkEnd w:id="20"/>
    </w:tbl>
    <w:p w14:paraId="6FE129CB">
      <w:pPr>
        <w:pStyle w:val="24"/>
        <w:numPr>
          <w:ilvl w:val="0"/>
          <w:numId w:val="1"/>
        </w:numPr>
        <w:spacing w:before="48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选型决定了未来五年的技术底座。如果选了一个底层架构封闭、扩展性差的产品，未来想做功能叠加时会非常困难，甚至需要推倒重来。</w:t>
      </w:r>
    </w:p>
    <w:p w14:paraId="5AAD5B65">
      <w:pPr>
        <w:pStyle w:val="24"/>
        <w:numPr>
          <w:ilvl w:val="0"/>
          <w:numId w:val="1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选型决定了成本结构。不同模式的授权费、实施费、后续维护费差异巨大。选对了，钱花在刀刃上；选错了，不仅是资金浪费，更是时间成本的巨大损失。</w:t>
      </w:r>
    </w:p>
    <w:p w14:paraId="6DAD195B">
      <w:pPr>
        <w:pStyle w:val="24"/>
        <w:numPr>
          <w:ilvl w:val="0"/>
          <w:numId w:val="1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选型决定了”第二阶段”的投入。我们现在的选择，直接决定了未来是否需要大规模重构。前期多花三个月做好选型，可能省掉后期一年的重构投入。前期的调研和设计工作，其重要性不亚于系统开发本身。</w:t>
      </w:r>
    </w:p>
    <w:bookmarkEnd w:id="8"/>
    <w:bookmarkEnd w:id="12"/>
    <w:p w14:paraId="57E4CD9B">
      <w:pPr>
        <w:pStyle w:val="4"/>
        <w:spacing w:before="0" w:after="720" w:line="560" w:lineRule="exact"/>
        <w:ind w:left="0" w:firstLine="0" w:firstLineChars="0"/>
        <w:jc w:val="left"/>
        <w:rPr>
          <w:rFonts w:hint="eastAsia" w:ascii="黑体" w:hAnsi="黑体" w:eastAsia="黑体" w:cs="黑体"/>
          <w:b w:val="0"/>
          <w:color w:val="000000"/>
          <w:sz w:val="32"/>
        </w:rPr>
      </w:pPr>
      <w:bookmarkStart w:id="13" w:name="四关于平台技术底座建议以ai原生思路建设做好迎接商业逻辑重构的准备"/>
      <w:r>
        <w:rPr>
          <w:rFonts w:hint="eastAsia" w:ascii="黑体" w:hAnsi="黑体" w:eastAsia="黑体" w:cs="黑体"/>
          <w:b w:val="0"/>
          <w:color w:val="000000"/>
          <w:sz w:val="32"/>
        </w:rPr>
        <w:t>四、　关于平台技术底座——建议以”AI原生”思路建设，做好迎接商业逻辑重构的准备</w:t>
      </w:r>
    </w:p>
    <w:p w14:paraId="3D5FAF42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14" w:name="一修改点一"/>
      <w:r>
        <w:rPr>
          <w:rFonts w:hint="eastAsia" w:ascii="楷体" w:hAnsi="楷体" w:eastAsia="楷体" w:cs="楷体"/>
          <w:b/>
          <w:color w:val="000000"/>
          <w:sz w:val="32"/>
        </w:rPr>
        <w:t>（一）修改点一</w:t>
      </w:r>
    </w:p>
    <w:p w14:paraId="304E2418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原文（第二章·外部环境研判·技术环境）：</w:t>
      </w:r>
    </w:p>
    <w:p w14:paraId="2CC11B07">
      <w:pPr>
        <w:pStyle w:val="1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自媒体平台的去中心化传播与AI技术的深度应用，正在解构传统房地产经纪的信息垄断与服务模式。房源信息更加透明、客户自主获取信息能力显著增强，对传统中介”信息差”盈利模式形成巨大挑战。与此同时，技术变革也为独立、专业的第三方服务机构提供了新的获客通道与服务工具，降低了新进入者的品牌传播成本，使公司有机会以”专业内容+国企信用”切入市场，实现弯道超车。</w:t>
      </w:r>
    </w:p>
    <w:p w14:paraId="45CAB134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在此段后新增：</w:t>
      </w:r>
    </w:p>
    <w:p w14:paraId="487AAC19">
      <w:pPr>
        <w:pStyle w:val="1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尤为值得关注的是，AI智能体（Agent）的快速崛起正在重塑未来的商业逻辑——用户获取服务的入口可能从”搜索式、浏览式”转向”对话式、委托式”，即从”人找服务”演变为”AI代人找服务”。这意味着，未来的流量分配机制可能从传统的平台搜索排名，转向AI智能体对服务提供方的智能匹配与推荐。谁能让自己的服务数据被大模型理解、被AI智能体调用，谁就能在新的流量格局中占据先机。因此，公司在平台建设初期即需建立”AI原生”意识，在技术架构和数据治理层面为”被AI调用”提前做好储备，这不仅是技术选型问题，更是关乎未来三到五年流量入口话语权的战略判断。</w:t>
      </w:r>
    </w:p>
    <w:p w14:paraId="790F2187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原因：</w:t>
      </w:r>
    </w:p>
    <w:p w14:paraId="5851B2EB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规划原文仅将AI视为”工具”和”传播渠道”，视角偏窄。实际上，AI智能体正在从底层重构用户获取服务的逻辑——未来用户可能不再”逛”平台，而是直接告诉AI助手需求，由AI代为筛选和推荐。这意味着流量入口可能从APP/小程序转移到AI智能体。新增段落将AI的讨论从”工具应用”提升到”商业模式重构”的战略高度，为后续”AI就绪”建议建立逻辑基础。</w:t>
      </w:r>
    </w:p>
    <w:bookmarkEnd w:id="14"/>
    <w:p w14:paraId="0E41B5A6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15" w:name="二修改点二"/>
      <w:r>
        <w:rPr>
          <w:rFonts w:hint="eastAsia" w:ascii="楷体" w:hAnsi="楷体" w:eastAsia="楷体" w:cs="楷体"/>
          <w:b/>
          <w:color w:val="000000"/>
          <w:sz w:val="32"/>
        </w:rPr>
        <w:t>（二）修改点二</w:t>
      </w:r>
    </w:p>
    <w:p w14:paraId="1469967A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原文（第四章·第三板块·平台建设与运营的原则）：</w:t>
      </w:r>
    </w:p>
    <w:p w14:paraId="1D4BE81D">
      <w:pPr>
        <w:pStyle w:val="1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现有五项原则：合规运营、国企背书、开放共赢、用户导向、分步投入。</w:t>
      </w:r>
    </w:p>
    <w:p w14:paraId="0241C875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在五项原则后新增第六项：</w:t>
      </w:r>
    </w:p>
    <w:p w14:paraId="056B563B">
      <w:pPr>
        <w:pStyle w:val="24"/>
        <w:numPr>
          <w:ilvl w:val="0"/>
          <w:numId w:val="2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AI就绪（AI-Ready）：数据可被理解、服务可被调用</w:t>
      </w:r>
    </w:p>
    <w:p w14:paraId="5AB53E08">
      <w:pPr>
        <w:pStyle w:val="1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平台建设需前置考虑AI智能体时代的到来，在技术架构和数据治理层面做好”被AI调用”的准备。具体包括：核心业务数据的结构化存储与标准化输出、核心服务能力的API化封装、以及面向大模型调用场景的接口兼容性设计。此项工作不增加额外开发成本或延误上线进度，而是在设计阶段和开发规范中融入”面向AI的视角”，确保平台未来能够被大模型理解、被AI智能体推荐、被外部系统调用，为公司在AI驱动的流量新格局中抢占先发优势。</w:t>
      </w:r>
    </w:p>
    <w:p w14:paraId="73535868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原因：</w:t>
      </w:r>
    </w:p>
    <w:p w14:paraId="5930CDFE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有五项原则中缺少对AI趋势的前瞻性考量。平台的技术底座一旦确定，后续改造的难度和成本极高——如果现在不提要求，等平台建好再想”被AI调用”，就不是”加个接口”那么简单，而是涉及数据重构、接口重写、架构调整的大工程。新增此项原则，将”AI就绪”纳入平台建设的底层规范，不增加工作量，但为未来打开可能性。</w:t>
      </w:r>
    </w:p>
    <w:bookmarkEnd w:id="15"/>
    <w:p w14:paraId="0155F98C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16" w:name="三修改点三"/>
      <w:r>
        <w:rPr>
          <w:rFonts w:hint="eastAsia" w:ascii="楷体" w:hAnsi="楷体" w:eastAsia="楷体" w:cs="楷体"/>
          <w:b/>
          <w:color w:val="000000"/>
          <w:sz w:val="32"/>
        </w:rPr>
        <w:t>（三）修改点三</w:t>
      </w:r>
    </w:p>
    <w:p w14:paraId="23392D30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原文（第六章·第四年—第五年（2029—2030年）·内部管理）：</w:t>
      </w:r>
    </w:p>
    <w:p w14:paraId="5E80AEC8">
      <w:pPr>
        <w:pStyle w:val="1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探索AI辅助决策在风控、营销等领域的深度应用。</w:t>
      </w:r>
    </w:p>
    <w:p w14:paraId="547B5F8C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在原文后新增：</w:t>
      </w:r>
    </w:p>
    <w:p w14:paraId="0AF9292D">
      <w:pPr>
        <w:pStyle w:val="1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同时，在平台生态层面，开放标准化API接口，探索与主流AI智能体平台的对接与合作，使公司的不动产服务能力能够被大模型调用和推荐，在AI驱动的流量新格局中建立先发布局。</w:t>
      </w:r>
    </w:p>
    <w:p w14:paraId="0C5FB7CB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原因：</w:t>
      </w:r>
    </w:p>
    <w:p w14:paraId="07AB0C79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原文仅将AI定位为内部管理工具，视角偏窄。AI不仅是”我如何用AI提效”的问题，更是”AI如何帮我带客户”的问题——后者的战略价值远大于前者。新增内容将AI从”内部工具”扩展到”生态连接器”，体现”AI原生”平台的另一层含义：既用AI提升内部效率，更通过AI生态获取外部流量。</w:t>
      </w:r>
    </w:p>
    <w:bookmarkEnd w:id="13"/>
    <w:bookmarkEnd w:id="16"/>
    <w:p w14:paraId="660BD721">
      <w:pPr>
        <w:pStyle w:val="4"/>
        <w:spacing w:before="0" w:after="720" w:line="560" w:lineRule="exact"/>
        <w:ind w:left="0" w:firstLine="0" w:firstLineChars="0"/>
        <w:jc w:val="left"/>
        <w:rPr>
          <w:rFonts w:hint="eastAsia" w:ascii="黑体" w:hAnsi="黑体" w:eastAsia="黑体" w:cs="黑体"/>
          <w:b w:val="0"/>
          <w:color w:val="000000"/>
          <w:sz w:val="32"/>
        </w:rPr>
      </w:pPr>
      <w:bookmarkStart w:id="17" w:name="五关于数据要素价值的深度挖掘进一步明确"/>
      <w:r>
        <w:rPr>
          <w:rFonts w:hint="eastAsia" w:ascii="黑体" w:hAnsi="黑体" w:eastAsia="黑体" w:cs="黑体"/>
          <w:b w:val="0"/>
          <w:color w:val="000000"/>
          <w:sz w:val="32"/>
        </w:rPr>
        <w:t>五、　关于数据要素价值的”深度挖掘”进一步明确</w:t>
      </w:r>
    </w:p>
    <w:p w14:paraId="681053E4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规划提到”数据驱动”，结合”十五五”规划对数据要素价值释放的要求，建议可以补充以下内容：</w:t>
      </w:r>
    </w:p>
    <w:p w14:paraId="11A6F654">
      <w:pPr>
        <w:pStyle w:val="5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bookmarkStart w:id="18" w:name="四前瞻布局数据要素价值释放"/>
      <w:r>
        <w:rPr>
          <w:rFonts w:hint="eastAsia" w:ascii="楷体" w:hAnsi="楷体" w:eastAsia="楷体" w:cs="楷体"/>
          <w:b/>
          <w:color w:val="000000"/>
          <w:sz w:val="32"/>
        </w:rPr>
        <w:t>（四）前瞻布局数据要素价值释放</w:t>
      </w:r>
    </w:p>
    <w:p w14:paraId="23096CD2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建议在原文第五章第四节”数字化与信息化建设”中，新增一小节：</w:t>
      </w:r>
    </w:p>
    <w:p w14:paraId="0345A61C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依据国家《“数据要素×”三年行动计划》和财政部《企业数据资源相关会计处理暂行规定》，结合”十五五”深化数据资源开发利用的要求，前瞻性规划数据资产化路径：</w:t>
      </w:r>
    </w:p>
    <w:p w14:paraId="1701454E">
      <w:pPr>
        <w:pStyle w:val="24"/>
        <w:numPr>
          <w:ilvl w:val="0"/>
          <w:numId w:val="3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2027—2028年（数据资源化）：在平台系统设计阶段建立数据资产标签规范，从源头标记高价值数据；统一各业务系统数据标准（客户ID、房源编码），启动企业级数据中台建设，打通担保、资金监管、拍卖、平台等系统数据。</w:t>
      </w:r>
    </w:p>
    <w:p w14:paraId="010E426E">
      <w:pPr>
        <w:pStyle w:val="24"/>
        <w:numPr>
          <w:ilvl w:val="0"/>
          <w:numId w:val="3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2028—2029年（数据资产化）：财务部门建立数据资源成本核算台账，将符合资本化条件的数据加工支出确认为无形资产，推动公司实现数据资产入表的企业。</w:t>
      </w:r>
    </w:p>
    <w:p w14:paraId="61BD4700">
      <w:pPr>
        <w:pStyle w:val="24"/>
        <w:numPr>
          <w:ilvl w:val="0"/>
          <w:numId w:val="3"/>
        </w:numPr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2030年（数据资本化探索）：在保障用户隐私与数据安全前提下，将脱敏后的房源、交易、担保数据封装为标准化数据产品，面向银行、评估机构等B端客户输出，开辟新的收入来源。</w:t>
      </w:r>
    </w:p>
    <w:bookmarkEnd w:id="17"/>
    <w:bookmarkEnd w:id="18"/>
    <w:p w14:paraId="210DA56E">
      <w:pPr>
        <w:pStyle w:val="4"/>
        <w:spacing w:before="0" w:after="720" w:line="560" w:lineRule="exact"/>
        <w:ind w:left="0" w:firstLine="0" w:firstLineChars="0"/>
        <w:jc w:val="left"/>
        <w:rPr>
          <w:rFonts w:hint="eastAsia" w:ascii="黑体" w:hAnsi="黑体" w:eastAsia="黑体" w:cs="黑体"/>
          <w:b w:val="0"/>
          <w:color w:val="000000"/>
          <w:sz w:val="32"/>
        </w:rPr>
      </w:pPr>
      <w:bookmarkStart w:id="19" w:name="六关于增加数字风险防控体系建设"/>
      <w:r>
        <w:rPr>
          <w:rFonts w:hint="eastAsia" w:ascii="黑体" w:hAnsi="黑体" w:eastAsia="黑体" w:cs="黑体"/>
          <w:b w:val="0"/>
          <w:color w:val="000000"/>
          <w:sz w:val="32"/>
        </w:rPr>
        <w:t>六、　关于增加数字风险防控体系建设</w:t>
      </w:r>
    </w:p>
    <w:p w14:paraId="5514CEE0">
      <w:pPr>
        <w:pStyle w:val="2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依据《银行业保险业数字金融高质量发展实施方案》。《方案》要求，着力建设智能风控体系，重点强化数字化形势下的战略风险、合规风险、操作风险、外包风险、流动性风险等重点风险防控，加强数据安全和网络安全防护，提升人工智能技术的安全应用能力，有效管理算法模型风险，防范数字生态外部合作风险。</w:t>
      </w:r>
    </w:p>
    <w:p w14:paraId="0B94B456">
      <w:pPr>
        <w:pStyle w:val="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建议：在第三节五个子项之后、预期成果之前，新增一个子项（五），原”（五）制度系统化”顺延为”（六）“，内容如下：</w:t>
      </w:r>
    </w:p>
    <w:p w14:paraId="23D4C8D2">
      <w:pPr>
        <w:pStyle w:val="13"/>
        <w:spacing w:before="0" w:after="0" w:line="560" w:lineRule="exact"/>
        <w:ind w:left="0" w:firstLine="643" w:firstLineChars="200"/>
        <w:jc w:val="both"/>
        <w:rPr>
          <w:rFonts w:hint="eastAsia" w:ascii="楷体" w:hAnsi="楷体" w:eastAsia="楷体" w:cs="楷体"/>
          <w:b/>
          <w:color w:val="000000"/>
          <w:sz w:val="32"/>
        </w:rPr>
      </w:pPr>
      <w:r>
        <w:rPr>
          <w:rFonts w:hint="eastAsia" w:ascii="楷体" w:hAnsi="楷体" w:eastAsia="楷体" w:cs="楷体"/>
          <w:b/>
          <w:color w:val="000000"/>
          <w:sz w:val="32"/>
        </w:rPr>
        <w:t>（五）数字风险防控</w:t>
      </w:r>
    </w:p>
    <w:p w14:paraId="22400152">
      <w:pPr>
        <w:pStyle w:val="13"/>
        <w:spacing w:before="0" w:after="0" w:line="560" w:lineRule="exact"/>
        <w:ind w:left="0" w:firstLine="640" w:firstLineChars="200"/>
        <w:jc w:val="both"/>
        <w:rPr>
          <w:rFonts w:hint="eastAsia" w:ascii="仿宋" w:hAnsi="仿宋" w:eastAsia="仿宋" w:cs="仿宋"/>
          <w:b w:val="0"/>
          <w:color w:val="000000"/>
          <w:sz w:val="32"/>
        </w:rPr>
      </w:pPr>
      <w:r>
        <w:rPr>
          <w:rFonts w:hint="eastAsia" w:ascii="仿宋" w:hAnsi="仿宋" w:eastAsia="仿宋" w:cs="仿宋"/>
          <w:b w:val="0"/>
          <w:color w:val="000000"/>
          <w:sz w:val="32"/>
        </w:rPr>
        <w:t>依据《银行业保险业数字金融高质量发展实施方案》关于着力建设智能风控体系、强化数字化形势下重点风险防控的要求，结合公司数字化基础薄弱的实际，将数字风险纳入全面风险管理框架：建立数字风险管理制度，明确创新业务与数字技术投产前的风险评估流程，将数字化环境下的战略风险、合规风险、操作风险、外包风险纳入统一管理；实施数据分类分级保护，加强客户个人信息和交易数据安全；在担保审批、资金监管等核心环节逐步引入数字化风控工具，提升异常交易识别和预警能力；强化人工智能应用安全管理，对AI辅助决策建立人工监督机制；规范数字生态外部合作方管理，建立外包服务商准入与审查机制，定期开展网络安全自查和应急演练。</w:t>
      </w:r>
    </w:p>
    <w:bookmarkEnd w:id="0"/>
    <w:bookmarkEnd w:id="19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00A99416"/>
    <w:multiLevelType w:val="multilevel"/>
    <w:tmpl w:val="00A99416"/>
    <w:lvl w:ilvl="0" w:tentative="0">
      <w:start w:val="6"/>
      <w:numFmt w:val="decimal"/>
      <w:lvlText w:val="%1."/>
      <w:lvlJc w:val="left"/>
      <w:pPr>
        <w:ind w:left="720" w:hanging="360"/>
      </w:pPr>
    </w:lvl>
    <w:lvl w:ilvl="1" w:tentative="0">
      <w:start w:val="6"/>
      <w:numFmt w:val="decimal"/>
      <w:lvlText w:val="%2."/>
      <w:lvlJc w:val="left"/>
      <w:pPr>
        <w:ind w:left="1440" w:hanging="360"/>
      </w:pPr>
    </w:lvl>
    <w:lvl w:ilvl="2" w:tentative="0">
      <w:start w:val="6"/>
      <w:numFmt w:val="decimal"/>
      <w:lvlText w:val="%3."/>
      <w:lvlJc w:val="left"/>
      <w:pPr>
        <w:ind w:left="2160" w:hanging="360"/>
      </w:pPr>
    </w:lvl>
    <w:lvl w:ilvl="3" w:tentative="0">
      <w:start w:val="6"/>
      <w:numFmt w:val="decimal"/>
      <w:lvlText w:val="%4."/>
      <w:lvlJc w:val="left"/>
      <w:pPr>
        <w:ind w:left="2880" w:hanging="360"/>
      </w:pPr>
    </w:lvl>
    <w:lvl w:ilvl="4" w:tentative="0">
      <w:start w:val="6"/>
      <w:numFmt w:val="decimal"/>
      <w:lvlText w:val="%5."/>
      <w:lvlJc w:val="left"/>
      <w:pPr>
        <w:ind w:left="3600" w:hanging="360"/>
      </w:pPr>
    </w:lvl>
    <w:lvl w:ilvl="5" w:tentative="0">
      <w:start w:val="6"/>
      <w:numFmt w:val="decimal"/>
      <w:lvlText w:val="%6."/>
      <w:lvlJc w:val="left"/>
      <w:pPr>
        <w:ind w:left="4320" w:hanging="360"/>
      </w:pPr>
    </w:lvl>
    <w:lvl w:ilvl="6" w:tentative="0">
      <w:start w:val="6"/>
      <w:numFmt w:val="decimal"/>
      <w:lvlText w:val="%7."/>
      <w:lvlJc w:val="left"/>
      <w:pPr>
        <w:ind w:left="5040" w:hanging="360"/>
      </w:pPr>
    </w:lvl>
    <w:lvl w:ilvl="7" w:tentative="0">
      <w:start w:val="6"/>
      <w:numFmt w:val="decimal"/>
      <w:lvlText w:val="%8."/>
      <w:lvlJc w:val="left"/>
      <w:pPr>
        <w:ind w:left="5760" w:hanging="360"/>
      </w:pPr>
    </w:lvl>
    <w:lvl w:ilvl="8" w:tentative="0">
      <w:start w:val="6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7DEF573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2026-06-24T07:17:00Z</dcterms:created>
  <dc:creator>李臻</dc:creator>
  <cp:lastModifiedBy>李臻</cp:lastModifiedBy>
  <dcterms:modified xsi:type="dcterms:W3CDTF">2026-06-24T07:17:36Z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0CEECA47F1884DEEA97A29C591B16E16_12</vt:lpwstr>
  </property>
</Properties>
</file>