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C4D12">
      <w:pPr>
        <w:pStyle w:val="2"/>
        <w:spacing w:before="0" w:after="0" w:line="560" w:lineRule="exact"/>
        <w:ind w:left="0" w:firstLine="0" w:firstLineChars="0"/>
        <w:jc w:val="center"/>
        <w:rPr>
          <w:rFonts w:hint="eastAsia" w:ascii="方正小标宋简体" w:hAnsi="方正小标宋简体" w:eastAsia="方正小标宋简体" w:cs="方正小标宋简体"/>
          <w:b/>
          <w:color w:val="000000"/>
          <w:sz w:val="44"/>
        </w:rPr>
      </w:pPr>
      <w:bookmarkStart w:id="0" w:name="关于五年规划平台建设部分的调整建议"/>
      <w:r>
        <w:rPr>
          <w:rFonts w:hint="eastAsia" w:ascii="方正小标宋简体" w:hAnsi="方正小标宋简体" w:eastAsia="方正小标宋简体" w:cs="方正小标宋简体"/>
          <w:b/>
          <w:color w:val="000000"/>
          <w:sz w:val="44"/>
        </w:rPr>
        <w:t>关于五年规划平台建设部分的调整建议</w:t>
      </w:r>
    </w:p>
    <w:p w14:paraId="5C57F6D8">
      <w:pPr>
        <w:pStyle w:val="23"/>
        <w:spacing w:before="0" w:after="0" w:line="560" w:lineRule="exact"/>
        <w:ind w:left="0" w:firstLine="640" w:firstLineChars="200"/>
        <w:jc w:val="both"/>
        <w:rPr>
          <w:rFonts w:hint="eastAsia" w:ascii="黑体" w:hAnsi="黑体" w:eastAsia="黑体" w:cs="黑体"/>
          <w:b w:val="0"/>
          <w:color w:val="000000"/>
          <w:sz w:val="32"/>
        </w:rPr>
      </w:pPr>
      <w:r>
        <w:rPr>
          <w:rFonts w:hint="eastAsia" w:ascii="黑体" w:hAnsi="黑体" w:eastAsia="黑体" w:cs="黑体"/>
          <w:b w:val="0"/>
          <w:color w:val="000000"/>
          <w:sz w:val="32"/>
        </w:rPr>
        <w:t>一、建议明确平台的建设原则：自主可控，建设外包</w:t>
      </w:r>
    </w:p>
    <w:p w14:paraId="3BAD5002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平台建设遵循”自主可控、建设外包”的策略，在主导权和建设模式两个层面明确分工与边界，既保障公司的战略主导权，又借助外部专业力量快速实现落地。</w:t>
      </w:r>
    </w:p>
    <w:p w14:paraId="508736F8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（二）必要性与合理性</w:t>
      </w:r>
    </w:p>
    <w:p w14:paraId="1C905905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①为什么必须”自主可控”</w:t>
      </w:r>
    </w:p>
    <w:p w14:paraId="08E92D7B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手拉手及全城联卖平台是公司”两翼”战略的核心组成部分，是公司未来获取流量、沉淀数据、拓展业务场景的战略性基础设施。平台一旦建成，将承载公司核心业务数据（房源信息、交易数据、客户资料、资金流水等），直接关系到公司的业务安全与长期竞争力。如果平台的设计权、标准制定权、数据主权不在自己手中，未来每一次功能调整、每一次供应商更换、每一次战略转型，都可能受制于人——轻则成本高昂，重则战略被动。因此，平台的主导权必须掌握在公司自己手里，不能外包，也不能让渡。</w:t>
      </w:r>
    </w:p>
    <w:p w14:paraId="583A0D00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②为什么必须”建设外包”</w:t>
      </w:r>
    </w:p>
    <w:p w14:paraId="5B0D7D0E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公司IT团队当前的人力规模和技术储备，尚不足以支撑从零开始自研一套完整的房产交易平台。如果坚持完全自研，开发周期可能在三年以上，不仅延误战略窗口期，而且从零自研的技术风险和质量风险也远高于采购成熟产品。通过采购成熟的源码平台作为底座，并借助外包实施力量快速完成定制开发，可以用合理的成本换取1—2年的时间优势，让平台尽快上线验证业务模式，抢占市场先机。</w:t>
      </w:r>
    </w:p>
    <w:p w14:paraId="02557866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③两者结合为什么是当前最优解</w:t>
      </w:r>
    </w:p>
    <w:p w14:paraId="362FB174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“自主可控”与”建设外包”并非矛盾，而是分工不同、互为支撑。公司自主做好顶层设计，明确”要什么、建成什么样”，外包负责”怎么建、用什么技术建”——这种模式下，公司不用担心被供应商”绑架”，因为蓝图是自己画的、标准是自己定的，外包只是按图施工的”施工队”；同时，公司也不用因为力量不足而无限期拖延，因为落地实施由专业的外包力量来完成。</w:t>
      </w:r>
    </w:p>
    <w:p w14:paraId="01C10799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④长期价值</w:t>
      </w:r>
    </w:p>
    <w:p w14:paraId="519CF4A0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通过”自主可控、建设外包”的策略，公司可以在1—2年内快速拿到可用的平台，在业务跑通的同时，内部团队通过全程跟学跟建逐步建立自主维护能力，最终实现”外包实施→内部维护”的平滑过渡。这是一个”既能快速拿到结果、又能持续积累能力”的最优路径。</w:t>
      </w:r>
    </w:p>
    <w:p w14:paraId="40519E3F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黑体" w:hAnsi="黑体" w:eastAsia="黑体" w:cs="黑体"/>
          <w:b w:val="0"/>
          <w:color w:val="000000"/>
          <w:sz w:val="32"/>
        </w:rPr>
      </w:pPr>
      <w:r>
        <w:rPr>
          <w:rFonts w:hint="eastAsia" w:ascii="黑体" w:hAnsi="黑体" w:eastAsia="黑体" w:cs="黑体"/>
          <w:b w:val="0"/>
          <w:color w:val="000000"/>
          <w:sz w:val="32"/>
        </w:rPr>
        <w:t>二、关于平台策略由”C端先行”调整为”B端先行”</w:t>
      </w:r>
    </w:p>
    <w:p w14:paraId="35389FA3">
      <w:pPr>
        <w:pStyle w:val="3"/>
        <w:spacing w:before="0" w:after="24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（一）B端是高频、可沉淀的，C端是低频、不可沉淀的</w:t>
      </w:r>
    </w:p>
    <w:tbl>
      <w:tblPr>
        <w:tblStyle w:val="41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70" w:type="dxa"/>
          <w:left w:w="283" w:type="dxa"/>
          <w:bottom w:w="170" w:type="dxa"/>
          <w:right w:w="283" w:type="dxa"/>
        </w:tblCellMar>
      </w:tblPr>
      <w:tblGrid>
        <w:gridCol w:w="3069"/>
        <w:gridCol w:w="3069"/>
        <w:gridCol w:w="3069"/>
      </w:tblGrid>
      <w:tr w14:paraId="15754E2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c>
          <w:tcPr>
            <w:shd w:val="clear" w:color="auto" w:fill="FFFFFF"/>
          </w:tcPr>
          <w:p w14:paraId="6BFE8E3D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使用频率</w:t>
            </w:r>
          </w:p>
        </w:tc>
        <w:tc>
          <w:tcPr>
            <w:shd w:val="clear" w:color="auto" w:fill="FFFFFF"/>
          </w:tcPr>
          <w:p w14:paraId="3EAFAE25">
            <w:pPr>
              <w:pStyle w:val="24"/>
              <w:ind w:left="0" w:firstLine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  <w:t>日常作业工具，每天打开多次</w:t>
            </w:r>
          </w:p>
        </w:tc>
        <w:tc>
          <w:tcPr>
            <w:shd w:val="clear" w:color="auto" w:fill="FFFFFF"/>
          </w:tcPr>
          <w:p w14:paraId="3645B681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交易周期内用完即走，一辈子一到两次</w:t>
            </w:r>
          </w:p>
        </w:tc>
      </w:tr>
      <w:tr w14:paraId="43201B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70" w:type="dxa"/>
            <w:left w:w="283" w:type="dxa"/>
            <w:bottom w:w="170" w:type="dxa"/>
            <w:right w:w="283" w:type="dxa"/>
          </w:tblCellMar>
        </w:tblPrEx>
        <w:tc>
          <w:tcPr>
            <w:shd w:val="clear" w:color="auto" w:fill="FFFFFF"/>
          </w:tcPr>
          <w:p w14:paraId="5A00AF87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用户粘性</w:t>
            </w:r>
          </w:p>
        </w:tc>
        <w:tc>
          <w:tcPr>
            <w:shd w:val="clear" w:color="auto" w:fill="FFFFFF"/>
          </w:tcPr>
          <w:p w14:paraId="3D9EEDA2">
            <w:pPr>
              <w:pStyle w:val="24"/>
              <w:ind w:left="0" w:firstLine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  <w:t>高，工具和数据积累形成迁移成本</w:t>
            </w:r>
          </w:p>
        </w:tc>
        <w:tc>
          <w:tcPr>
            <w:shd w:val="clear" w:color="auto" w:fill="FFFFFF"/>
          </w:tcPr>
          <w:p w14:paraId="00A925D4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极低，无理由留存</w:t>
            </w:r>
          </w:p>
        </w:tc>
      </w:tr>
      <w:tr w14:paraId="4C46D1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70" w:type="dxa"/>
            <w:left w:w="283" w:type="dxa"/>
            <w:bottom w:w="170" w:type="dxa"/>
            <w:right w:w="283" w:type="dxa"/>
          </w:tblCellMar>
        </w:tblPrEx>
        <w:tc>
          <w:tcPr>
            <w:shd w:val="clear" w:color="auto" w:fill="FFFFFF"/>
          </w:tcPr>
          <w:p w14:paraId="6854A47C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可沉淀性</w:t>
            </w:r>
          </w:p>
        </w:tc>
        <w:tc>
          <w:tcPr>
            <w:shd w:val="clear" w:color="auto" w:fill="FFFFFF"/>
          </w:tcPr>
          <w:p w14:paraId="1A605DB4">
            <w:pPr>
              <w:pStyle w:val="24"/>
              <w:ind w:left="0" w:firstLine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  <w:t>房源库、客户库、成交记录持续积累</w:t>
            </w:r>
          </w:p>
        </w:tc>
        <w:tc>
          <w:tcPr>
            <w:shd w:val="clear" w:color="auto" w:fill="FFFFFF"/>
          </w:tcPr>
          <w:p w14:paraId="23BE5E6F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交易结束后无持续交互价值</w:t>
            </w:r>
          </w:p>
        </w:tc>
      </w:tr>
      <w:tr w14:paraId="3786386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70" w:type="dxa"/>
            <w:left w:w="283" w:type="dxa"/>
            <w:bottom w:w="170" w:type="dxa"/>
            <w:right w:w="283" w:type="dxa"/>
          </w:tblCellMar>
        </w:tblPrEx>
        <w:tc>
          <w:tcPr>
            <w:shd w:val="clear" w:color="auto" w:fill="FFFFFF"/>
          </w:tcPr>
          <w:p w14:paraId="47B94863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决策影响力</w:t>
            </w:r>
          </w:p>
        </w:tc>
        <w:tc>
          <w:tcPr>
            <w:shd w:val="clear" w:color="auto" w:fill="FFFFFF"/>
          </w:tcPr>
          <w:p w14:paraId="1AD39A8A">
            <w:pPr>
              <w:pStyle w:val="24"/>
              <w:ind w:left="0" w:firstLine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  <w:t>专业角色，对C端有强引导力</w:t>
            </w:r>
          </w:p>
        </w:tc>
        <w:tc>
          <w:tcPr>
            <w:shd w:val="clear" w:color="auto" w:fill="FFFFFF"/>
          </w:tcPr>
          <w:p w14:paraId="124102BA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被动接收信息，决策依赖中介建议</w:t>
            </w:r>
          </w:p>
        </w:tc>
      </w:tr>
    </w:tbl>
    <w:p w14:paraId="77406907">
      <w:pPr>
        <w:pStyle w:val="3"/>
        <w:spacing w:before="24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结论：用低频的C端去拉动高频的B端，是把撬棍插反了。正确的杠杆是用高频的B端沉淀内容和服务，再通过B端去触达和服务C端。</w:t>
      </w:r>
    </w:p>
    <w:p w14:paraId="1B872188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（二）双边市场的规律——“第一推动力”是供给侧</w:t>
      </w:r>
    </w:p>
    <w:p w14:paraId="75B1E260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双边市场有一个基本规律：必须先有供给，才能引来需求。</w:t>
      </w:r>
    </w:p>
    <w:p w14:paraId="2D840620">
      <w:pPr>
        <w:pStyle w:val="24"/>
        <w:numPr>
          <w:ilvl w:val="0"/>
          <w:numId w:val="1"/>
        </w:numPr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滴滴是先有司机（供给），乘客才有车可打；</w:t>
      </w:r>
    </w:p>
    <w:p w14:paraId="5A4192E7">
      <w:pPr>
        <w:pStyle w:val="24"/>
        <w:numPr>
          <w:ilvl w:val="0"/>
          <w:numId w:val="1"/>
        </w:numPr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美团是先有餐厅（供给），用户才有饭可点；</w:t>
      </w:r>
    </w:p>
    <w:p w14:paraId="4E6EE075">
      <w:pPr>
        <w:pStyle w:val="24"/>
        <w:numPr>
          <w:ilvl w:val="0"/>
          <w:numId w:val="1"/>
        </w:numPr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贝壳是先有经纪人（供给），购房者才有房可看。</w:t>
      </w:r>
    </w:p>
    <w:p w14:paraId="24DD5037">
      <w:pPr>
        <w:pStyle w:val="2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同样的逻辑：平台必须先有中介入驻、有房源共享、有联卖网络，C端用户来了才有东西可看、有人可服务。先推C端，用户来了发现房源少、中介少，体验差、口碑差，再想拉回来成本极高。</w:t>
      </w:r>
    </w:p>
    <w:p w14:paraId="5C97945F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（三）C端决策高度依赖中介引导，先推C端会被中介”截流”</w:t>
      </w:r>
    </w:p>
    <w:p w14:paraId="4063906E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这是最关键的洞察。即使C端客户一开始通过平台了解到了自主交易方案，但大部分客户在交易决策过程中，仍然会咨询中介、依赖中介的专业建议。中介有天然的客户关系和信任基础，只要一句话——“你这个情况我们帮你处理更稳妥”，客户就被截流了。</w:t>
      </w:r>
    </w:p>
    <w:p w14:paraId="20CACF0A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我们的平台如果无法影响中介的行为，就无法真正影响C端的结果。只有让B端先用起来、用顺手、离不开了，他们才会主动把客户带到平台上来。B端才是我们触达C端最有效的渠道。</w:t>
      </w:r>
    </w:p>
    <w:p w14:paraId="2B878006">
      <w:pPr>
        <w:pStyle w:val="3"/>
        <w:spacing w:before="0" w:after="24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（四）案例佐证</w:t>
      </w:r>
    </w:p>
    <w:tbl>
      <w:tblPr>
        <w:tblStyle w:val="41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70" w:type="dxa"/>
          <w:left w:w="283" w:type="dxa"/>
          <w:bottom w:w="170" w:type="dxa"/>
          <w:right w:w="283" w:type="dxa"/>
        </w:tblCellMar>
      </w:tblPr>
      <w:tblGrid>
        <w:gridCol w:w="3069"/>
        <w:gridCol w:w="3069"/>
        <w:gridCol w:w="3069"/>
      </w:tblGrid>
      <w:tr w14:paraId="204EAF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70" w:type="dxa"/>
            <w:left w:w="283" w:type="dxa"/>
            <w:bottom w:w="170" w:type="dxa"/>
            <w:right w:w="283" w:type="dxa"/>
          </w:tblCellMar>
        </w:tblPrEx>
        <w:tc>
          <w:tcPr>
            <w:shd w:val="clear" w:color="auto" w:fill="FFFFFF"/>
          </w:tcPr>
          <w:p w14:paraId="4DEE5E52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贝壳找房</w:t>
            </w:r>
          </w:p>
        </w:tc>
        <w:tc>
          <w:tcPr>
            <w:shd w:val="clear" w:color="auto" w:fill="FFFFFF"/>
          </w:tcPr>
          <w:p w14:paraId="5B00EB76">
            <w:pPr>
              <w:pStyle w:val="24"/>
              <w:ind w:left="0" w:firstLine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  <w:t>B端先行（先整合经纪人、门店，构建ACN合作网络，房源共享体系成熟后才推C端APP）</w:t>
            </w:r>
          </w:p>
        </w:tc>
        <w:tc>
          <w:tcPr>
            <w:shd w:val="clear" w:color="auto" w:fill="FFFFFF"/>
          </w:tcPr>
          <w:p w14:paraId="72377E93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成功构建行业壁垒，C端流量自然随之而来</w:t>
            </w:r>
          </w:p>
        </w:tc>
      </w:tr>
      <w:tr w14:paraId="3A49A62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70" w:type="dxa"/>
            <w:left w:w="283" w:type="dxa"/>
            <w:bottom w:w="170" w:type="dxa"/>
            <w:right w:w="283" w:type="dxa"/>
          </w:tblCellMar>
        </w:tblPrEx>
        <w:tc>
          <w:tcPr>
            <w:shd w:val="clear" w:color="auto" w:fill="FFFFFF"/>
          </w:tcPr>
          <w:p w14:paraId="2689E5F1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滴滴出行</w:t>
            </w:r>
          </w:p>
        </w:tc>
        <w:tc>
          <w:tcPr>
            <w:shd w:val="clear" w:color="auto" w:fill="FFFFFF"/>
          </w:tcPr>
          <w:p w14:paraId="48D45CC7">
            <w:pPr>
              <w:pStyle w:val="24"/>
              <w:ind w:left="0" w:firstLine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  <w:t>B端先行（先补贴司机，保证接单能力）</w:t>
            </w:r>
          </w:p>
        </w:tc>
        <w:tc>
          <w:tcPr>
            <w:shd w:val="clear" w:color="auto" w:fill="FFFFFF"/>
          </w:tcPr>
          <w:p w14:paraId="5B90B995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充足的供给带来了海量用户</w:t>
            </w:r>
          </w:p>
        </w:tc>
      </w:tr>
      <w:tr w14:paraId="44F33EC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70" w:type="dxa"/>
            <w:left w:w="283" w:type="dxa"/>
            <w:bottom w:w="170" w:type="dxa"/>
            <w:right w:w="283" w:type="dxa"/>
          </w:tblCellMar>
        </w:tblPrEx>
        <w:tc>
          <w:tcPr>
            <w:shd w:val="clear" w:color="auto" w:fill="FFFFFF"/>
          </w:tcPr>
          <w:p w14:paraId="623B34EE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多数失败的地方房产平台</w:t>
            </w:r>
          </w:p>
        </w:tc>
        <w:tc>
          <w:tcPr>
            <w:shd w:val="clear" w:color="auto" w:fill="FFFFFF"/>
          </w:tcPr>
          <w:p w14:paraId="12F06AD2">
            <w:pPr>
              <w:pStyle w:val="24"/>
              <w:ind w:left="0" w:firstLine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  <w:t>C端先行（花大量预算推广C端，但房源少、中介不活跃）</w:t>
            </w:r>
          </w:p>
        </w:tc>
        <w:tc>
          <w:tcPr>
            <w:shd w:val="clear" w:color="auto" w:fill="FFFFFF"/>
          </w:tcPr>
          <w:p w14:paraId="6B6331C6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用户来了一次即流失，平台沦为”僵尸平台”</w:t>
            </w:r>
          </w:p>
        </w:tc>
      </w:tr>
    </w:tbl>
    <w:p w14:paraId="1008778C">
      <w:pPr>
        <w:pStyle w:val="3"/>
        <w:spacing w:before="240" w:after="0" w:line="560" w:lineRule="exact"/>
        <w:ind w:left="0" w:firstLine="640" w:firstLineChars="200"/>
        <w:jc w:val="both"/>
        <w:rPr>
          <w:rFonts w:hint="eastAsia" w:ascii="黑体" w:hAnsi="黑体" w:eastAsia="黑体" w:cs="黑体"/>
          <w:b w:val="0"/>
          <w:color w:val="000000"/>
          <w:sz w:val="32"/>
        </w:rPr>
      </w:pPr>
      <w:r>
        <w:rPr>
          <w:rFonts w:hint="eastAsia" w:ascii="黑体" w:hAnsi="黑体" w:eastAsia="黑体" w:cs="黑体"/>
          <w:b w:val="0"/>
          <w:color w:val="000000"/>
          <w:sz w:val="32"/>
        </w:rPr>
        <w:t>三、关于五年计划实施路径和年度行动计划</w:t>
      </w:r>
    </w:p>
    <w:p w14:paraId="13C33ED2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（一）原计划</w:t>
      </w:r>
    </w:p>
    <w:p w14:paraId="6FD6BAD7">
      <w:pPr>
        <w:pStyle w:val="3"/>
        <w:spacing w:before="0" w:after="24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三）年度实施路径中的平台节点（第六章）</w:t>
      </w:r>
    </w:p>
    <w:tbl>
      <w:tblPr>
        <w:tblStyle w:val="41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70" w:type="dxa"/>
          <w:left w:w="283" w:type="dxa"/>
          <w:bottom w:w="170" w:type="dxa"/>
          <w:right w:w="283" w:type="dxa"/>
        </w:tblCellMar>
      </w:tblPr>
      <w:tblGrid>
        <w:gridCol w:w="2268"/>
        <w:gridCol w:w="6803"/>
      </w:tblGrid>
      <w:tr w14:paraId="0E05594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70" w:type="dxa"/>
            <w:left w:w="283" w:type="dxa"/>
            <w:bottom w:w="170" w:type="dxa"/>
            <w:right w:w="283" w:type="dxa"/>
          </w:tblCellMar>
        </w:tblPrEx>
        <w:tc>
          <w:tcPr>
            <w:tcW w:w="2268" w:type="dxa"/>
            <w:shd w:val="clear" w:color="auto" w:fill="FFFFFF"/>
          </w:tcPr>
          <w:p w14:paraId="1D5EB97A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2026年（夯基固本·C端先行）</w:t>
            </w:r>
          </w:p>
        </w:tc>
        <w:tc>
          <w:tcPr>
            <w:tcW w:w="6803" w:type="dxa"/>
            <w:shd w:val="clear" w:color="auto" w:fill="FFFFFF"/>
          </w:tcPr>
          <w:p w14:paraId="705F49B6">
            <w:pPr>
              <w:pStyle w:val="24"/>
              <w:ind w:left="0" w:firstLine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  <w:t>MVP上线C端核心功能（自主交易、房源核验、资金监管、网签、交易咨询），采用SaaS/低代码，控制投入；完成与担保、资金监管系统对接；组建运营团队；建立数据看板</w:t>
            </w:r>
          </w:p>
        </w:tc>
      </w:tr>
      <w:tr w14:paraId="79023FF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70" w:type="dxa"/>
            <w:left w:w="283" w:type="dxa"/>
            <w:bottom w:w="170" w:type="dxa"/>
            <w:right w:w="283" w:type="dxa"/>
          </w:tblCellMar>
        </w:tblPrEx>
        <w:tc>
          <w:tcPr>
            <w:tcW w:w="2268" w:type="dxa"/>
            <w:shd w:val="clear" w:color="auto" w:fill="FFFFFF"/>
          </w:tcPr>
          <w:p w14:paraId="47326F8F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2027年（提质扩量·中介接入）</w:t>
            </w:r>
          </w:p>
        </w:tc>
        <w:tc>
          <w:tcPr>
            <w:tcW w:w="6803" w:type="dxa"/>
            <w:shd w:val="clear" w:color="auto" w:fill="FFFFFF"/>
          </w:tcPr>
          <w:p w14:paraId="5F37745F">
            <w:pPr>
              <w:pStyle w:val="24"/>
              <w:ind w:left="0" w:firstLine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  <w:t>V2.0上线，新增中介入驻、房源共享、全城联卖功能；深化与政务/银行/公积金系统对接；启动中介招募与运营，建立分佣规则；验证流量转化逻辑</w:t>
            </w:r>
          </w:p>
        </w:tc>
      </w:tr>
      <w:tr w14:paraId="5B19A9A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70" w:type="dxa"/>
            <w:left w:w="283" w:type="dxa"/>
            <w:bottom w:w="170" w:type="dxa"/>
            <w:right w:w="283" w:type="dxa"/>
          </w:tblCellMar>
        </w:tblPrEx>
        <w:tc>
          <w:tcPr>
            <w:tcW w:w="2268" w:type="dxa"/>
            <w:shd w:val="clear" w:color="auto" w:fill="FFFFFF"/>
          </w:tcPr>
          <w:p w14:paraId="6CE95F7E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2028年（转型见效·平台闭环）</w:t>
            </w:r>
          </w:p>
        </w:tc>
        <w:tc>
          <w:tcPr>
            <w:tcW w:w="6803" w:type="dxa"/>
            <w:shd w:val="clear" w:color="auto" w:fill="FFFFFF"/>
          </w:tcPr>
          <w:p w14:paraId="417DEF4E">
            <w:pPr>
              <w:pStyle w:val="24"/>
              <w:ind w:left="0" w:firstLine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  <w:t>V3.0成熟运行，实现”房源—交易—资金监管—担保办理—资产服务”全流程闭环；流量稳定增长，成为重要获客入口；关键决策节点：评估前两年验证结果，决策是否进入第二阶段系统重构</w:t>
            </w:r>
          </w:p>
        </w:tc>
      </w:tr>
      <w:tr w14:paraId="1039CD1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70" w:type="dxa"/>
            <w:left w:w="283" w:type="dxa"/>
            <w:bottom w:w="170" w:type="dxa"/>
            <w:right w:w="283" w:type="dxa"/>
          </w:tblCellMar>
        </w:tblPrEx>
        <w:tc>
          <w:tcPr>
            <w:tcW w:w="2268" w:type="dxa"/>
            <w:shd w:val="clear" w:color="auto" w:fill="FFFFFF"/>
          </w:tcPr>
          <w:p w14:paraId="3E965CFA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2029—2030年（跨越发展·平台标杆）</w:t>
            </w:r>
          </w:p>
        </w:tc>
        <w:tc>
          <w:tcPr>
            <w:tcW w:w="6803" w:type="dxa"/>
            <w:shd w:val="clear" w:color="auto" w:fill="FFFFFF"/>
          </w:tcPr>
          <w:p w14:paraId="6FDC7774">
            <w:pPr>
              <w:pStyle w:val="24"/>
              <w:ind w:left="0" w:firstLine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  <w:t>成为区域民生服务标杆；实现数据驱动的智能匹配、智能风控；探索增值服务模式；若2028年决策重构，此阶段完成自有系统架构建设</w:t>
            </w:r>
          </w:p>
        </w:tc>
      </w:tr>
    </w:tbl>
    <w:p w14:paraId="4DCF940C">
      <w:pPr>
        <w:pStyle w:val="3"/>
        <w:spacing w:before="24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（二）建议改成</w:t>
      </w:r>
    </w:p>
    <w:p w14:paraId="16534C8F">
      <w:pPr>
        <w:pStyle w:val="3"/>
        <w:spacing w:before="0" w:after="24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平台建设核心任务（调整后）</w:t>
      </w:r>
    </w:p>
    <w:tbl>
      <w:tblPr>
        <w:tblStyle w:val="41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70" w:type="dxa"/>
          <w:left w:w="283" w:type="dxa"/>
          <w:bottom w:w="170" w:type="dxa"/>
          <w:right w:w="283" w:type="dxa"/>
        </w:tblCellMar>
      </w:tblPr>
      <w:tblGrid>
        <w:gridCol w:w="2268"/>
        <w:gridCol w:w="6803"/>
      </w:tblGrid>
      <w:tr w14:paraId="7B2E53D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70" w:type="dxa"/>
            <w:left w:w="283" w:type="dxa"/>
            <w:bottom w:w="170" w:type="dxa"/>
            <w:right w:w="283" w:type="dxa"/>
          </w:tblCellMar>
        </w:tblPrEx>
        <w:tc>
          <w:tcPr>
            <w:tcW w:w="2268" w:type="dxa"/>
            <w:shd w:val="clear" w:color="auto" w:fill="FFFFFF"/>
          </w:tcPr>
          <w:p w14:paraId="1D346A9F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2026年（后半段）</w:t>
            </w:r>
          </w:p>
        </w:tc>
        <w:tc>
          <w:tcPr>
            <w:tcW w:w="6803" w:type="dxa"/>
            <w:shd w:val="clear" w:color="auto" w:fill="FFFFFF"/>
          </w:tcPr>
          <w:p w14:paraId="118ADE1B">
            <w:pPr>
              <w:pStyle w:val="24"/>
              <w:ind w:left="0" w:firstLine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  <w:t>需求深研+整体设计+源码平台选型+供应商确定+合同签署。完成全场景业务需求梳理与业务架构设计；完成市场主流源码平台调研与技术评估；完成供应商比选与招标采购；完成合同谈判（重点明确源码交付范围、知识产权归属、后续服务条款）；完成2027年详细开发计划制定。不上线任何版本。</w:t>
            </w:r>
          </w:p>
        </w:tc>
      </w:tr>
      <w:tr w14:paraId="65E9538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70" w:type="dxa"/>
            <w:left w:w="283" w:type="dxa"/>
            <w:bottom w:w="170" w:type="dxa"/>
            <w:right w:w="283" w:type="dxa"/>
          </w:tblCellMar>
        </w:tblPrEx>
        <w:tc>
          <w:tcPr>
            <w:tcW w:w="2268" w:type="dxa"/>
            <w:shd w:val="clear" w:color="auto" w:fill="FFFFFF"/>
          </w:tcPr>
          <w:p w14:paraId="05EFF91A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2027年（提质扩量·开发上线）</w:t>
            </w:r>
          </w:p>
        </w:tc>
        <w:tc>
          <w:tcPr>
            <w:tcW w:w="6803" w:type="dxa"/>
            <w:shd w:val="clear" w:color="auto" w:fill="FFFFFF"/>
          </w:tcPr>
          <w:p w14:paraId="10891553">
            <w:pPr>
              <w:pStyle w:val="24"/>
              <w:ind w:left="0" w:firstLine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  <w:t>中标供应商实施二次开发。上半年完成核心C端功能改造（自主交易、房源核验、资金监管、网签、交易咨询）及内部系统（担保系统、“鹭房通”）对接，内部团队跟学跟建；下半年完成V1.0正式上线，组建运营团队，建立数据看板。同步启动中介端功能的需求细化和设计，为后续迭代做准备。</w:t>
            </w:r>
          </w:p>
        </w:tc>
      </w:tr>
      <w:tr w14:paraId="1C1DDF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70" w:type="dxa"/>
            <w:left w:w="283" w:type="dxa"/>
            <w:bottom w:w="170" w:type="dxa"/>
            <w:right w:w="283" w:type="dxa"/>
          </w:tblCellMar>
        </w:tblPrEx>
        <w:tc>
          <w:tcPr>
            <w:tcW w:w="2268" w:type="dxa"/>
            <w:shd w:val="clear" w:color="auto" w:fill="FFFFFF"/>
          </w:tcPr>
          <w:p w14:paraId="036FD9BF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2028年（中介接入·生态成形）</w:t>
            </w:r>
          </w:p>
        </w:tc>
        <w:tc>
          <w:tcPr>
            <w:tcW w:w="6803" w:type="dxa"/>
            <w:shd w:val="clear" w:color="auto" w:fill="FFFFFF"/>
          </w:tcPr>
          <w:p w14:paraId="2B85B3E5">
            <w:pPr>
              <w:pStyle w:val="24"/>
              <w:ind w:left="0" w:firstLine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  <w:t>平台V2.0上线，新增中介入驻、房源共享、全城联卖功能；深化与政务/银行/公积金等外部系统对接；启动中介招募与运营，建立分佣规则；验证C端引流与中介联卖的协同效果；平台初步形成”自主交易+联卖”双轮驱动格局。关键决策节点：评估前两年运营效果，决策是否加大自研投入，替换部分外包模块。</w:t>
            </w:r>
          </w:p>
        </w:tc>
      </w:tr>
      <w:tr w14:paraId="5ECE5F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70" w:type="dxa"/>
            <w:left w:w="283" w:type="dxa"/>
            <w:bottom w:w="170" w:type="dxa"/>
            <w:right w:w="283" w:type="dxa"/>
          </w:tblCellMar>
        </w:tblPrEx>
        <w:tc>
          <w:tcPr>
            <w:tcW w:w="2268" w:type="dxa"/>
            <w:shd w:val="clear" w:color="auto" w:fill="FFFFFF"/>
          </w:tcPr>
          <w:p w14:paraId="48CEC85B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2029—2030年（跨越发展·平台标杆）</w:t>
            </w:r>
          </w:p>
        </w:tc>
        <w:tc>
          <w:tcPr>
            <w:tcW w:w="6803" w:type="dxa"/>
            <w:shd w:val="clear" w:color="auto" w:fill="FFFFFF"/>
          </w:tcPr>
          <w:p w14:paraId="47CBF111">
            <w:pPr>
              <w:pStyle w:val="24"/>
              <w:ind w:left="0" w:firstLine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  <w:t>平台实现”房源—交易—资金监管—担保办理—资产服务”全流程闭环；成为区域民生服务标杆和公司重要获客入口；实现数据驱动的运营分析、智能匹配与智能风控；探索增值服务模式，提升平台自我造血能力；若2028年决策加大自研投入，此阶段完成核心模块自有化替换。</w:t>
            </w:r>
          </w:p>
        </w:tc>
      </w:tr>
    </w:tbl>
    <w:p w14:paraId="7676809D">
      <w:pPr>
        <w:pStyle w:val="3"/>
        <w:spacing w:before="24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（三）原因一：对平台的理解深度不足，需要先”想清楚”再”动手做”</w:t>
      </w:r>
    </w:p>
    <w:p w14:paraId="284E31DB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现状分析：</w:t>
      </w:r>
    </w:p>
    <w:p w14:paraId="57225F86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我们内部对”手拉手及全城联卖平台”的功能设计、业务场景、运营模式的理解，尚处于较为初步的阶段。</w:t>
      </w:r>
    </w:p>
    <w:p w14:paraId="4DFCBE12">
      <w:pPr>
        <w:pStyle w:val="24"/>
        <w:numPr>
          <w:ilvl w:val="0"/>
          <w:numId w:val="1"/>
        </w:numPr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业务理解层面：平台涉及C端自主交易、中介联卖、房源共享、分润结算、资金监管等多重复杂场景。这些场景在实际操作中如何流转？各方利益如何平衡？风控节点如何设置？这些核心问题，我们目前的答案还不够清晰和具体。</w:t>
      </w:r>
    </w:p>
    <w:p w14:paraId="14A02E49">
      <w:pPr>
        <w:pStyle w:val="24"/>
        <w:numPr>
          <w:ilvl w:val="0"/>
          <w:numId w:val="1"/>
        </w:numPr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行业认知层面：同类平台（如贝壳、安居客等）的运营逻辑各有不同，哪些适合我们？哪些不适合？市场上的技术方案能覆盖到什么程度？这些需要和行业内的人士（房产交易平台运营方、技术方案商、中介机构代表等）进行充分碰撞和交流，才能形成真正贴合公司实际、具有可操作性的方案。</w:t>
      </w:r>
    </w:p>
    <w:p w14:paraId="340315C8">
      <w:pPr>
        <w:pStyle w:val="2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我们需要做什么：</w:t>
      </w:r>
    </w:p>
    <w:p w14:paraId="3DCC8CC8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下半年需要安排一系列调研和研讨工作——与潜在供应商进行技术交流、走访同类平台或行业标杆、邀请行业专家进行方案评审、联合业务部门逐场景梳理需求。这些工作的核心目的，是把”我们要什么”想清楚、写明白。只有想清楚了，后续的选型和开发才有依据。这个过程需要时间，但它是必需的，也是省不掉的。</w:t>
      </w:r>
    </w:p>
    <w:p w14:paraId="00BA545B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结论：在需求尚未充分论证、架构尚未清晰的情况下，贸然启动开发，做出来的东西大概率不是业务真正需要的，后续推倒重来的成本远高于现在多花几个月把设计做扎实。</w:t>
      </w:r>
    </w:p>
    <w:p w14:paraId="36ECCD45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（四）原因二：平台的建设路径尚未最终确定，前期选型工作决定项目成败</w:t>
      </w:r>
    </w:p>
    <w:p w14:paraId="4AE5C8D5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现状分析：</w:t>
      </w:r>
    </w:p>
    <w:p w14:paraId="1B5D8D14">
      <w:pPr>
        <w:pStyle w:val="3"/>
        <w:spacing w:before="0" w:after="24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平台采用什么路径建设，目前还有多个选项在并行评估中：</w:t>
      </w:r>
    </w:p>
    <w:tbl>
      <w:tblPr>
        <w:tblStyle w:val="41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70" w:type="dxa"/>
          <w:left w:w="283" w:type="dxa"/>
          <w:bottom w:w="170" w:type="dxa"/>
          <w:right w:w="283" w:type="dxa"/>
        </w:tblCellMar>
      </w:tblPr>
      <w:tblGrid>
        <w:gridCol w:w="3069"/>
        <w:gridCol w:w="3069"/>
        <w:gridCol w:w="3069"/>
      </w:tblGrid>
      <w:tr w14:paraId="4D8C337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70" w:type="dxa"/>
            <w:left w:w="283" w:type="dxa"/>
            <w:bottom w:w="170" w:type="dxa"/>
            <w:right w:w="283" w:type="dxa"/>
          </w:tblCellMar>
        </w:tblPrEx>
        <w:tc>
          <w:tcPr>
            <w:shd w:val="clear" w:color="auto" w:fill="FFFFFF"/>
          </w:tcPr>
          <w:p w14:paraId="068F7C07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采购成熟源码平台进行二次开发</w:t>
            </w:r>
          </w:p>
        </w:tc>
        <w:tc>
          <w:tcPr>
            <w:shd w:val="clear" w:color="auto" w:fill="FFFFFF"/>
          </w:tcPr>
          <w:p w14:paraId="49070F90">
            <w:pPr>
              <w:pStyle w:val="24"/>
              <w:ind w:left="0" w:firstLine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  <w:t>底盘稳定、功能相对完整，但选型难度大、锁定风险高</w:t>
            </w:r>
          </w:p>
        </w:tc>
        <w:tc>
          <w:tcPr>
            <w:shd w:val="clear" w:color="auto" w:fill="FFFFFF"/>
          </w:tcPr>
          <w:p w14:paraId="7E6BBAAF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需求相对清晰、预算充足、能选到匹配度高的产品</w:t>
            </w:r>
          </w:p>
        </w:tc>
      </w:tr>
      <w:tr w14:paraId="76C4A5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70" w:type="dxa"/>
            <w:left w:w="283" w:type="dxa"/>
            <w:bottom w:w="170" w:type="dxa"/>
            <w:right w:w="283" w:type="dxa"/>
          </w:tblCellMar>
        </w:tblPrEx>
        <w:tc>
          <w:tcPr>
            <w:shd w:val="clear" w:color="auto" w:fill="FFFFFF"/>
          </w:tcPr>
          <w:p w14:paraId="03B49D8D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委托定制开发</w:t>
            </w:r>
          </w:p>
        </w:tc>
        <w:tc>
          <w:tcPr>
            <w:shd w:val="clear" w:color="auto" w:fill="FFFFFF"/>
          </w:tcPr>
          <w:p w14:paraId="1747C898">
            <w:pPr>
              <w:pStyle w:val="24"/>
              <w:ind w:left="0" w:firstLine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  <w:t>完全按需定制，但开发周期长、质量风险高</w:t>
            </w:r>
          </w:p>
        </w:tc>
        <w:tc>
          <w:tcPr>
            <w:shd w:val="clear" w:color="auto" w:fill="FFFFFF"/>
          </w:tcPr>
          <w:p w14:paraId="44620D13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需求个性化强、市场上无匹配产品</w:t>
            </w:r>
          </w:p>
        </w:tc>
      </w:tr>
      <w:tr w14:paraId="3E04AB8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70" w:type="dxa"/>
            <w:left w:w="283" w:type="dxa"/>
            <w:bottom w:w="170" w:type="dxa"/>
            <w:right w:w="283" w:type="dxa"/>
          </w:tblCellMar>
        </w:tblPrEx>
        <w:tc>
          <w:tcPr>
            <w:shd w:val="clear" w:color="auto" w:fill="FFFFFF"/>
          </w:tcPr>
          <w:p w14:paraId="254099B8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bookmarkStart w:id="1" w:name="_GoBack" w:colFirst="2" w:colLast="2"/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SaaS租用（如可行）</w:t>
            </w:r>
          </w:p>
        </w:tc>
        <w:tc>
          <w:tcPr>
            <w:shd w:val="clear" w:color="auto" w:fill="FFFFFF"/>
          </w:tcPr>
          <w:p w14:paraId="1C89F9E3">
            <w:pPr>
              <w:pStyle w:val="24"/>
              <w:ind w:left="0" w:firstLine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  <w:t>快速上线、投入低，但数据主权受限、长期依赖厂商</w:t>
            </w:r>
          </w:p>
        </w:tc>
        <w:tc>
          <w:tcPr>
            <w:shd w:val="clear" w:color="auto" w:fill="FFFFFF"/>
          </w:tcPr>
          <w:p w14:paraId="207CAB2E">
            <w:pPr>
              <w:pStyle w:val="24"/>
              <w:ind w:left="0" w:firstLine="0"/>
              <w:jc w:val="left"/>
              <w:rPr>
                <w:rFonts w:hint="eastAsia" w:ascii="黑体" w:hAnsi="黑体" w:eastAsia="黑体" w:cs="黑体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需求标准化、数据合规压力小</w:t>
            </w:r>
          </w:p>
        </w:tc>
      </w:tr>
      <w:bookmarkEnd w:id="1"/>
    </w:tbl>
    <w:p w14:paraId="01DB8DDD">
      <w:pPr>
        <w:pStyle w:val="24"/>
        <w:numPr>
          <w:ilvl w:val="0"/>
          <w:numId w:val="1"/>
        </w:numPr>
        <w:spacing w:before="24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选型决定了未来五年的技术底座。如果选了一个底层架构封闭、扩展性差的产品，未来想做功能叠加时会非常困难，甚至需要推倒重来。</w:t>
      </w:r>
    </w:p>
    <w:p w14:paraId="7F557643">
      <w:pPr>
        <w:pStyle w:val="24"/>
        <w:numPr>
          <w:ilvl w:val="0"/>
          <w:numId w:val="1"/>
        </w:numPr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选型决定了成本结构。不同模式的授权费、实施费、后续维护费差异巨大。选对了，钱花在刀刃上；选错了，不仅是资金浪费，更是时间成本的巨大损失。</w:t>
      </w:r>
    </w:p>
    <w:p w14:paraId="7770354D">
      <w:pPr>
        <w:pStyle w:val="24"/>
        <w:numPr>
          <w:ilvl w:val="0"/>
          <w:numId w:val="1"/>
        </w:numPr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选型决定了”第二阶段”的投入。我们现在的选择，直接决定了未来是否需要大规模重构。前期多花三个月做好选型，可能省掉后期一年的重构投入。前期的调研和设计工作，其重要性不亚于系统开发本身。</w:t>
      </w:r>
    </w:p>
    <w:p w14:paraId="77657469">
      <w:pPr>
        <w:pStyle w:val="23"/>
        <w:spacing w:before="0" w:after="0" w:line="560" w:lineRule="exact"/>
        <w:ind w:left="0" w:firstLine="640" w:firstLineChars="200"/>
        <w:jc w:val="both"/>
        <w:rPr>
          <w:rFonts w:hint="eastAsia" w:ascii="黑体" w:hAnsi="黑体" w:eastAsia="黑体" w:cs="黑体"/>
          <w:b w:val="0"/>
          <w:color w:val="000000"/>
          <w:sz w:val="32"/>
        </w:rPr>
      </w:pPr>
      <w:r>
        <w:rPr>
          <w:rFonts w:hint="eastAsia" w:ascii="黑体" w:hAnsi="黑体" w:eastAsia="黑体" w:cs="黑体"/>
          <w:b w:val="0"/>
          <w:color w:val="000000"/>
          <w:sz w:val="32"/>
        </w:rPr>
        <w:t>四、关于平台技术底座——建议以”AI原生”思路建设，做好迎接商业逻辑重构的准备</w:t>
      </w:r>
    </w:p>
    <w:p w14:paraId="0E4D3F05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（一）修改点一</w:t>
      </w:r>
    </w:p>
    <w:p w14:paraId="64301F55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原文（第二章·外部环境研判·技术环境）：</w:t>
      </w:r>
    </w:p>
    <w:p w14:paraId="75527874">
      <w:pPr>
        <w:pStyle w:val="1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自媒体平台的去中心化传播与AI技术的深度应用，正在解构传统房地产经纪的信息垄断与服务模式。房源信息更加透明、客户自主获取信息能力显著增强，对传统中介”信息差”盈利模式形成巨大挑战。与此同时，技术变革也为独立、专业的第三方服务机构提供了新的获客通道与服务工具，降低了新进入者的品牌传播成本，使公司有机会以”专业内容+国企信用”切入市场，实现弯道超车。</w:t>
      </w:r>
    </w:p>
    <w:p w14:paraId="0E142B10">
      <w:pPr>
        <w:pStyle w:val="2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在此段后新增：</w:t>
      </w:r>
    </w:p>
    <w:p w14:paraId="6CD250E3">
      <w:pPr>
        <w:pStyle w:val="1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尤为值得关注的是，AI智能体（Agent）的快速崛起正在重塑未来的商业逻辑——用户获取服务的入口可能从”搜索式、浏览式”转向”对话式、委托式”，即从”人找服务”演变为”AI代人找服务”。这意味着，未来的流量分配机制可能从传统的平台搜索排名，转向AI智能体对服务提供方的智能匹配与推荐。谁能让自己的服务数据被大模型理解、被AI智能体调用，谁就能在新的流量格局中占据先机。因此，公司在平台建设初期即需建立”AI原生”意识，在技术架构和数据治理层面为”被AI调用”提前做好储备，这不仅是技术选型问题，更是关乎未来三到五年流量入口话语权的战略判断。</w:t>
      </w:r>
    </w:p>
    <w:p w14:paraId="27D837A0">
      <w:pPr>
        <w:pStyle w:val="2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原因：</w:t>
      </w:r>
    </w:p>
    <w:p w14:paraId="667579AC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规划原文仅将AI视为”工具”和”传播渠道”，视角偏窄。实际上，AI智能体正在从底层重构用户获取服务的逻辑——未来用户可能不再”逛”平台，而是直接告诉AI助手需求，由AI代为筛选和推荐。这意味着流量入口可能从APP/小程序转移到AI智能体。新增段落将AI的讨论从”工具应用”提升到”商业模式重构”的战略高度，为后续”AI就绪”建议建立逻辑基础。</w:t>
      </w:r>
    </w:p>
    <w:p w14:paraId="00313160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（二）修改点二</w:t>
      </w:r>
    </w:p>
    <w:p w14:paraId="14D05846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原文（第四章·第三板块·平台建设与运营的原则）：</w:t>
      </w:r>
    </w:p>
    <w:p w14:paraId="2A6D19D3">
      <w:pPr>
        <w:pStyle w:val="1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现有五项原则：合规运营、国企背书、开放共赢、用户导向、分步投入。</w:t>
      </w:r>
    </w:p>
    <w:p w14:paraId="46F3D83A">
      <w:pPr>
        <w:pStyle w:val="2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在五项原则后新增第六项：</w:t>
      </w:r>
    </w:p>
    <w:p w14:paraId="5A7A2715">
      <w:pPr>
        <w:pStyle w:val="24"/>
        <w:numPr>
          <w:ilvl w:val="0"/>
          <w:numId w:val="2"/>
        </w:numPr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AI就绪（AI-Ready）：数据可被理解、服务可被调用</w:t>
      </w:r>
    </w:p>
    <w:p w14:paraId="286A0947">
      <w:pPr>
        <w:pStyle w:val="1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平台建设需前置考虑AI智能体时代的到来，在技术架构和数据治理层面做好”被AI调用”的准备。具体包括：核心业务数据的结构化存储与标准化输出、核心服务能力的API化封装、以及面向大模型调用场景的接口兼容性设计。此项工作不增加额外开发成本或延误上线进度，而是在设计阶段和开发规范中融入”面向AI的视角”，确保平台未来能够被大模型理解、被AI智能体推荐、被外部系统调用，为公司在AI驱动的流量新格局中抢占先发优势。</w:t>
      </w:r>
    </w:p>
    <w:p w14:paraId="5B3FFDDC">
      <w:pPr>
        <w:pStyle w:val="2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原因：</w:t>
      </w:r>
    </w:p>
    <w:p w14:paraId="1DF8DDCF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原有五项原则中缺少对AI趋势的前瞻性考量。平台的技术底座一旦确定，后续改造的难度和成本极高——如果现在不提要求，等平台建好再想”被AI调用”，就不是”加个接口”那么简单，而是涉及数据重构、接口重写、架构调整的大工程。新增此项原则，将”AI就绪”纳入平台建设的底层规范，不增加工作量，但为未来打开可能性。</w:t>
      </w:r>
    </w:p>
    <w:p w14:paraId="0D605FB7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（三）修改点三</w:t>
      </w:r>
    </w:p>
    <w:p w14:paraId="51330EBF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原文（第六章·第四年—第五年（2029—2030年）·内部管理）：</w:t>
      </w:r>
    </w:p>
    <w:p w14:paraId="71F4E7D4">
      <w:pPr>
        <w:pStyle w:val="1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探索AI辅助决策在风控、营销等领域的深度应用。</w:t>
      </w:r>
    </w:p>
    <w:p w14:paraId="31F1702D">
      <w:pPr>
        <w:pStyle w:val="2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在原文后新增：</w:t>
      </w:r>
    </w:p>
    <w:p w14:paraId="37888777">
      <w:pPr>
        <w:pStyle w:val="1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同时，在平台生态层面，开放标准化API接口，探索与主流AI智能体平台的对接与合作，使公司的不动产服务能力能够被大模型调用和推荐，在AI驱动的流量新格局中建立先发布局。</w:t>
      </w:r>
    </w:p>
    <w:p w14:paraId="2819A4A6">
      <w:pPr>
        <w:pStyle w:val="2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原因：</w:t>
      </w:r>
    </w:p>
    <w:p w14:paraId="132A708F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原文仅将AI定位为内部管理工具，视角偏窄。AI不仅是”我如何用AI提效”的问题，更是”AI如何帮我带客户”的问题——后者的战略价值远大于前者。新增内容将AI从”内部工具”扩展到”生态连接器”，体现”AI原生”平台的另一层含义：既用AI提升内部效率，更通过AI生态获取外部流量。</w:t>
      </w:r>
    </w:p>
    <w:p w14:paraId="68AD24FA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黑体" w:hAnsi="黑体" w:eastAsia="黑体" w:cs="黑体"/>
          <w:b w:val="0"/>
          <w:color w:val="000000"/>
          <w:sz w:val="32"/>
        </w:rPr>
      </w:pPr>
      <w:r>
        <w:rPr>
          <w:rFonts w:hint="eastAsia" w:ascii="黑体" w:hAnsi="黑体" w:eastAsia="黑体" w:cs="黑体"/>
          <w:b w:val="0"/>
          <w:color w:val="000000"/>
          <w:sz w:val="32"/>
        </w:rPr>
        <w:t>五、关于数据要素价值的”深度挖掘”进一步明确</w:t>
      </w:r>
    </w:p>
    <w:p w14:paraId="6A66BFBC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规划提到”数据驱动”，结合”十五五”规划对数据要素价值释放的要求，建议可以补充以下内容：</w:t>
      </w:r>
    </w:p>
    <w:p w14:paraId="657F3169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（四）前瞻布局数据要素价值释放</w:t>
      </w:r>
    </w:p>
    <w:p w14:paraId="695E3C59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建议在原文第五章第四节”数字化与信息化建设”中，新增一小节：</w:t>
      </w:r>
    </w:p>
    <w:p w14:paraId="2466BEFA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依据国家《“数据要素×”三年行动计划》和财政部《企业数据资源相关会计处理暂行规定》，结合”十五五”深化数据资源开发利用的要求，前瞻性规划数据资产化路径：</w:t>
      </w:r>
    </w:p>
    <w:p w14:paraId="29FBC73F">
      <w:pPr>
        <w:pStyle w:val="24"/>
        <w:numPr>
          <w:ilvl w:val="0"/>
          <w:numId w:val="3"/>
        </w:numPr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2027—2028年（数据资源化）：在平台系统设计阶段建立数据资产标签规范，从源头标记高价值数据；统一各业务系统数据标准（客户ID、房源编码），启动企业级数据中台建设，打通担保、资金监管、拍卖、平台等系统数据。</w:t>
      </w:r>
    </w:p>
    <w:p w14:paraId="1458099F">
      <w:pPr>
        <w:pStyle w:val="24"/>
        <w:numPr>
          <w:ilvl w:val="0"/>
          <w:numId w:val="3"/>
        </w:numPr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2028—2029年（数据资产化）：财务部门建立数据资源成本核算台账，将符合资本化条件的数据加工支出确认为无形资产，推动公司实现数据资产入表的企业。</w:t>
      </w:r>
    </w:p>
    <w:p w14:paraId="0839440E">
      <w:pPr>
        <w:pStyle w:val="24"/>
        <w:numPr>
          <w:ilvl w:val="0"/>
          <w:numId w:val="3"/>
        </w:numPr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2030年（数据资本化探索）：在保障用户隐私与数据安全前提下，将脱敏后的房源、交易、担保数据封装为标准化数据产品，面向银行、评估机构等B端客户输出，开辟新的收入来源。</w:t>
      </w:r>
    </w:p>
    <w:p w14:paraId="7B642095">
      <w:pPr>
        <w:pStyle w:val="23"/>
        <w:spacing w:before="0" w:after="0" w:line="560" w:lineRule="exact"/>
        <w:ind w:left="0" w:firstLine="640" w:firstLineChars="200"/>
        <w:jc w:val="both"/>
        <w:rPr>
          <w:rFonts w:hint="eastAsia" w:ascii="黑体" w:hAnsi="黑体" w:eastAsia="黑体" w:cs="黑体"/>
          <w:b w:val="0"/>
          <w:color w:val="000000"/>
          <w:sz w:val="32"/>
        </w:rPr>
      </w:pPr>
      <w:r>
        <w:rPr>
          <w:rFonts w:hint="eastAsia" w:ascii="黑体" w:hAnsi="黑体" w:eastAsia="黑体" w:cs="黑体"/>
          <w:b w:val="0"/>
          <w:color w:val="000000"/>
          <w:sz w:val="32"/>
        </w:rPr>
        <w:t>六、关于增加数字风险防控体系建设</w:t>
      </w:r>
    </w:p>
    <w:p w14:paraId="6D7CC444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依据《银行业保险业数字金融高质量发展实施方案》。《方案》要求，着力建设智能风控体系，重点强化数字化形势下的战略风险、合规风险、操作风险、外包风险、流动性风险等重点风险防控，加强数据安全和网络安全防护，提升人工智能技术的安全应用能力，有效管理算法模型风险，防范数字生态外部合作风险。</w:t>
      </w:r>
    </w:p>
    <w:p w14:paraId="1972424D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建议：在第三节五个子项之后、预期成果之前，新增一个子项（五），原”（五）制度系统化”顺延为”（六）“，内容如下：</w:t>
      </w:r>
    </w:p>
    <w:p w14:paraId="43E4E1A3">
      <w:pPr>
        <w:pStyle w:val="1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（五）数字风险防控</w:t>
      </w:r>
    </w:p>
    <w:p w14:paraId="55E4C47B">
      <w:pPr>
        <w:pStyle w:val="1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依据《银行业保险业数字金融高质量发展实施方案》关于着力建设智能风控体系、强化数字化形势下重点风险防控的要求，结合公司数字化基础薄弱的实际，将数字风险纳入全面风险管理框架：建立数字风险管理制度，明确创新业务与数字技术投产前的风险评估流程，将数字化环境下的战略风险、合规风险、操作风险、外包风险纳入统一管理；实施数据分类分级保护，加强客户个人信息和交易数据安全；在担保审批、资金监管等核心环节逐步引入数字化风控工具，提升异常交易识别和预警能力；强化人工智能应用安全管理，对AI辅助决策建立人工监督机制；规范数字生态外部合作方管理，建立外包服务商准入与审查机制，定期开展网络安全自查和应急演练。</w:t>
      </w:r>
    </w:p>
    <w:bookmarkEnd w:id="0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00A99416"/>
    <w:multiLevelType w:val="multilevel"/>
    <w:tmpl w:val="00A99416"/>
    <w:lvl w:ilvl="0" w:tentative="0">
      <w:start w:val="6"/>
      <w:numFmt w:val="decimal"/>
      <w:lvlText w:val="%1."/>
      <w:lvlJc w:val="left"/>
      <w:pPr>
        <w:ind w:left="720" w:hanging="360"/>
      </w:pPr>
    </w:lvl>
    <w:lvl w:ilvl="1" w:tentative="0">
      <w:start w:val="6"/>
      <w:numFmt w:val="decimal"/>
      <w:lvlText w:val="%2."/>
      <w:lvlJc w:val="left"/>
      <w:pPr>
        <w:ind w:left="1440" w:hanging="360"/>
      </w:pPr>
    </w:lvl>
    <w:lvl w:ilvl="2" w:tentative="0">
      <w:start w:val="6"/>
      <w:numFmt w:val="decimal"/>
      <w:lvlText w:val="%3."/>
      <w:lvlJc w:val="left"/>
      <w:pPr>
        <w:ind w:left="2160" w:hanging="360"/>
      </w:pPr>
    </w:lvl>
    <w:lvl w:ilvl="3" w:tentative="0">
      <w:start w:val="6"/>
      <w:numFmt w:val="decimal"/>
      <w:lvlText w:val="%4."/>
      <w:lvlJc w:val="left"/>
      <w:pPr>
        <w:ind w:left="2880" w:hanging="360"/>
      </w:pPr>
    </w:lvl>
    <w:lvl w:ilvl="4" w:tentative="0">
      <w:start w:val="6"/>
      <w:numFmt w:val="decimal"/>
      <w:lvlText w:val="%5."/>
      <w:lvlJc w:val="left"/>
      <w:pPr>
        <w:ind w:left="3600" w:hanging="360"/>
      </w:pPr>
    </w:lvl>
    <w:lvl w:ilvl="5" w:tentative="0">
      <w:start w:val="6"/>
      <w:numFmt w:val="decimal"/>
      <w:lvlText w:val="%6."/>
      <w:lvlJc w:val="left"/>
      <w:pPr>
        <w:ind w:left="4320" w:hanging="360"/>
      </w:pPr>
    </w:lvl>
    <w:lvl w:ilvl="6" w:tentative="0">
      <w:start w:val="6"/>
      <w:numFmt w:val="decimal"/>
      <w:lvlText w:val="%7."/>
      <w:lvlJc w:val="left"/>
      <w:pPr>
        <w:ind w:left="5040" w:hanging="360"/>
      </w:pPr>
    </w:lvl>
    <w:lvl w:ilvl="7" w:tentative="0">
      <w:start w:val="6"/>
      <w:numFmt w:val="decimal"/>
      <w:lvlText w:val="%8."/>
      <w:lvlJc w:val="left"/>
      <w:pPr>
        <w:ind w:left="5760" w:hanging="360"/>
      </w:pPr>
    </w:lvl>
    <w:lvl w:ilvl="8" w:tentative="0">
      <w:start w:val="6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54A574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2026-06-24T05:58:00Z</dcterms:created>
  <dc:creator>李臻</dc:creator>
  <cp:lastModifiedBy>李臻</cp:lastModifiedBy>
  <dcterms:modified xsi:type="dcterms:W3CDTF">2026-06-24T05:59:01Z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2CDF11E2818E4A50B36608C2E81E4BDF_12</vt:lpwstr>
  </property>
</Properties>
</file>