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F7904">
      <w:pPr>
        <w:pStyle w:val="2"/>
        <w:spacing w:before="120" w:after="480" w:line="560" w:lineRule="exact"/>
        <w:ind w:left="0"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</w:pPr>
      <w:bookmarkStart w:id="0" w:name="五年规划平台建设部分调整建议的汇报发言稿"/>
      <w:r>
        <w:rPr>
          <w:rFonts w:hint="eastAsia" w:ascii="方正小标宋简体" w:hAnsi="方正小标宋简体" w:eastAsia="方正小标宋简体" w:cs="方正小标宋简体"/>
          <w:b/>
          <w:color w:val="000000"/>
          <w:sz w:val="44"/>
        </w:rPr>
        <w:t>五年规划平台建设部分调整建议的汇报</w:t>
      </w:r>
      <w:bookmarkStart w:id="9" w:name="_GoBack"/>
      <w:bookmarkEnd w:id="9"/>
    </w:p>
    <w:p w14:paraId="277ADDD3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各位领导：</w:t>
      </w:r>
    </w:p>
    <w:p w14:paraId="2D3E487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我代表数创新发展部，就五年规划中平台建设部分的调整建议，向各位汇报。一共9个建议，</w:t>
      </w:r>
      <w:r>
        <w:rPr>
          <w:rFonts w:hint="eastAsia" w:ascii="仿宋" w:hAnsi="仿宋" w:eastAsia="仿宋" w:cs="仿宋"/>
          <w:b w:val="0"/>
          <w:color w:val="000000"/>
          <w:sz w:val="32"/>
          <w:lang w:val="en-US" w:eastAsia="zh-CN"/>
        </w:rPr>
        <w:t>业务板块3条平台建设6条，</w:t>
      </w:r>
      <w:r>
        <w:rPr>
          <w:rFonts w:hint="eastAsia" w:ascii="仿宋" w:hAnsi="仿宋" w:eastAsia="仿宋" w:cs="仿宋"/>
          <w:b w:val="0"/>
          <w:color w:val="000000"/>
          <w:sz w:val="32"/>
        </w:rPr>
        <w:t>我逐一说明。</w:t>
      </w:r>
    </w:p>
    <w:p w14:paraId="407778C2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1" w:name="业务板块方面"/>
      <w:r>
        <w:rPr>
          <w:rFonts w:hint="eastAsia" w:ascii="黑体" w:hAnsi="黑体" w:eastAsia="黑体" w:cs="黑体"/>
          <w:b w:val="0"/>
          <w:color w:val="000000"/>
          <w:sz w:val="32"/>
        </w:rPr>
        <w:t>业务板块方面：</w:t>
      </w:r>
    </w:p>
    <w:p w14:paraId="4A9E7817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jc w:val="both"/>
        <w:textAlignment w:val="auto"/>
        <w:outlineLvl w:val="1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一、</w:t>
      </w:r>
      <w:r>
        <w:rPr>
          <w:rFonts w:hint="eastAsia" w:ascii="黑体" w:hAnsi="黑体" w:eastAsia="黑体" w:cs="黑体"/>
          <w:b w:val="0"/>
          <w:bCs/>
          <w:color w:val="000000"/>
          <w:sz w:val="32"/>
        </w:rPr>
        <w:t>安全交易免费服务包重点举措</w:t>
      </w:r>
    </w:p>
    <w:p w14:paraId="1E9C58D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建议一方面借助政府资源持续开展“线上+线下”宣传推广，另一方面链接政府类平台（例如：i厦门等），实现业务引流、蓄客和后端担保业务的转化。</w:t>
      </w:r>
    </w:p>
    <w:p w14:paraId="2ECE376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jc w:val="both"/>
        <w:textAlignment w:val="auto"/>
        <w:outlineLvl w:val="1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二、</w:t>
      </w:r>
      <w:r>
        <w:rPr>
          <w:rFonts w:hint="eastAsia" w:ascii="黑体" w:hAnsi="黑体" w:eastAsia="黑体" w:cs="黑体"/>
          <w:b w:val="0"/>
          <w:bCs/>
          <w:color w:val="000000"/>
          <w:sz w:val="32"/>
        </w:rPr>
        <w:t>创新非交易担保中场景担保业务的重点举措</w:t>
      </w:r>
    </w:p>
    <w:p w14:paraId="565E6971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经调研，租房场景的保函类产品目前需求不大，开发难度大，建议描述模糊化。建议修改为：</w:t>
      </w:r>
    </w:p>
    <w:p w14:paraId="27F4C13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建立常态化的场景机会识别机制，跳出房产交易领域，聚焦各类具有真实交易闭环、资金自偿路径清晰的垂直领域，持续挖掘保函需求。</w:t>
      </w:r>
    </w:p>
    <w:p w14:paraId="4AA28F3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firstLine="640" w:firstLineChars="200"/>
        <w:jc w:val="both"/>
        <w:textAlignment w:val="auto"/>
        <w:outlineLvl w:val="1"/>
        <w:rPr>
          <w:rFonts w:hint="eastAsia" w:ascii="黑体" w:hAnsi="黑体" w:eastAsia="黑体" w:cs="黑体"/>
          <w:b w:val="0"/>
          <w:color w:val="000000"/>
          <w:sz w:val="32"/>
        </w:rPr>
      </w:pPr>
      <w:r>
        <w:rPr>
          <w:rFonts w:hint="eastAsia" w:ascii="黑体" w:hAnsi="黑体" w:eastAsia="黑体" w:cs="黑体"/>
          <w:b w:val="0"/>
          <w:color w:val="000000"/>
          <w:sz w:val="32"/>
        </w:rPr>
        <w:t>三、</w:t>
      </w:r>
      <w:r>
        <w:rPr>
          <w:rFonts w:hint="eastAsia" w:ascii="黑体" w:hAnsi="黑体" w:eastAsia="黑体" w:cs="黑体"/>
          <w:b w:val="0"/>
          <w:bCs/>
          <w:color w:val="000000"/>
          <w:sz w:val="32"/>
        </w:rPr>
        <w:t>建议构建客户资源管理体系</w:t>
      </w:r>
    </w:p>
    <w:p w14:paraId="14A7B033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通过构建客户资源管理体系，实现对存量客户深度挖潜与新增客户精准拓展的双轮驱动。具体举措包括：搭建统一的客户关系管理平台，整合分散在各业务部门的存量客户信息，建立360度客户画像，系统追踪其业务变迁与潜在需求，推动交叉销售与二次转化；针对新增客户资源，建立标准化获客、分级化培育、标签化分发的闭环流程，提升从线索到首单的转化效率；通过制度规范与系统工具并行，改变以往“重业务轻管理”的粗放状态，力争五年内实现客户信息完整率、延申服务的转化率、客户转介绍的显著提升，使客户资源真正成为公司可持续增长的底层资产。</w:t>
      </w:r>
    </w:p>
    <w:bookmarkEnd w:id="1"/>
    <w:p w14:paraId="414B6A69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2" w:name="平台建设方面"/>
      <w:r>
        <w:rPr>
          <w:rFonts w:hint="eastAsia" w:ascii="黑体" w:hAnsi="黑体" w:eastAsia="黑体" w:cs="黑体"/>
          <w:b w:val="0"/>
          <w:color w:val="000000"/>
          <w:sz w:val="32"/>
        </w:rPr>
        <w:t>平台建设方面</w:t>
      </w:r>
    </w:p>
    <w:bookmarkEnd w:id="2"/>
    <w:p w14:paraId="61D1A104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3" w:name="一建议明确平台建设原则自主可控建设外包"/>
      <w:r>
        <w:rPr>
          <w:rFonts w:hint="eastAsia" w:ascii="黑体" w:hAnsi="黑体" w:eastAsia="黑体" w:cs="黑体"/>
          <w:b w:val="0"/>
          <w:color w:val="000000"/>
          <w:sz w:val="32"/>
        </w:rPr>
        <w:t>一：建议明确平台建设原则——“自主可控、建设外包”</w:t>
      </w:r>
    </w:p>
    <w:p w14:paraId="4378982C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先说结论：我们建议把平台的建设原则明确为八个字——“自主可控、建设外包”。</w:t>
      </w:r>
    </w:p>
    <w:p w14:paraId="20CAC78A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为什么提这个？理由有三条。</w:t>
      </w:r>
    </w:p>
    <w:p w14:paraId="3C634F3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第一，主导权必须在自己手里。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手拉手和全城联卖平台是公司”两翼”战略的核心，将来承载的公司重要的数据资产和业务流程。如果设计权、标准制定权、数据主权都不在自己手上，以后每一次功能调整、每一次换供应商、每一次战略转向，都会被人卡脖子。不是成本高低的问题，是战略被动的问题。</w:t>
      </w:r>
    </w:p>
    <w:p w14:paraId="4343EC6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第二，完全自研不现实。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按照我们团队规模和技术储备，撑不起从零开始搭一套完整的房产交易平台。硬做的话，开发周期会很长，战略窗口期就错过了。买一套成熟的源码底座，再外包做定制开发，用合理的成本换一到两年的时间优势，这笔账是划算的。</w:t>
      </w:r>
    </w:p>
    <w:p w14:paraId="79B2DAD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第三，这条路径能让我们从”外包实施”平滑过渡到”内部维护”。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团队全程跟学跟建，一到两年后逐步建立自主维护能力，既能快速拿到结果，又能持续积累能力，是最务实的路径。</w:t>
      </w:r>
    </w:p>
    <w:bookmarkEnd w:id="3"/>
    <w:p w14:paraId="374AA4D6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4" w:name="二平台策略从c端先行调整为b端先行"/>
      <w:r>
        <w:rPr>
          <w:rFonts w:hint="eastAsia" w:ascii="黑体" w:hAnsi="黑体" w:eastAsia="黑体" w:cs="黑体"/>
          <w:b w:val="0"/>
          <w:color w:val="000000"/>
          <w:sz w:val="32"/>
        </w:rPr>
        <w:t>二：平台策略——从”C端先行”调整为”B端先行”</w:t>
      </w:r>
    </w:p>
    <w:p w14:paraId="568C360B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理由有三条：</w:t>
      </w:r>
    </w:p>
    <w:p w14:paraId="28EA1E6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第一，B端是高频、可沉淀的，C端是低频、不可沉淀的。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平台是经纪人是每天都要用的，房源库、客户库、成交记录越积越厚，粘性越来越高。而C端客户一辈子就那一两次，用完即走，留不下什么。用低频的C端去撬动高频的B端，这个杠杆可能是反的。</w:t>
      </w:r>
    </w:p>
    <w:p w14:paraId="1860A8E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第二，双边市场的规律是必须先有供给，才有需求。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从成功惯例来看，滴滴先有司机，乘客才有车打；美团先有餐厅，用户才有饭点；贝壳先有经纪人，购房者才有房看。一样的道理，我们平台必须先有中介入驻、有房源共享、有联卖网络，C端用户来了才有东西可看。</w:t>
      </w:r>
    </w:p>
    <w:p w14:paraId="65BBB07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第三，C端决策高度依赖中介引导，先推C端会被中介截流。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这是最关键的。就算客户通过我们的平台了解到了自主交易方案，转头还是会去问中介。中介一句话——“你这个情况我们帮你处理更稳妥”——客户就被截走了。我们影响不了中介的行为，就影响不了C端的结果。只有让B端先用起来、用顺手、离不开了，他们才会主动把客户带到平台上来。</w:t>
      </w:r>
    </w:p>
    <w:p w14:paraId="584B0F5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我的建议是</w:t>
      </w:r>
      <w:r>
        <w:rPr>
          <w:rFonts w:hint="eastAsia" w:ascii="仿宋" w:hAnsi="仿宋" w:eastAsia="仿宋" w:cs="仿宋"/>
          <w:b w:val="0"/>
          <w:color w:val="000000"/>
          <w:sz w:val="32"/>
        </w:rPr>
        <w:t>：把平台策略从”C端先行”调整为”B端先行”，2026年先做B端基础，2027年再通过B端去触达C端。</w:t>
      </w:r>
    </w:p>
    <w:bookmarkEnd w:id="4"/>
    <w:p w14:paraId="203A90C6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5" w:name="三实施路径2026年从上线开发调整为需求设计与选型"/>
      <w:r>
        <w:rPr>
          <w:rFonts w:hint="eastAsia" w:ascii="黑体" w:hAnsi="黑体" w:eastAsia="黑体" w:cs="黑体"/>
          <w:b w:val="0"/>
          <w:color w:val="000000"/>
          <w:sz w:val="32"/>
        </w:rPr>
        <w:t>三：实施路径——2026年从”上线开发”调整为”需求设计与选型”</w:t>
      </w:r>
    </w:p>
    <w:p w14:paraId="1F4FC02D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理由有二条。</w:t>
      </w:r>
    </w:p>
    <w:p w14:paraId="7E33B0E1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第一，我们对平台的理解还不够深，需要先想清楚再动手。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这个平台涉及C端自主交易、中介联卖、房源共享、分润结算、平台的运营策略。各方利益怎么平衡？风控节点怎么设置？老实说，我们现在的答案还不够清晰。下半年需要花时间去和供应商交流、走访同行、请专家评审、和业务部门逐场景梳理需求。这些活省不掉，做扎实了后续才顺。</w:t>
      </w:r>
    </w:p>
    <w:p w14:paraId="2B9E5F74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第二，选型决定了未来五年的技术底座，选错了代价巨大。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是买成熟源码做二次开发，还是委托定制开发，还是租用SaaS？每个选项的授权费、实施费、后续维护费差异巨大。更关键的是，如果选了一个底层架构封闭、扩展性差的产品，以后想加功能都加不上去，只能推倒重来。前期多花时间做好选型，可能省掉后期大量重构投入。</w:t>
      </w:r>
    </w:p>
    <w:p w14:paraId="7E0FA66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我的建议是</w:t>
      </w:r>
      <w:r>
        <w:rPr>
          <w:rFonts w:hint="eastAsia" w:ascii="仿宋" w:hAnsi="仿宋" w:eastAsia="仿宋" w:cs="仿宋"/>
          <w:b w:val="0"/>
          <w:color w:val="000000"/>
          <w:sz w:val="32"/>
        </w:rPr>
        <w:t>：2026年下半年的核心任务调整为”需求梳理+架构设计+源码选型+供应商确定+合同签署”，2027年再正式进入开发上线阶段。</w:t>
      </w:r>
    </w:p>
    <w:bookmarkEnd w:id="5"/>
    <w:p w14:paraId="18BCDD59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6" w:name="四技术底座以ai原生思路建设"/>
      <w:r>
        <w:rPr>
          <w:rFonts w:hint="eastAsia" w:ascii="黑体" w:hAnsi="黑体" w:eastAsia="黑体" w:cs="黑体"/>
          <w:b w:val="0"/>
          <w:color w:val="000000"/>
          <w:sz w:val="32"/>
        </w:rPr>
        <w:t>四：技术底座——以”AI原生”思路建设</w:t>
      </w:r>
    </w:p>
    <w:p w14:paraId="0512A3C2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结论是：平台建设要有”AI原生”意识，在架构设计阶段就为”被AI调用”做好准备。</w:t>
      </w:r>
    </w:p>
    <w:p w14:paraId="19D1890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理由有三条。</w:t>
      </w:r>
    </w:p>
    <w:p w14:paraId="30221936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第一，AI智能体正在重构流量入口。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未来用户可能不再”逛”APP了，而是直接告诉AI助手自己的需求，由AI代为筛选和推荐。流量入口可能从APP转移到AI智能体。谁能让自己的服务数据被大模型理解、被AI智能体调用，谁就能在新的流量格局中占先机。这不是技术选型问题，是战略判断问题。</w:t>
      </w:r>
    </w:p>
    <w:p w14:paraId="595610F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第二，技术底座一旦确定，后面再改就来不及了。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如果现在不提”AI就绪”的要求，等平台建好再说”想被AI调用”，那就不是加个接口那么简单了，涉及数据重构、接口重写、架构调整，是大工程。现在设计阶段就纳入规范，不增加工作量，但为未来打开了可能性。</w:t>
      </w:r>
    </w:p>
    <w:p w14:paraId="144BB94F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第三，AI不仅是内部提效工具，更是外部获客渠道。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我们除了把AI应用在风控、营销等内部管理之外。更大的价值在于：通过开放标准化API接口，让我们的服务能力被大模型调用和推荐，通过AI生态获取外部流量。</w:t>
      </w:r>
    </w:p>
    <w:p w14:paraId="0D7C4F8D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我的建议是</w:t>
      </w:r>
      <w:r>
        <w:rPr>
          <w:rFonts w:hint="eastAsia" w:ascii="仿宋" w:hAnsi="仿宋" w:eastAsia="仿宋" w:cs="仿宋"/>
          <w:b w:val="0"/>
          <w:color w:val="000000"/>
          <w:sz w:val="32"/>
        </w:rPr>
        <w:t>：在平台建设原则中新增”AI就绪”原则，并在外部环境研判和远期规划中补充AI智能体相关表述，把AI从”内部工具”提升到”生态连接器”的高度。</w:t>
      </w:r>
    </w:p>
    <w:bookmarkEnd w:id="6"/>
    <w:p w14:paraId="20F578E6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7" w:name="五数据要素价值明确数据资产化路径"/>
      <w:r>
        <w:rPr>
          <w:rFonts w:hint="eastAsia" w:ascii="黑体" w:hAnsi="黑体" w:eastAsia="黑体" w:cs="黑体"/>
          <w:b w:val="0"/>
          <w:color w:val="000000"/>
          <w:sz w:val="32"/>
        </w:rPr>
        <w:t>五：数据要素价值——明确数据资产化路径</w:t>
      </w:r>
    </w:p>
    <w:p w14:paraId="1777ACDE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结论是：建议在规划中补充”数据资源化—数据资产化—数据资本化”的三步走路径。</w:t>
      </w:r>
    </w:p>
    <w:p w14:paraId="50F1518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理由有三条。</w:t>
      </w:r>
    </w:p>
    <w:p w14:paraId="408370D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第一，政策窗口已经打开。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国家出台了《“数据要素×”三年行动计划》，财政部也明确了数据资源可以入表。现在不提，以后想做就得从头补课。</w:t>
      </w:r>
    </w:p>
    <w:p w14:paraId="2B1CC953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第二，我们本身就是数据密集型行业，有天然优势。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房源数据、交易数据、客户数据、担保数据，我们手里有大量高价值数据。把数据管好、用好，本身就是资产，甚至可以直接变现。</w:t>
      </w:r>
    </w:p>
    <w:p w14:paraId="66A1E8FB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第三，分步走才走得通。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2027到2028年先把数据标准统一、打标签、建中台，这是打基础；2028到2029年财务上把数据加工支出确认为无形资产，实现入表；2030年再把脱敏数据封装成产品，卖给银行、评估机构。三步走，每一步都不冒进。</w:t>
      </w:r>
    </w:p>
    <w:p w14:paraId="39815D79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我的建议是</w:t>
      </w:r>
      <w:r>
        <w:rPr>
          <w:rFonts w:hint="eastAsia" w:ascii="仿宋" w:hAnsi="仿宋" w:eastAsia="仿宋" w:cs="仿宋"/>
          <w:b w:val="0"/>
          <w:color w:val="000000"/>
          <w:sz w:val="32"/>
        </w:rPr>
        <w:t>：在第五章”数字化与信息化建设”中新增一小节，专门写数据资产化路径。</w:t>
      </w:r>
    </w:p>
    <w:bookmarkEnd w:id="7"/>
    <w:p w14:paraId="3524E8A2">
      <w:pPr>
        <w:pStyle w:val="4"/>
        <w:spacing w:before="120" w:after="120" w:line="560" w:lineRule="exact"/>
        <w:ind w:left="0" w:firstLine="0" w:firstLineChars="0"/>
        <w:jc w:val="left"/>
        <w:rPr>
          <w:rFonts w:hint="eastAsia" w:ascii="黑体" w:hAnsi="黑体" w:eastAsia="黑体" w:cs="黑体"/>
          <w:b w:val="0"/>
          <w:color w:val="000000"/>
          <w:sz w:val="32"/>
        </w:rPr>
      </w:pPr>
      <w:bookmarkStart w:id="8" w:name="六数字风险防控纳入全面风险管理"/>
      <w:r>
        <w:rPr>
          <w:rFonts w:hint="eastAsia" w:ascii="黑体" w:hAnsi="黑体" w:eastAsia="黑体" w:cs="黑体"/>
          <w:b w:val="0"/>
          <w:color w:val="000000"/>
          <w:sz w:val="32"/>
        </w:rPr>
        <w:t>六：数字风险防控——纳入全面风险管理</w:t>
      </w:r>
    </w:p>
    <w:p w14:paraId="36F4D3E1">
      <w:pPr>
        <w:pStyle w:val="2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结论是：建议在规划中新增”数字风险防控”子项，把数字风险纳入公司全面风险管理框架。</w:t>
      </w:r>
    </w:p>
    <w:p w14:paraId="2E5F9F5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color w:val="000000"/>
          <w:sz w:val="32"/>
        </w:rPr>
        <w:t>理由有三条。</w:t>
      </w:r>
    </w:p>
    <w:p w14:paraId="7CAF6110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第一，监管有明确要求。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参考《银行业保险业数字金融高质量发展实施方案》明确要求强化数字化形势下的战略风险、合规风险、操作风险、外包风险等重点风险防控。我们是国企，合规这条线不能有缺口。</w:t>
      </w:r>
    </w:p>
    <w:p w14:paraId="5773F9BE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第二，我们数字化基础薄弱。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平台一旦上线，客户个人信息、交易数据都在线上跑，数据安全、网络安全、外包管理都是新课题。现在不做制度设计，等出问题再补就被动了。</w:t>
      </w:r>
    </w:p>
    <w:p w14:paraId="64008662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第三，AI应用本身也有风险。</w:t>
      </w:r>
      <w:r>
        <w:rPr>
          <w:rFonts w:hint="eastAsia" w:ascii="仿宋" w:hAnsi="仿宋" w:eastAsia="仿宋" w:cs="仿宋"/>
          <w:b w:val="0"/>
          <w:color w:val="000000"/>
          <w:sz w:val="32"/>
        </w:rPr>
        <w:t>AI辅助决策如果出了偏差，谁来把关？谁来负责？必须建立人工监督机制，不能完全交给算法。</w:t>
      </w:r>
    </w:p>
    <w:p w14:paraId="1F21D87C">
      <w:pPr>
        <w:pStyle w:val="3"/>
        <w:spacing w:before="0" w:after="0" w:line="560" w:lineRule="exact"/>
        <w:ind w:left="0" w:firstLine="640" w:firstLineChars="200"/>
        <w:jc w:val="both"/>
        <w:rPr>
          <w:rFonts w:hint="eastAsia" w:ascii="仿宋" w:hAnsi="仿宋" w:eastAsia="仿宋" w:cs="仿宋"/>
          <w:b w:val="0"/>
          <w:color w:val="000000"/>
          <w:sz w:val="32"/>
        </w:rPr>
      </w:pPr>
      <w:r>
        <w:rPr>
          <w:rFonts w:hint="eastAsia" w:ascii="仿宋" w:hAnsi="仿宋" w:eastAsia="仿宋" w:cs="仿宋"/>
          <w:b w:val="0"/>
          <w:bCs/>
          <w:color w:val="000000"/>
          <w:sz w:val="32"/>
        </w:rPr>
        <w:t>我的建议是</w:t>
      </w:r>
      <w:r>
        <w:rPr>
          <w:rFonts w:hint="eastAsia" w:ascii="仿宋" w:hAnsi="仿宋" w:eastAsia="仿宋" w:cs="仿宋"/>
          <w:b w:val="0"/>
          <w:color w:val="000000"/>
          <w:sz w:val="32"/>
        </w:rPr>
        <w:t>：在第三节中新增”数字风险防控”子项，明确数字风险管理制度、数据分级保护、外包服务商准入审查、AI应用安全管理和网络安全五项内容。</w:t>
      </w:r>
    </w:p>
    <w:bookmarkEnd w:id="0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6657E6"/>
    <w:rsid w:val="064F0F70"/>
    <w:rsid w:val="082F1341"/>
    <w:rsid w:val="484F15B7"/>
    <w:rsid w:val="4F552641"/>
    <w:rsid w:val="69D72179"/>
    <w:rsid w:val="774128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3009</Words>
  <Characters>3069</Characters>
  <Lines>12</Lines>
  <Paragraphs>8</Paragraphs>
  <TotalTime>26</TotalTime>
  <ScaleCrop>false</ScaleCrop>
  <LinksUpToDate>false</LinksUpToDate>
  <CharactersWithSpaces>3069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2026-06-26T02:42:00Z</dcterms:created>
  <dc:creator>李臻</dc:creator>
  <cp:lastModifiedBy>李臻</cp:lastModifiedBy>
  <cp:lastPrinted>2026-06-26T02:59:34Z</cp:lastPrinted>
  <dcterms:modified xsi:type="dcterms:W3CDTF">2026-06-26T03:05:06Z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eyJoZGlkIjoiNDZkYzJiNWQ3MjY5NzZlZDc0N2M1YmU5YWMyNmYxMjYiLCJ1c2VySWQiOiI1MDQ3NTc3NzcifQ==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17EC0A689BD347C3AE447AF108D557DD_12</vt:lpwstr>
  </property>
</Properties>
</file>