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PROJECT CHARTER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Seedr — Competition Portfolio Optimizer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March 2026 | Tennis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 Schaap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Phase 2-3 Complete</w:t>
            </w:r>
          </w:p>
        </w:tc>
      </w:tr>
    </w:tbl>
    <w:p>
      <w:pPr>
        <w:pStyle w:val="Heading1"/>
      </w:pPr>
      <w:r>
        <w:t xml:space="preserve">1. Vision Statement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Seedr is a competition portfolio optimizer for resource-constrained athletes. It helps players answer: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"Given my current level, budget, and goals — which tournaments should I play this season to maximize my competitive development while staying financially sustainable?"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While tennis is the MVP vertical, the core framework — open-entry events, variable costs, quantifiable returns — applies to any sport where athletes must strategically select which competitions to enter. Future verticals include golf, chess, squash, padel, and cycling.</w:t>
      </w:r>
    </w:p>
    <w:p>
      <w:pPr>
        <w:pStyle w:val="Heading1"/>
      </w:pPr>
      <w:r>
        <w:t xml:space="preserve">2. Problem Statement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Lower-level tennis players (ITF circuit through Challenger tour, plus ATP/WTA players outside the top 100) face a portfolio optimization problem with competing objectives: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Competitive progression: </w:t>
      </w:r>
      <w:r>
        <w:rPr>
          <w:rFonts w:ascii="Arial" w:cs="Arial" w:eastAsia="Arial" w:hAnsi="Arial"/>
          <w:sz w:val="22"/>
          <w:szCs w:val="22"/>
        </w:rPr>
        <w:t xml:space="preserve">Which tournaments offer realistic chances of winning matches, earning ranking points, and moving up? This depends on field strength, surface, and acceptance probability.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sustainability: </w:t>
      </w:r>
      <w:r>
        <w:rPr>
          <w:rFonts w:ascii="Arial" w:cs="Arial" w:eastAsia="Arial" w:hAnsi="Arial"/>
          <w:sz w:val="22"/>
          <w:szCs w:val="22"/>
        </w:rPr>
        <w:t xml:space="preserve">Travel, accommodation, and entry fees can exceed prize money for most players below rank ~150. A player with €8,000 for a season needs to know which tournaments fit their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Points defense: </w:t>
      </w:r>
      <w:r>
        <w:rPr>
          <w:rFonts w:ascii="Arial" w:cs="Arial" w:eastAsia="Arial" w:hAnsi="Arial"/>
          <w:sz w:val="22"/>
          <w:szCs w:val="22"/>
        </w:rPr>
        <w:t xml:space="preserve">Ranking points expire after 52 weeks. A player who reached the SF in Lyon last May needs to earn replacement points that same week this year, or face a ranking cliff.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Calendar optimization: </w:t>
      </w:r>
      <w:r>
        <w:rPr>
          <w:rFonts w:ascii="Arial" w:cs="Arial" w:eastAsia="Arial" w:hAnsi="Arial"/>
          <w:sz w:val="22"/>
          <w:szCs w:val="22"/>
        </w:rPr>
        <w:t xml:space="preserve">With 200+ Challenger events and hundreds of ITF events per year, across 5 continents, the combinatorial space is enormous. No human can evaluate all options.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existing tool combines historical performance data, field prediction, financial modeling, geographic constraints, and points expiry into a unified optimization engine.</w:t>
      </w:r>
    </w:p>
    <w:p>
      <w:pPr>
        <w:pStyle w:val="Heading1"/>
      </w:pPr>
      <w:r>
        <w:t xml:space="preserve">3. What We've Built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backend modeling engine is functionally complete with 13 Python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00_unified_pipeline.py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pipeline: score parsing, ranking join, demographics (birth dates), 1.45M ATP + 1.16M WTA matches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win_probability.py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tier×surface logistic regressions. Brier 0.216, max calibration gap 0.8%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tournament_economics.py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tables and prize money for all categories (Grand Slam through M15)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scheduling_constraints.py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patterns, surface seasonality, geographic constraints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points_to_rank.py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 acceptance curves, points↔rank mapping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travel_costs.py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National/international/intercontinental tiers, region multipliers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entry_fees.py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fees by category, accommodation status (Challengers: hotel free), full cost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points_expiry.py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week-by-week points expiry from tournament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field_prediction.py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field estimation (3,305 tournaments, r=0.61 year-over-year)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qualifying.py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Qualifying pathway: draw structure, field strength, bonus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birth_dates.py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Precise age from rankings data (99% coverage)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synthetic_ranks.py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ranks for unranked opponents (calibrated at ~2500 for M15)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seasonal_optimizer.py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optimization engine: schedule generation, Monte Carlo simulation, budget constraints, surface preference, confidence intervals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User-Facing Parameters (Ready for Shiny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ATP/WTA ranking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ranking points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 code (e.g., ESP)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country for travel cost calculation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planning_window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range (e.g., 14-24)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window to optimize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max_budget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amount or none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total spend (travel + fees + accommodation)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surface_preference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follow_season / clay_only / hard_only / grass_only / no_preference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travel_scope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/ continental / global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restriction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points_expiry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year tournament results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points defense schedule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Validation Results (March 2026)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Tested against 2024 ATP season (hold-out year):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probability Brier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&lt;0.22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prob max calibration 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prediction error (median)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&lt;±20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prediction correlation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overlap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QF max 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⚠️</w:t>
            </w:r>
          </w:p>
        </w:tc>
      </w:tr>
    </w:tbl>
    <w:p>
      <w:pPr>
        <w:pStyle w:val="Heading1"/>
      </w:pPr>
      <w:r>
        <w:t xml:space="preserve">5. Current Model vs Full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(Tennis MVP)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Vision (Seedr)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planning window (e.g., weeks 14-24)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season calendar optimization across 52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+ entry fees + accommodation per tournament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coaching, equipment, insurance, visa costs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Prize money + ranking points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sponsorship value of ranking, wildcard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cap per window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budget with cash flow timing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schedule options with CIs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Full-year plan with quarterly rebalancing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Tennis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Tennis, golf, chess, squash, padel, cycling, ...</w:t>
            </w:r>
          </w:p>
        </w:tc>
      </w:tr>
    </w:tbl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Coretennis.net — 2.6M ATP + 2.1M WTA matches scraped, covering careers from juniors through professional circuit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Pipeline: </w:t>
      </w:r>
      <w:r>
        <w:rPr>
          <w:rFonts w:ascii="Arial" w:cs="Arial" w:eastAsia="Arial" w:hAnsi="Arial"/>
          <w:sz w:val="22"/>
          <w:szCs w:val="22"/>
        </w:rPr>
        <w:t xml:space="preserve">Python, reads .gz directly, produces clean CSV with rankings, demographics, scores, tiers (~615MB ATP, ~491MB WTA)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 </w:t>
      </w:r>
      <w:r>
        <w:rPr>
          <w:rFonts w:ascii="Arial" w:cs="Arial" w:eastAsia="Arial" w:hAnsi="Arial"/>
          <w:sz w:val="22"/>
          <w:szCs w:val="22"/>
        </w:rPr>
        <w:t xml:space="preserve">GitHub repository with compressed raw data and processed outputs</w:t>
      </w:r>
    </w:p>
    <w:p>
      <w:pPr>
        <w:pStyle w:val="Heading2"/>
      </w:pPr>
      <w:r>
        <w:t xml:space="preserve">Modeling Layer (Python)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 probability: </w:t>
      </w:r>
      <w:r>
        <w:rPr>
          <w:rFonts w:ascii="Arial" w:cs="Arial" w:eastAsia="Arial" w:hAnsi="Arial"/>
          <w:sz w:val="22"/>
          <w:szCs w:val="22"/>
        </w:rPr>
        <w:t xml:space="preserve">31 tier×surface logistic regressions on rank differential. Brier 0.216.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Tournament simulation: </w:t>
      </w:r>
      <w:r>
        <w:rPr>
          <w:rFonts w:ascii="Arial" w:cs="Arial" w:eastAsia="Arial" w:hAnsi="Arial"/>
          <w:sz w:val="22"/>
          <w:szCs w:val="22"/>
        </w:rPr>
        <w:t xml:space="preserve">Monte Carlo bracket simulation with historical fields (3,305 tournaments), per-sim field variance (±15%), seeded draw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model: </w:t>
      </w:r>
      <w:r>
        <w:rPr>
          <w:rFonts w:ascii="Arial" w:cs="Arial" w:eastAsia="Arial" w:hAnsi="Arial"/>
          <w:sz w:val="22"/>
          <w:szCs w:val="22"/>
        </w:rPr>
        <w:t xml:space="preserve">Travel costs (3 tiers with region multipliers), entry fees ($0 for ATP/Challenger, $40 for ITF), accommodation (free at Challengers per ATP 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optimizer: </w:t>
      </w:r>
      <w:r>
        <w:rPr>
          <w:rFonts w:ascii="Arial" w:cs="Arial" w:eastAsia="Arial" w:hAnsi="Arial"/>
          <w:sz w:val="22"/>
          <w:szCs w:val="22"/>
        </w:rPr>
        <w:t xml:space="preserve">Generates candidate schedules with geographic/surface/rest constraints, evaluates via Monte Carlo, filters by budget, ranks by points + net ROI.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Points expiry: </w:t>
      </w:r>
      <w:r>
        <w:rPr>
          <w:rFonts w:ascii="Arial" w:cs="Arial" w:eastAsia="Arial" w:hAnsi="Arial"/>
          <w:sz w:val="22"/>
          <w:szCs w:val="22"/>
        </w:rPr>
        <w:t xml:space="preserve">Exact week-by-week expiry from player's previous year tournament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Qualifying pathway: </w:t>
      </w:r>
      <w:r>
        <w:rPr>
          <w:rFonts w:ascii="Arial" w:cs="Arial" w:eastAsia="Arial" w:hAnsi="Arial"/>
          <w:sz w:val="22"/>
          <w:szCs w:val="22"/>
        </w:rPr>
        <w:t xml:space="preserve">Models qualifying draw as fallback when main draw acceptance fails.</w:t>
      </w:r>
    </w:p>
    <w:p>
      <w:pPr>
        <w:pStyle w:val="Heading2"/>
      </w:pPr>
      <w:r>
        <w:t xml:space="preserve">Application Layer (Planned)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R Shiny web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Player rank, points, country, budget, surface preference, travel scope, previous year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Top 5 schedule options with confidence intervals, cost breakdown, defense priorities, tournament-by-tournament EV</w:t>
      </w:r>
    </w:p>
    <w:p>
      <w:pPr>
        <w:pStyle w:val="Heading1"/>
      </w:pPr>
      <w:r>
        <w:t xml:space="preserve">7. Remaining Work</w:t>
      </w:r>
    </w:p>
    <w:p>
      <w:pPr>
        <w:pStyle w:val="Heading2"/>
      </w:pPr>
      <w:r>
        <w:t xml:space="preserve">Phase 4: Shiny MVP (Next)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form: </w:t>
      </w:r>
      <w:r>
        <w:rPr>
          <w:rFonts w:ascii="Arial" w:cs="Arial" w:eastAsia="Arial" w:hAnsi="Arial"/>
          <w:sz w:val="22"/>
          <w:szCs w:val="22"/>
        </w:rPr>
        <w:t xml:space="preserve">Player profile, preferences, budget, previous year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dashboard: </w:t>
      </w:r>
      <w:r>
        <w:rPr>
          <w:rFonts w:ascii="Arial" w:cs="Arial" w:eastAsia="Arial" w:hAnsi="Arial"/>
          <w:sz w:val="22"/>
          <w:szCs w:val="22"/>
        </w:rPr>
        <w:t xml:space="preserve">Schedule comparison table, cost/prize charts, ranking trajectory projection with CI bands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Tournament explorer: </w:t>
      </w:r>
      <w:r>
        <w:rPr>
          <w:rFonts w:ascii="Arial" w:cs="Arial" w:eastAsia="Arial" w:hAnsi="Arial"/>
          <w:sz w:val="22"/>
          <w:szCs w:val="22"/>
        </w:rPr>
        <w:t xml:space="preserve">Browse individual tournaments with field prediction and round-reach probabilities</w:t>
      </w:r>
    </w:p>
    <w:p>
      <w:pPr>
        <w:pStyle w:val="Heading2"/>
      </w:pPr>
      <w:r>
        <w:t xml:space="preserve">Known Limitations to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Simulation 10-15% underestimate: </w:t>
      </w:r>
      <w:r>
        <w:rPr>
          <w:rFonts w:ascii="Arial" w:cs="Arial" w:eastAsia="Arial" w:hAnsi="Arial"/>
          <w:sz w:val="22"/>
          <w:szCs w:val="22"/>
        </w:rPr>
        <w:t xml:space="preserve">Field generation produces slightly too-strong opponents at QF level. Needs tuning.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Surface preference gap: </w:t>
      </w:r>
      <w:r>
        <w:rPr>
          <w:rFonts w:ascii="Arial" w:cs="Arial" w:eastAsia="Arial" w:hAnsi="Arial"/>
          <w:sz w:val="22"/>
          <w:szCs w:val="22"/>
        </w:rPr>
        <w:t xml:space="preserve">24% median clay gap in backtests. Players who counter-program are not predicted.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Rank prediction for extreme cases: </w:t>
      </w:r>
      <w:r>
        <w:rPr>
          <w:rFonts w:ascii="Arial" w:cs="Arial" w:eastAsia="Arial" w:hAnsi="Arial"/>
          <w:sz w:val="22"/>
          <w:szCs w:val="22"/>
        </w:rPr>
        <w:t xml:space="preserve">Rank-900+ players can get unrealistic predicted improvements.</w:t>
      </w:r>
    </w:p>
    <w:p>
      <w:pPr>
        <w:pStyle w:val="Heading2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Surface-specific win model (v2): </w:t>
      </w:r>
      <w:r>
        <w:rPr>
          <w:rFonts w:ascii="Arial" w:cs="Arial" w:eastAsia="Arial" w:hAnsi="Arial"/>
          <w:sz w:val="22"/>
          <w:szCs w:val="22"/>
        </w:rPr>
        <w:t xml:space="preserve">Separate models for clay specialists vs all-court players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Full-season optimization: </w:t>
      </w:r>
      <w:r>
        <w:rPr>
          <w:rFonts w:ascii="Arial" w:cs="Arial" w:eastAsia="Arial" w:hAnsi="Arial"/>
          <w:sz w:val="22"/>
          <w:szCs w:val="22"/>
        </w:rPr>
        <w:t xml:space="preserve">52-week planning with quarterly rebalancing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Momentum/fatigue modeling: </w:t>
      </w:r>
      <w:r>
        <w:rPr>
          <w:rFonts w:ascii="Arial" w:cs="Arial" w:eastAsia="Arial" w:hAnsi="Arial"/>
          <w:sz w:val="22"/>
          <w:szCs w:val="22"/>
        </w:rPr>
        <w:t xml:space="preserve">Win streaks, consecutive week penalties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player module: </w:t>
      </w:r>
      <w:r>
        <w:rPr>
          <w:rFonts w:ascii="Arial" w:cs="Arial" w:eastAsia="Arial" w:hAnsi="Arial"/>
          <w:sz w:val="22"/>
          <w:szCs w:val="22"/>
        </w:rPr>
        <w:t xml:space="preserve">Separate pathway for junior→pro transition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Multi-sport expansion: </w:t>
      </w:r>
      <w:r>
        <w:rPr>
          <w:rFonts w:ascii="Arial" w:cs="Arial" w:eastAsia="Arial" w:hAnsi="Arial"/>
          <w:sz w:val="22"/>
          <w:szCs w:val="22"/>
        </w:rPr>
        <w:t xml:space="preserve">Golf mini-tours, chess rated tournaments, squash PSA events</w:t>
      </w:r>
    </w:p>
    <w:p>
      <w:pPr>
        <w:pStyle w:val="Heading1"/>
      </w:pPr>
      <w:r>
        <w:t xml:space="preserve">8.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probability calibration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gap &lt;5%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0.8%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Round-reach probability calibration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 buckets within 10%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~70% ⚠️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Budget-constrained recommendations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schedules within budget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Implemented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live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Shiny MVP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on 3+ hold-out years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across years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2024 only so far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testing with 3+ players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Actionable recommendations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1"/>
      </w:pPr>
      <w:r>
        <w:t xml:space="preserve">9. Assumptions &amp; Constraints</w:t>
      </w: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Historical performance is a reasonable predictor of future tournament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Coretennis.net data is comprehensive for European and major international circuits.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Players can provide their ranking, points, and approximate previous year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ATP rules on accommodation and entry fees remain stable.</w:t>
      </w:r>
    </w:p>
    <w:p>
      <w:pPr>
        <w:pStyle w:val="Heading2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Part-time project (~5 hours/week). Learning-focused, no fixed deadline.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Budget: </w:t>
      </w:r>
      <w:r>
        <w:rPr>
          <w:rFonts w:ascii="Arial" w:cs="Arial" w:eastAsia="Arial" w:hAnsi="Arial"/>
          <w:sz w:val="22"/>
          <w:szCs w:val="22"/>
        </w:rPr>
        <w:t xml:space="preserve">Zero project budget. Free-tier services only (GitHub, shinyapps.io).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Subject to Coretennis.net availability. No real-time data integration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Compute: </w:t>
      </w:r>
      <w:r>
        <w:rPr>
          <w:rFonts w:ascii="Arial" w:cs="Arial" w:eastAsia="Arial" w:hAnsi="Arial"/>
          <w:sz w:val="22"/>
          <w:szCs w:val="22"/>
        </w:rPr>
        <w:t xml:space="preserve">Optimizer runs in ~5-10 seconds per planning window. Acceptable for web 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2026-03-08T00:08:17.876Z</dcterms:created>
  <dcterms:modified xsi:type="dcterms:W3CDTF">2026-03-08T00:08:17.876Z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