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8926A"/>
          <w:spacing w:val="200"/>
          <w:sz w:val="28"/>
          <w:szCs w:val="28"/>
        </w:rPr>
        <w:t xml:space="preserve">WHAT A SERVICE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Freshworks Consulting, Done Right.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1220"/>
          <w:sz w:val="48"/>
          <w:szCs w:val="48"/>
        </w:rPr>
        <w:t xml:space="preserve">MARKETING GUIDELINES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Principes directeurs pour le narratif, le positionnement
et la communication du site freshworks.whataservice.fr</w:t>
      </w: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Avril 2026  —  Document interne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Positionnement de marque</w:t>
      </w:r>
    </w:p>
    <w:p>
      <w:pPr>
        <w:pStyle w:val="Heading2"/>
      </w:pPr>
      <w:r>
        <w:t xml:space="preserve">1.1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monde ou chaque organisation opere avec l’intelligence et l’agilite d’une entreprise AI-native — ou les equipes humaines sont liberees pour innover, pas pour traiter des tickets.</w:t>
      </w:r>
    </w:p>
    <w:p>
      <w:pPr>
        <w:pStyle w:val="Heading2"/>
      </w:pPr>
      <w:r>
        <w:t xml:space="preserve">1.2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Nous architecturons des operations intelligentes pour les entreprises ambitieuses — en deployant l’expertise Freshworks et la methodologie pour multiplier ce que les equipes accomplissent, pas remplacer ce qu’elles sont.</w:t>
      </w:r>
    </w:p>
    <w:p>
      <w:pPr>
        <w:pStyle w:val="Heading2"/>
      </w:pPr>
      <w:r>
        <w:t xml:space="preserve">1.3 Promesse de marque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Nous transformons votre investissement Freshworks en avantage competitif — en combinant expertise plateforme, delivery oriente resultats et accompagnement strategique pour liberer une efficience que votre organisation ne soupconnait pas.</w:t>
      </w:r>
    </w:p>
    <w:p>
      <w:pPr>
        <w:pStyle w:val="Heading2"/>
      </w:pPr>
      <w:r>
        <w:t xml:space="preserve">1.4 Triptyque de valeurs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operationnelle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avant technologie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recommandation se justifie par un impact mesurable sur le business, pas par une fascination technologique.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Efficience organisationnelle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ressource humaine et technologique atteint son plein potentiel. On ne vend pas de l’automatisation, on libere du potentiel.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Expertise radicale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Specialiste pur-play Freshworks. Comme Thirdera pour ServiceNow — profondeur d’expertise, pas largeur de catalogue.</w:t>
            </w:r>
          </w:p>
        </w:tc>
      </w:tr>
    </w:tbl>
    <w:p>
      <w:pPr>
        <w:pStyle w:val="Heading2"/>
      </w:pPr>
      <w:r>
        <w:t xml:space="preserve">1.5 Territoire unique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est le seul cabinet a combiner specialisation Freshworks native et delivery oriente resultats pour les ETI et grands comptes. Faye Digital est multi-plateforme. Helphouse est Zendesk. Thirdera est ServiceNow. Ce territoire est vacant.</w:t>
      </w:r>
    </w:p>
    <w:p>
      <w:pPr>
        <w:spacing w:after="200"/>
      </w:pPr>
    </w:p>
    <w:p>
      <w:pPr>
        <w:pStyle w:val="Heading1"/>
      </w:pPr>
      <w:r>
        <w:t xml:space="preserve">2. Personas cibles (D17)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Thomas — DSI d’ETI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Mathieu — Lead Transfo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Nadia — DRH ESM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ETI/GC, 500-5000 collab.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ETI/GC, equipe transfo digitale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ETI, 800+ collab., multi-sites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Enjeu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Demontrer le ROI de Freshworks au COMEX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Architecturer une strategie IA agentique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Etendre Freshservice au-dela de l’IT (RH, Legal)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paie cher pour un outil sous-exploite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d’expertise interne pour aller au-dela du basique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L’onboarding est encore gere par email et tableur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Declencheur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interne, renouvellement licence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 COMEX sur l’IA, benchmark concurrents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Recommandation interne du DSI deja client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FR, LinkedIn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LinkedIn, evenements Freshworks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Referencement interne + site web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Brand Voice — Expert Next Door</w:t>
      </w:r>
    </w:p>
    <w:p>
      <w:pPr>
        <w:pStyle w:val="Heading2"/>
      </w:pPr>
      <w:r>
        <w:t xml:space="preserve">3.1 Ratio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60 % formel / 40 % casual. Expert authority, approachable for mid-market. Personnalite audacieuse avec expertise profonde.</w:t>
      </w:r>
    </w:p>
    <w:p>
      <w:pPr>
        <w:pStyle w:val="Heading2"/>
      </w:pPr>
      <w:r>
        <w:t xml:space="preserve">3.2 Principes d’ecriture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Mener par l’outcome, pas le process. Dire ce que ca change, pas comment ca marche.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Quantifier par les faits, pas les superlatifs. Pas de « best-in-class ». Des chiffres.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Parler le langage du decideur. DSI, pas technicien. ROI, pas specs.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Etre direct. Pas de phrases a rallonge. Sujet-verbe-resultat.</w:t>
      </w:r>
    </w:p>
    <w:p>
      <w:pPr>
        <w:pStyle w:val="Heading2"/>
      </w:pPr>
      <w:r>
        <w:t xml:space="preserve">3.3 Table de substitution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jamais ecrire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Ecrire a la place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 synergies pour optimiser votre stack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Faites travailler vos outils ensemble, vraiment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end-to-end best-in-class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gere tout, du diagnostic au go-live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digitale holistique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Moderniser concretement le quotidien de vos equipes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de 300 %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L’equipe support gere 3x le volume — meme effectif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Notre expertise inegalee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Certifies ITIL 4, PRINCE2, Freshworks Partner</w:t>
            </w:r>
          </w:p>
        </w:tc>
      </w:tr>
    </w:tbl>
    <w:p>
      <w:pPr>
        <w:pStyle w:val="Heading2"/>
      </w:pPr>
      <w:r>
        <w:t xml:space="preserve">3.4 Taglines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operationnelle : </w:t>
      </w:r>
      <w:r>
        <w:rPr>
          <w:rFonts w:ascii="Arial" w:cs="Arial" w:eastAsia="Arial" w:hAnsi="Arial"/>
          <w:sz w:val="22"/>
          <w:szCs w:val="22"/>
        </w:rPr>
        <w:t xml:space="preserve">Freshworks Consulting, Done Right.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strategique (alternative) : </w:t>
      </w:r>
      <w:r>
        <w:rPr>
          <w:rFonts w:ascii="Arial" w:cs="Arial" w:eastAsia="Arial" w:hAnsi="Arial"/>
          <w:sz w:val="22"/>
          <w:szCs w:val="22"/>
        </w:rPr>
        <w:t xml:space="preserve">Vos plateformes. Liberees.</w:t>
      </w:r>
    </w:p>
    <w:p>
      <w:pPr>
        <w:spacing w:after="200"/>
      </w:pPr>
    </w:p>
    <w:p>
      <w:pPr>
        <w:pStyle w:val="Heading1"/>
      </w:pPr>
      <w:r>
        <w:t xml:space="preserve">4. Framework narratif — PAS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section du site, chaque page de service, chaque article suit le framework Problem-Agitation-Solution (PAS). C’est le moteur de conversion du narratif.</w:t>
      </w:r>
    </w:p>
    <w:p>
      <w:pPr>
        <w:pStyle w:val="Heading2"/>
      </w:pPr>
      <w:r>
        <w:t xml:space="preserve">4.1 Structure 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Thomas (DSI)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9962"/>
                <w:sz w:val="20"/>
                <w:szCs w:val="20"/>
              </w:rPr>
              <w:t xml:space="preserve">Problem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Nommer le probleme dans le langage du persona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equipe IT passe 70 % de son temps sur des demandes repetitives.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9962"/>
                <w:sz w:val="20"/>
                <w:szCs w:val="20"/>
              </w:rPr>
              <w:t xml:space="preserve">Agitation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Quantifier le cout de l’inaction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mois sans automatisation coute X en heures d’agent gaspillees. Vos concurrents ont deja deploye un portail self-service.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9962"/>
                <w:sz w:val="20"/>
                <w:szCs w:val="20"/>
              </w:rPr>
              <w:t xml:space="preserve">Solution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Mener par l’outcome, pas le process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90 jours, un portail self-service traite 60 % des tickets L1 automatiquement — c’est ce que nous avons fait pour C-Monetiquette.</w:t>
            </w:r>
          </w:p>
        </w:tc>
      </w:tr>
    </w:tbl>
    <w:p>
      <w:pPr>
        <w:pStyle w:val="Heading2"/>
      </w:pPr>
      <w:r>
        <w:t xml:space="preserve">4.2 Regle d’or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Toujours finir la Solution par un proof point reel (case study, metrique, nom de client). Pas de promesse sans preuve.</w:t>
      </w:r>
    </w:p>
    <w:p>
      <w:pPr>
        <w:spacing w:after="200"/>
      </w:pPr>
    </w:p>
    <w:p>
      <w:pPr>
        <w:pStyle w:val="Heading1"/>
      </w:pPr>
      <w:r>
        <w:t xml:space="preserve">5. Catalogue d’offres — complexity-first (D18)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L’ordre de presentation est non-negociable : les sujets complexes en tete, l’implementation basique en fin. Le message implicite : si nous maitrisons le complexe, le simple est acquis.</w:t>
      </w:r>
    </w:p>
    <w:p>
      <w:pPr>
        <w:pStyle w:val="Heading2"/>
      </w:pPr>
      <w:r>
        <w:t xml:space="preserve">5.1 Tier Premium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partir 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 &amp; ESM Transformation Program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 CX/ESM, architecture multi-produits, gouvernance, change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40 000 €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strategique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depuis ServiceNow/Zendesk/JSM. Inventaire, traduction business rules, CMDB, change mgmt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10 000 €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Freddy AI Mastery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Deploiement Freddy AI Agent, AI Copilot, Agent Studio. Deflexion 60-80 %. Gouvernance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8 000 €</w:t>
            </w:r>
          </w:p>
        </w:tc>
      </w:tr>
    </w:tbl>
    <w:p>
      <w:pPr>
        <w:pStyle w:val="Heading2"/>
      </w:pPr>
      <w:r>
        <w:t xml:space="preserve">5.2 Tier Implement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partir 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Freshservice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Deploiement ITSM/ESM/ITAM aligne ITIL 4. Portail, workflows, CMDB, integrations 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5 000 €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Freshdesk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omnicanale : email, chat, phone, WhatsApp. Command Center, Omniroute, KBase bilingue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4 000 €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ESM Expansion Sprints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Freshservice au-dela de l’IT par sprints 4-6 sem. RH, Finance, Juridique, Facilities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5 000 €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&amp; Optimisation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360°, roadmap priorisee, ROI estime. CMDB/ITAM, CSAT, SLA, conformite DORA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3 000 €</w:t>
            </w:r>
          </w:p>
        </w:tc>
      </w:tr>
    </w:tbl>
    <w:p>
      <w:pPr>
        <w:pStyle w:val="Heading2"/>
      </w:pPr>
      <w:r>
        <w:t xml:space="preserve">5.3 Tier Recurring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partir 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Excellence Service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mensuel : optimisation continue, monitoring, support prioritaire, rapports mensuels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220"/>
                <w:sz w:val="20"/>
                <w:szCs w:val="20"/>
              </w:rPr>
              <w:t xml:space="preserve">2 000 €/mois</w:t>
            </w:r>
          </w:p>
        </w:tc>
      </w:tr>
    </w:tbl>
    <w:p>
      <w:pPr>
        <w:pStyle w:val="Heading2"/>
      </w:pPr>
      <w:r>
        <w:t xml:space="preserve">5.4 Regles de pricing (D15)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Toutes les offres affichent un prix « A partir de » — pas de « sur devis » sans chiffre.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anchoring : presenter le tier le plus eleve en premier (effet de compromis).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« Recommande » sur l’offre Migration (marge la plus elevee, 50-55 %).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carte de service : nom, proposition de valeur (1 ligne), 3 benefices, prix, CTA.</w:t>
      </w:r>
    </w:p>
    <w:p>
      <w:pPr>
        <w:spacing w:after="200"/>
      </w:pPr>
    </w:p>
    <w:p>
      <w:pPr>
        <w:pStyle w:val="Heading1"/>
      </w:pPr>
      <w:r>
        <w:t xml:space="preserve">6. Les 7 arguments-cles du narratif expert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Ces messages doivent etre marteles dans chaque section du site, chaque page de service, chaque article de blog.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26"/>
        <w:gridCol w:w="5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 / preuve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Freshworks est facile a acheter, difficile a optimiser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simplicite de la plateforme masque la complexite reelle des deploiements enterprise (multi-marques, multi-entites, integrations SI, gouvernance).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L’IA agentique n’est pas un bouton qu’on active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Freddy AI a des capacites impressionnantes, mais atteindre 60-80 % de deflexion necessite strategie, design de workflows, mesure continue.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75 % des entreprises sous-exploitent l’ESM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client Freshservice sur 4 a adopte l’ESM. Potentiel d’extension (RH, Finance, Legal) massif.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migration n’est jamais un copier-coller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ans de customisation chez certains clients ServiceNow. Chaque migration reussie economise $500K+.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reporting est le talon d’Achille — et notre force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Freshworks est moins granulaire en analytics. Transformer cette faiblesse en offre de service.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Freshworks delivre un ROI de 356 % en 6 mois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Etude Forrester TEI. Atteignable uniquement avec une implementation expertement menee.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Nous commencons par les sujets que les autres evitent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 les concurrents ouvrent sur l’implementation en 5 jours, WaS ouvre sur transformation, architecture, gouvernance.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Social proof &amp; metriques de reference</w:t>
      </w:r>
    </w:p>
    <w:p>
      <w:pPr>
        <w:pStyle w:val="Heading2"/>
      </w:pPr>
      <w:r>
        <w:t xml:space="preserve">7.1 Metriques a afficher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ROI 356 % en 6 mois (Forrester TEI)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Deflexion 45-80 % des tickets L1 avec self-service + Freddy AI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CSAT 89 % → 99 % (benchmarks Freshworks CX 2025)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Premiere reponse : de 6+ heures a moins de 4 minutes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Productivite agent : +13,8 % d’interactions par heure (Stanford/MIT)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Freshworks coute 20-40 % de moins que ServiceNow/Zendesk</w:t>
      </w:r>
    </w:p>
    <w:p>
      <w:pPr>
        <w:pStyle w:val="Heading2"/>
      </w:pPr>
      <w:r>
        <w:t xml:space="preserve">7.2 Case studies inline (proof points)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C-Monetiquette (livre) : </w:t>
      </w:r>
      <w:r>
        <w:rPr>
          <w:rFonts w:ascii="Arial" w:cs="Arial" w:eastAsia="Arial" w:hAnsi="Arial"/>
          <w:sz w:val="22"/>
          <w:szCs w:val="22"/>
        </w:rPr>
        <w:t xml:space="preserve">Deploiement Freshservice complet. Portail self-service, workflows automatises.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Bonduelle (en cours) : </w:t>
      </w:r>
      <w:r>
        <w:rPr>
          <w:rFonts w:ascii="Arial" w:cs="Arial" w:eastAsia="Arial" w:hAnsi="Arial"/>
          <w:sz w:val="22"/>
          <w:szCs w:val="22"/>
        </w:rPr>
        <w:t xml:space="preserve">Refonte operations service client dans 5 pays. Premiers resultats : temps de premiere reponse 40 % plus rapides.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Regle : chaque proof point est insere entre les sections de service, jamais relegue dans une page separee.</w:t>
      </w:r>
    </w:p>
    <w:p>
      <w:pPr>
        <w:pStyle w:val="Heading2"/>
      </w:pPr>
      <w:r>
        <w:t xml:space="preserve">7.3 Hierarchie de preuve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Badges partenaire Freshworks (le plus puissant)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Certifications (ITIL 4, PRINCE2, DORA, PSM I, PSPO I)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Metriques quantifiees (ROI, deflexion, CSAT)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Logos clients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 studies avec resultats</w:t>
      </w:r>
    </w:p>
    <w:p>
      <w:pPr>
        <w:spacing w:after="200"/>
      </w:pPr>
    </w:p>
    <w:p>
      <w:pPr>
        <w:pStyle w:val="Heading1"/>
      </w:pPr>
      <w:r>
        <w:t xml:space="preserve">8. Service Maturity Index™ (D16)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quiz est renomme Service Maturity Index™. C’est l’actif strategique #1 de WaS — le generateur de leads le plus puissant du marche Freshworks.</w:t>
      </w:r>
    </w:p>
    <w:p>
      <w:pPr>
        <w:pStyle w:val="Heading2"/>
      </w:pPr>
      <w:r>
        <w:t xml:space="preserve">8.1 Specifications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dimensions (inchangees) : Processus, Technologies, Personnes, Automatisation, Gouvernance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 brande : Service Maturity Index™ (pas « Quiz maturite ITSM »)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 initial : « Quel est votre contexte ? » (ITSM / CX / ESM)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Restitution : radar chart + score global + top 3 recommandations + CTA Calendly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email apres completion (pas avant)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telecharge brande WaS (2-3 pages)</w:t>
      </w:r>
    </w:p>
    <w:p>
      <w:pPr>
        <w:pStyle w:val="Heading2"/>
      </w:pPr>
      <w:r>
        <w:t xml:space="preserve">8.2 Mapping maturite → offre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maturite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 recommandee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 / Reactif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inexistants ou informels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Freshservice/Freshdesk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Repeatable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documentes mais non optimises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Optimisation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standardises, metriques de base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ESM Expansion Sprints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Metriques avancees, amelioration continue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Freddy AI Mastery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continue, benchmarks depasses</w:t>
            </w:r>
          </w:p>
        </w:tc>
        <w:tc>
          <w:tcPr>
            <w:tcW w:type="dxa" w:w="32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Excellence Service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Principes SEO</w:t>
      </w:r>
    </w:p>
    <w:p>
      <w:pPr>
        <w:pStyle w:val="Heading2"/>
      </w:pPr>
      <w:r>
        <w:t xml:space="preserve">9.1 Architecture bilingue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Sous-repertoires : /fr/services/... et /en/services/...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Hreflang symetriques + x-default vers /en/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 localise, pas traduit. Les termes techniques restent en anglais si le volume de recherche FR est faible.</w:t>
      </w:r>
    </w:p>
    <w:p>
      <w:pPr>
        <w:pStyle w:val="Heading2"/>
      </w:pPr>
      <w:r>
        <w:t xml:space="preserve">9.2 Naming des offres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Utiliser un langage litteral et non-metaphorique. Les agents IA (~33 % du trafic organique 2026) ne comprennent pas les metaphores.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: </w:t>
      </w:r>
      <w:r>
        <w:rPr>
          <w:rFonts w:ascii="Arial" w:cs="Arial" w:eastAsia="Arial" w:hAnsi="Arial"/>
          <w:sz w:val="22"/>
          <w:szCs w:val="22"/>
        </w:rPr>
        <w:t xml:space="preserve">[Keyword principal] + [Verbe d’action/descripteur]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 : </w:t>
      </w:r>
      <w:r>
        <w:rPr>
          <w:rFonts w:ascii="Arial" w:cs="Arial" w:eastAsia="Arial" w:hAnsi="Arial"/>
          <w:sz w:val="22"/>
          <w:szCs w:val="22"/>
        </w:rPr>
        <w:t xml:space="preserve">ITSM Optimization Accelerator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Mauvais : </w:t>
      </w:r>
      <w:r>
        <w:rPr>
          <w:rFonts w:ascii="Arial" w:cs="Arial" w:eastAsia="Arial" w:hAnsi="Arial"/>
          <w:sz w:val="22"/>
          <w:szCs w:val="22"/>
        </w:rPr>
        <w:t xml:space="preserve">Service Excellence Jumpstart</w:t>
      </w:r>
    </w:p>
    <w:p>
      <w:pPr>
        <w:pStyle w:val="Heading2"/>
      </w:pPr>
      <w:r>
        <w:t xml:space="preserve">9.3 Machine-Readable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page strategique commence par un paragraphe de ~100 mots factuels, optimise pour la decouverte par les moteurs IA (ChatGPT, Perplexity, Google AI Overviews).</w:t>
      </w:r>
    </w:p>
    <w:p>
      <w:pPr>
        <w:spacing w:after="200"/>
      </w:pPr>
    </w:p>
    <w:p>
      <w:pPr>
        <w:pStyle w:val="Heading1"/>
      </w:pPr>
      <w:r>
        <w:t xml:space="preserve">10. Principes design</w:t>
      </w:r>
    </w:p>
    <w:p>
      <w:pPr>
        <w:pStyle w:val="Heading2"/>
      </w:pPr>
      <w:r>
        <w:t xml:space="preserve">10.1 Charte graphique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(fond sombre)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#0C1220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sections premium, conversion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(CTA)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Ambre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#B8926A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Boutons, liens, badges, 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(fond clair)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Creme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#FAFAF8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contenu, cartes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WaS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#F49962</w:t>
            </w:r>
          </w:p>
        </w:tc>
        <w:tc>
          <w:tcPr>
            <w:tcW w:type="dxa" w:w="234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Accents secondaires, heritage charte</w:t>
            </w:r>
          </w:p>
        </w:tc>
      </w:tr>
    </w:tbl>
    <w:p>
      <w:pPr>
        <w:pStyle w:val="Heading2"/>
      </w:pPr>
      <w:r>
        <w:t xml:space="preserve">10.2 Typographies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Headings : Plus Jakarta Sans (Bold)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: DM Sans (Regular)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logo : Futura STD Bold Condensed</w:t>
      </w:r>
    </w:p>
    <w:p>
      <w:pPr>
        <w:pStyle w:val="Heading2"/>
      </w:pPr>
      <w:r>
        <w:t xml:space="preserve">10.3 Sections sur fond sombre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Reservees strategiquement : hero, descriptions tier premium, sections social proof (logos), sections resultats (metriques). Ne pas utiliser le dark mode partout.</w:t>
      </w:r>
    </w:p>
    <w:p>
      <w:pPr>
        <w:pStyle w:val="Heading2"/>
      </w:pPr>
      <w:r>
        <w:t xml:space="preserve">10.4 CTA sticky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CTA persistant au scroll (+18 % de conversions). Hierarchie : Explorer notre approche → Faire le diagnostic gratuit → Reserver un appel strategie.</w:t>
      </w:r>
    </w:p>
    <w:p>
      <w:pPr>
        <w:spacing w:after="200"/>
      </w:pPr>
    </w:p>
    <w:p>
      <w:pPr>
        <w:pStyle w:val="Heading1"/>
      </w:pPr>
      <w:r>
        <w:t xml:space="preserve">11. Decisions actees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6"/>
        <w:gridCol w:w="2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D9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Freshchat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D10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: Ghost a explorer (spike avant implementation)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D11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ROI Calculator — le SMI™ suffit comme lead magnet unique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D15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« A partir de » sur toutes les offres (remplace D12 « sur devis »)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D16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renomme Service Maturity Index™ — 5 dimensions, pas de dim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D17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 : Thomas (DSI), Mathieu (Lead Transfo), Nadia (DRH ESM)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D18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offres complexity-first (3 premium + 4 implement + 1 recurring)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Ce document est la source de verite pour toute redaction de contenu, page de service, article de blog, email marketing ou support commercial du site freshworks.whataservice.fr.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Confidentiel  —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6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B8926A"/>
        <w:sz w:val="16"/>
        <w:szCs w:val="16"/>
      </w:rPr>
      <w:t xml:space="preserve">What A Service</w:t>
    </w:r>
    <w:r>
      <w:rPr>
        <w:rFonts w:ascii="Arial" w:cs="Arial" w:eastAsia="Arial" w:hAnsi="Arial"/>
        <w:color w:val="64748B"/>
        <w:sz w:val="16"/>
        <w:szCs w:val="16"/>
      </w:rPr>
      <w:t xml:space="preserve">	Marketing Guidelines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26A" w:sz="6" w:space="8"/>
      </w:pBdr>
      <w:spacing w:after="200" w:before="360"/>
      <w:outlineLvl w:val="0"/>
    </w:pPr>
    <w:rPr>
      <w:rFonts w:ascii="Arial" w:cs="Arial" w:eastAsia="Arial" w:hAnsi="Arial"/>
      <w:b/>
      <w:bCs/>
      <w:color w:val="0C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C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892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2026-04-12T20:47:16.944Z</dcterms:created>
  <dcterms:modified xsi:type="dcterms:W3CDTF">2026-04-12T20:47:16.944Z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