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Hawaii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Hawaii Nonprofit Corporations Act (HRS § 414D)</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Hawaii, in compliance with Hawaii Nonprofit Corporations Act (HRS § 414D). Each article below is required or strongly recommended under Hawaii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Hawaii before adopting these bylaws. The provider of this template is not a law firm and does not provide legal services.</w:t>
      </w:r>
    </w:p>
    <w:p>
      <w:pPr>
        <w:pStyle w:val="Heading2"/>
      </w:pPr>
      <w:r>
        <w:t xml:space="preserve">Hawaii-Specific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Hawaii Nonprofit Corporations Act (HRS § 414D)</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An 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Default 1 year, 5-year maximum</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articles or bylaws.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Hawaii follows the Revised Model Nonprofit Corporation Act closely.</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Hawaii Nonprofit Corporations Act (HRS § 414D).</w:t>
      </w:r>
    </w:p>
    <w:p>
      <w:pPr>
        <w:pStyle w:val="Heading3"/>
      </w:pPr>
      <w:r>
        <w:t xml:space="preserve">Article III – Registered Office &amp; Agent</w:t>
      </w:r>
    </w:p>
    <w:p>
      <w:pPr>
        <w:spacing w:after="160"/>
      </w:pPr>
      <w:r>
        <w:rPr>
          <w:sz w:val="21"/>
          <w:szCs w:val="21"/>
        </w:rPr>
        <w:t xml:space="preserve">Hawaii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Hawaii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Hawaii requires a minimum of 3 director(s). An individual. No residency requirement. Director terms default to default 1 year, 5-year maximum. The quorum requirement is a majority of directors in office.</w:t>
      </w:r>
    </w:p>
    <w:p>
      <w:pPr>
        <w:pStyle w:val="Heading3"/>
      </w:pPr>
      <w:r>
        <w:t xml:space="preserve">Article VI – Officers</w:t>
      </w:r>
    </w:p>
    <w:p>
      <w:pPr>
        <w:spacing w:after="160"/>
      </w:pPr>
      <w:r>
        <w:rPr>
          <w:sz w:val="21"/>
          <w:szCs w:val="21"/>
        </w:rPr>
        <w:t xml:space="preserve">Hawaii requires: Defined in articles or bylaws.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Hawaii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Hawaii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Hawaii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Hawaii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Hawaii Nonprofit Corporations Act (HRS § 414D).</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Hawaii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Hawaii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An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Default 1 year, 5-year maximum.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articles or bylaws.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Hawaii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Hawaii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Hawaii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Hawaii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Hawaii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Hawaii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Hawaii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2026-03-27T17:40:55.599Z</dcterms:created>
  <dcterms:modified xsi:type="dcterms:W3CDTF">2026-03-27T17:40:55.599Z</dcterms:modified>
</cp:coreProperties>
</file>

<file path=docProps/custom.xml><?xml version="1.0" encoding="utf-8"?>
<Properties xmlns="http://schemas.openxmlformats.org/officeDocument/2006/custom-properties" xmlns:vt="http://schemas.openxmlformats.org/officeDocument/2006/docPropsVTypes"/>
</file>