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Montana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Montana Nonprofit Corporation Act (Mont. Code Ann. § 35-2)</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Montana, in compliance with Montana Nonprofit Corporation Act (Mont. Code Ann. § 35-2). Each article below is required or strongly recommended under Montana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Montana before adopting these bylaws. The provider of this template is not a law firm and does not provide legal services.</w:t>
      </w:r>
    </w:p>
    <w:p>
      <w:pPr>
        <w:pStyle w:val="Heading2"/>
      </w:pPr>
      <w:r>
        <w:t xml:space="preserve">Montana-Specific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Montana Nonprofit Corporation Act (Mont. Code Ann. § 35-2)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 unless otherwise specified; 5-year maximum for non-designated/appointed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Montana follows the Revised Model Nonprofit Corporation Act.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Montana Nonprofit Corporation Act (Mont. Code Ann. § 35-2).</w:t>
      </w:r>
    </w:p>
    <w:p>
      <w:pPr>
        <w:pStyle w:val="Heading3"/>
      </w:pPr>
      <w:r>
        <w:t xml:space="preserve">Article III – Registered Office &amp; Agent</w:t>
      </w:r>
    </w:p>
    <w:p>
      <w:pPr>
        <w:spacing w:after="160"/>
      </w:pPr>
      <w:r>
        <w:rPr>
          <w:sz w:val="21"/>
          <w:szCs w:val="21"/>
        </w:rPr>
        <w:t xml:space="preserve">Montana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Montana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Montana requires a minimum of 3 director(s). Individuals. No residency requirement. Director terms default to 1 year unless otherwise specified; 5-year maximum for non-designated/appointed directors. The quorum requirement is a majority of directors in office.</w:t>
      </w:r>
    </w:p>
    <w:p>
      <w:pPr>
        <w:pStyle w:val="Heading3"/>
      </w:pPr>
      <w:r>
        <w:t xml:space="preserve">Article VI – Officers</w:t>
      </w:r>
    </w:p>
    <w:p>
      <w:pPr>
        <w:spacing w:after="160"/>
      </w:pPr>
      <w:r>
        <w:rPr>
          <w:sz w:val="21"/>
          <w:szCs w:val="21"/>
        </w:rPr>
        <w:t xml:space="preserve">Montana requires: President, Secretary, and Treasurer are required.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Montana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Montana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Montana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Montana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Montana Nonprofit Corporation Act (Mont. Code Ann. § 35-2).</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Montana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Montana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unless otherwise specified; 5-year maximum for non-designated/appointed directors.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Montana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Montana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Montana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Montana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Montana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Montana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Montana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2026-03-27T17:40:56.182Z</dcterms:created>
  <dcterms:modified xsi:type="dcterms:W3CDTF">2026-03-27T17:40:56.182Z</dcterms:modified>
</cp:coreProperties>
</file>

<file path=docProps/custom.xml><?xml version="1.0" encoding="utf-8"?>
<Properties xmlns="http://schemas.openxmlformats.org/officeDocument/2006/custom-properties" xmlns:vt="http://schemas.openxmlformats.org/officeDocument/2006/docPropsVTypes"/>
</file>