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New Hampshire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New Hampshire Voluntary Corporations and Associations Act (RSA § 292)</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New Hampshire, in compliance with New Hampshire Voluntary Corporations and Associations Act (RSA § 292). Each article below is required or strongly recommended under New Hampshire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New Hampshire before adopting these bylaws. The provider of this template is not a law firm and does not provide legal services.</w:t>
      </w:r>
    </w:p>
    <w:p>
      <w:pPr>
        <w:pStyle w:val="Heading2"/>
      </w:pPr>
      <w:r>
        <w:t xml:space="preserve">New Hampshire-Specific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New Hampshire Voluntary Corporations and Associations Act (RSA § 292)</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5</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At least 5 voting members who are not of the same immediate family or related by blood or marriage (exceptions may apply).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 defined in bylaws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Defined in bylaws or board resolution. One officer must prepare minutes and authenticate records.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 no members by default. No voting rights except as defined in articles or bylaws.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2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RSA § 292</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New Hampshire requires 5 voting directors who are not related by blood or marriage, the strictest independence and minimum-number requirement in the country.</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New Hampshire Voluntary Corporations and Associations Act (RSA § 292).</w:t>
      </w:r>
    </w:p>
    <w:p>
      <w:pPr>
        <w:pStyle w:val="Heading3"/>
      </w:pPr>
      <w:r>
        <w:t xml:space="preserve">Article III – Registered Office &amp; Agent</w:t>
      </w:r>
    </w:p>
    <w:p>
      <w:pPr>
        <w:spacing w:after="160"/>
      </w:pPr>
      <w:r>
        <w:rPr>
          <w:sz w:val="21"/>
          <w:szCs w:val="21"/>
        </w:rPr>
        <w:t xml:space="preserve">New Hampshire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New Hampshire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New Hampshire requires a minimum of 5 director(s). At least 5 voting members who are not of the same immediate family or related by blood or marriage (exceptions may apply). No residency requirement. Director terms default to as defined in bylaws. The quorum requirement is a majority of directors in office.</w:t>
      </w:r>
    </w:p>
    <w:p>
      <w:pPr>
        <w:pStyle w:val="Heading3"/>
      </w:pPr>
      <w:r>
        <w:t xml:space="preserve">Article VI – Officers</w:t>
      </w:r>
    </w:p>
    <w:p>
      <w:pPr>
        <w:spacing w:after="160"/>
      </w:pPr>
      <w:r>
        <w:rPr>
          <w:sz w:val="21"/>
          <w:szCs w:val="21"/>
        </w:rPr>
        <w:t xml:space="preserve">New Hampshire requires: Defined in bylaws or board resolution. One officer must prepare minutes and authenticate records.. Two or more offices may be held by the same individual.</w:t>
      </w:r>
    </w:p>
    <w:p>
      <w:pPr>
        <w:pStyle w:val="Heading3"/>
      </w:pPr>
      <w:r>
        <w:t xml:space="preserve">Article VII – Committees</w:t>
      </w:r>
    </w:p>
    <w:p>
      <w:pPr>
        <w:spacing w:after="160"/>
      </w:pPr>
      <w:r>
        <w:rPr>
          <w:sz w:val="21"/>
          <w:szCs w:val="21"/>
        </w:rPr>
        <w:t xml:space="preserve">New Hampshire requires minimum 2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New Hampshire requires required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New Hampshire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New Hampshire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per RSA § 292.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New Hampshire Voluntary Corporations and Associations Act (RSA § 292).</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New Hampshire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majority of votes entitled to be cast, unless otherwise required by New Hampshire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5 and no more than [MAXIMUM NUMBER] directors. At least 5 voting members who are not of the same immediate family or related by blood or marriage (exceptions may apply).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As defined in bylaws.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Defined in bylaws or board resolution. One officer must prepare minutes and authenticate records..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2 directors. Committees of the Board may exercise the authority of the Board to the extent provided by Board resolution, except as limited by New Hampshire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New Hampshire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New Hampshire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New Hampshire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New Hampshire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RSA § 292.</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New Hampshire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New Hampshire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2026-03-27T17:40:56.287Z</dcterms:created>
  <dcterms:modified xsi:type="dcterms:W3CDTF">2026-03-27T17:40:56.287Z</dcterms:modified>
</cp:coreProperties>
</file>

<file path=docProps/custom.xml><?xml version="1.0" encoding="utf-8"?>
<Properties xmlns="http://schemas.openxmlformats.org/officeDocument/2006/custom-properties" xmlns:vt="http://schemas.openxmlformats.org/officeDocument/2006/docPropsVTypes"/>
</file>