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Ohio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Ohio Nonprofit Corporation Law (ORC § 1702)</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Ohio, in compliance with Ohio Nonprofit Corporation Law (ORC § 1702). Each article below is required or strongly recommended under Ohio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Ohio before adopting these bylaws. The provider of this template is not a law firm and does not provide legal services.</w:t>
      </w:r>
    </w:p>
    <w:p>
      <w:pPr>
        <w:pStyle w:val="Heading2"/>
      </w:pPr>
      <w:r>
        <w:t xml:space="preserve">Ohio-Specific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Ohio Nonprofit Corporation Law (ORC § 1702)</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No specific qualifications required.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Until successor is elected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Secretary, and Treasurer are required. Officers need not be directors.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If there are no members, then directors serve as members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Presence of voting members at a properly noticed meeting</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annually; default date is the first Monday four months following fiscal year close</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1 director</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per ORC § 1702.49</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Ohio provides a specific default date for annual meetings if the organization does not set one. If no members are designated, directors assume that role.</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Ohio Nonprofit Corporation Law (ORC § 1702).</w:t>
      </w:r>
    </w:p>
    <w:p>
      <w:pPr>
        <w:pStyle w:val="Heading3"/>
      </w:pPr>
      <w:r>
        <w:t xml:space="preserve">Article III – Registered Office &amp; Agent</w:t>
      </w:r>
    </w:p>
    <w:p>
      <w:pPr>
        <w:spacing w:after="160"/>
      </w:pPr>
      <w:r>
        <w:rPr>
          <w:sz w:val="21"/>
          <w:szCs w:val="21"/>
        </w:rPr>
        <w:t xml:space="preserve">Ohio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Ohio law, members are required or assumed. If no members are designated, the directors serve as members under state law.</w:t>
      </w:r>
    </w:p>
    <w:p>
      <w:pPr>
        <w:pStyle w:val="Heading3"/>
      </w:pPr>
      <w:r>
        <w:t xml:space="preserve">Article V – Board of Directors</w:t>
      </w:r>
    </w:p>
    <w:p>
      <w:pPr>
        <w:spacing w:after="160"/>
      </w:pPr>
      <w:r>
        <w:rPr>
          <w:sz w:val="21"/>
          <w:szCs w:val="21"/>
        </w:rPr>
        <w:t xml:space="preserve">Ohio requires a minimum of 3 director(s). No specific qualifications required. No residency requirement. Director terms default to until successor is elected. The quorum requirement is a majority of directors in office.</w:t>
      </w:r>
    </w:p>
    <w:p>
      <w:pPr>
        <w:pStyle w:val="Heading3"/>
      </w:pPr>
      <w:r>
        <w:t xml:space="preserve">Article VI – Officers</w:t>
      </w:r>
    </w:p>
    <w:p>
      <w:pPr>
        <w:spacing w:after="160"/>
      </w:pPr>
      <w:r>
        <w:rPr>
          <w:sz w:val="21"/>
          <w:szCs w:val="21"/>
        </w:rPr>
        <w:t xml:space="preserve">Ohio requires: President, Secretary, and Treasurer are required. Officers need not be directors.. Two or more offices may be held by the same individual.</w:t>
      </w:r>
    </w:p>
    <w:p>
      <w:pPr>
        <w:pStyle w:val="Heading3"/>
      </w:pPr>
      <w:r>
        <w:t xml:space="preserve">Article VII – Committees</w:t>
      </w:r>
    </w:p>
    <w:p>
      <w:pPr>
        <w:spacing w:after="160"/>
      </w:pPr>
      <w:r>
        <w:rPr>
          <w:sz w:val="21"/>
          <w:szCs w:val="21"/>
        </w:rPr>
        <w:t xml:space="preserve">Ohio requires minimum 1 director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Ohio requires required annually; default date is the first monday four months following fiscal year close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Ohio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Ohio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 voting members, member approval may be required under state law.</w:t>
      </w:r>
    </w:p>
    <w:p>
      <w:pPr>
        <w:pStyle w:val="Heading3"/>
      </w:pPr>
      <w:r>
        <w:t xml:space="preserve">Article XIV – Dissolution</w:t>
      </w:r>
    </w:p>
    <w:p>
      <w:pPr>
        <w:spacing w:after="160"/>
      </w:pPr>
      <w:r>
        <w:rPr>
          <w:sz w:val="21"/>
          <w:szCs w:val="21"/>
        </w:rPr>
        <w:t xml:space="preserve">Required by the IRS for 501(c)(3) status. Assets distributed for exempt purposes per ORC § 1702.49.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Ohio Nonprofit Corporation Law (ORC § 1702).</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Ohio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annually; default date is the first monday four months following fiscal year close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presence of voting members at a properly noticed meeting, unless otherwise required by Ohio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No specific qualifications required.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Until successor is elected.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Secretary, and Treasurer are required. Officers need not be directors..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1 director. Committees of the Board may exercise the authority of the Board to the extent provided by Board resolution, except as limited by Ohio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Ohio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Ohio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Ohio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Ohio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Member Approval</w:t>
      </w:r>
    </w:p>
    <w:p>
      <w:pPr>
        <w:spacing w:after="140"/>
      </w:pPr>
      <w:r>
        <w:rPr>
          <w:sz w:val="22"/>
          <w:szCs w:val="22"/>
        </w:rPr>
        <w:t xml:space="preserve">If the Corporation has voting members, amendments to these Bylaws shall require the approval of members to the extent required by Ohio law.</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per ORC § 1702.49.</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Ohio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Ohio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2026-03-27T17:40:56.479Z</dcterms:created>
  <dcterms:modified xsi:type="dcterms:W3CDTF">2026-03-27T17:40:56.479Z</dcterms:modified>
</cp:coreProperties>
</file>

<file path=docProps/custom.xml><?xml version="1.0" encoding="utf-8"?>
<Properties xmlns="http://schemas.openxmlformats.org/officeDocument/2006/custom-properties" xmlns:vt="http://schemas.openxmlformats.org/officeDocument/2006/docPropsVTypes"/>
</file>