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Texas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Texas Business Organizations Code (BOC § 22)</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Texas, in compliance with Texas Business Organizations Code (BOC § 22). Each article below is required or strongly recommended under Texas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Texas before adopting these bylaws. The provider of this template is not a law firm and does not provide legal services.</w:t>
      </w:r>
    </w:p>
    <w:p>
      <w:pPr>
        <w:pStyle w:val="Heading2"/>
      </w:pPr>
      <w:r>
        <w:t xml:space="preserve">Texas-Specific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Texas Business Organizations Code (BOC § 22)</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Must be natural persons.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elected, appointed, or designated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and Secretary are required. Officers must be natural persons but may hold other titles.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except for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Management committee must have minimum 2 persons with a majority being directors (some exceptions)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BOC § 22.304</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Texas mandates that management committees must have a majority of directors. Members have statutory inspection rights for books and records under BOC § 22.351.</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Texas Business Organizations Code (BOC § 22).</w:t>
      </w:r>
    </w:p>
    <w:p>
      <w:pPr>
        <w:pStyle w:val="Heading3"/>
      </w:pPr>
      <w:r>
        <w:t xml:space="preserve">Article III – Registered Office &amp; Agent</w:t>
      </w:r>
    </w:p>
    <w:p>
      <w:pPr>
        <w:spacing w:after="160"/>
      </w:pPr>
      <w:r>
        <w:rPr>
          <w:sz w:val="21"/>
          <w:szCs w:val="21"/>
        </w:rPr>
        <w:t xml:space="preserve">Texas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Texas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Texas requires a minimum of 3 director(s). Must be natural persons. No residency requirement. Director terms default to until successor is elected, appointed, or designated and qualified. The quorum requirement is a majority of directors in office.</w:t>
      </w:r>
    </w:p>
    <w:p>
      <w:pPr>
        <w:pStyle w:val="Heading3"/>
      </w:pPr>
      <w:r>
        <w:t xml:space="preserve">Article VI – Officers</w:t>
      </w:r>
    </w:p>
    <w:p>
      <w:pPr>
        <w:spacing w:after="160"/>
      </w:pPr>
      <w:r>
        <w:rPr>
          <w:sz w:val="21"/>
          <w:szCs w:val="21"/>
        </w:rPr>
        <w:t xml:space="preserve">Texas requires: President and Secretary are required. Officers must be natural persons but may hold other titles.. Two or more offices may be held by the same individual, except for President and Secretary.</w:t>
      </w:r>
    </w:p>
    <w:p>
      <w:pPr>
        <w:pStyle w:val="Heading3"/>
      </w:pPr>
      <w:r>
        <w:t xml:space="preserve">Article VII – Committees</w:t>
      </w:r>
    </w:p>
    <w:p>
      <w:pPr>
        <w:spacing w:after="160"/>
      </w:pPr>
      <w:r>
        <w:rPr>
          <w:sz w:val="21"/>
          <w:szCs w:val="21"/>
        </w:rPr>
        <w:t xml:space="preserve">Texas requires management committee must have minimum 2 persons with a majority being directors (some exceptions)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Texas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Texas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Texas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BOC § 22.304.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Texas Business Organizations Code (BOC § 22).</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Texas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Texas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Must be natural persons.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elected, appointed, or designated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and Secretary are required. Officers must be natural persons but may hold other titles.. Two or more offices may be held by the same individual, except for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management committee must have minimum 2 persons with a majority being directors (some exceptions). Committees of the Board may exercise the authority of the Board to the extent provided by Board resolution, except as limited by Texas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Texas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Texas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Texas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Texas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BOC § 22.304.</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Texas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Texas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2026-03-27T17:40:56.710Z</dcterms:created>
  <dcterms:modified xsi:type="dcterms:W3CDTF">2026-03-27T17:40:56.710Z</dcterms:modified>
</cp:coreProperties>
</file>

<file path=docProps/custom.xml><?xml version="1.0" encoding="utf-8"?>
<Properties xmlns="http://schemas.openxmlformats.org/officeDocument/2006/custom-properties" xmlns:vt="http://schemas.openxmlformats.org/officeDocument/2006/docPropsVTypes"/>
</file>