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Massachusetts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Massachusetts Nonprofit Corporation Law (M.G.L. ch. 180)</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Massachusetts, in compliance with Massachusetts Nonprofit Corporation Law (M.G.L. ch. 180). Each article below is required or strongly recommended under Massachusetts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Massachusetts before adopting these bylaws. The provider of this template is not a law firm and does not provide legal services.</w:t>
      </w:r>
    </w:p>
    <w:p>
      <w:pPr>
        <w:pStyle w:val="Heading2"/>
      </w:pPr>
      <w:r>
        <w:t xml:space="preserve">Massachusetts-Specific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Massachusetts Nonprofit Corporation Law (M.G.L. ch. 180)</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Natural persons.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Minimum 1 year, maximum 5 years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Treasurer, and Clerk are required. The Clerk must be a Massachusetts resident unless a resident agent has been appointed.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Permitted as defined in bylaws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If there are no members, then directors serve as members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 defined in bylaws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1 director</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 or to the Commonwealth per M.G.L. ch. 180 § 11A</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Massachusetts uses the title 'Clerk' instead of 'Secretary' and requires the Clerk to be a state resident unless a resident agent is appointed. This is one of few states with a residency-linked officer requirement.</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Massachusetts Nonprofit Corporation Law (M.G.L. ch. 180).</w:t>
      </w:r>
    </w:p>
    <w:p>
      <w:pPr>
        <w:pStyle w:val="Heading3"/>
      </w:pPr>
      <w:r>
        <w:t xml:space="preserve">Article III – Registered Office &amp; Agent</w:t>
      </w:r>
    </w:p>
    <w:p>
      <w:pPr>
        <w:spacing w:after="160"/>
      </w:pPr>
      <w:r>
        <w:rPr>
          <w:sz w:val="21"/>
          <w:szCs w:val="21"/>
        </w:rPr>
        <w:t xml:space="preserve">Massachusetts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Massachusetts law, members are required or assumed. If no members are designated, the directors serve as members under state law.</w:t>
      </w:r>
    </w:p>
    <w:p>
      <w:pPr>
        <w:pStyle w:val="Heading3"/>
      </w:pPr>
      <w:r>
        <w:t xml:space="preserve">Article V – Board of Directors</w:t>
      </w:r>
    </w:p>
    <w:p>
      <w:pPr>
        <w:spacing w:after="160"/>
      </w:pPr>
      <w:r>
        <w:rPr>
          <w:sz w:val="21"/>
          <w:szCs w:val="21"/>
        </w:rPr>
        <w:t xml:space="preserve">Massachusetts requires a minimum of 1 director(s). Natural persons. No residency requirement. Director terms default to minimum 1 year, maximum 5 years. The quorum requirement is a majority of directors in office.</w:t>
      </w:r>
    </w:p>
    <w:p>
      <w:pPr>
        <w:pStyle w:val="Heading3"/>
      </w:pPr>
      <w:r>
        <w:t xml:space="preserve">Article VI – Officers</w:t>
      </w:r>
    </w:p>
    <w:p>
      <w:pPr>
        <w:spacing w:after="160"/>
      </w:pPr>
      <w:r>
        <w:rPr>
          <w:sz w:val="21"/>
          <w:szCs w:val="21"/>
        </w:rPr>
        <w:t xml:space="preserve">Massachusetts requires: President, Treasurer, and Clerk are required. The Clerk must be a Massachusetts resident unless a resident agent has been appointed.. Permitted as defined in bylaws.</w:t>
      </w:r>
    </w:p>
    <w:p>
      <w:pPr>
        <w:pStyle w:val="Heading3"/>
      </w:pPr>
      <w:r>
        <w:t xml:space="preserve">Article VII – Committees</w:t>
      </w:r>
    </w:p>
    <w:p>
      <w:pPr>
        <w:spacing w:after="160"/>
      </w:pPr>
      <w:r>
        <w:rPr>
          <w:sz w:val="21"/>
          <w:szCs w:val="21"/>
        </w:rPr>
        <w:t xml:space="preserve">Massachusetts requires minimum 1 director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Massachusetts requires as defined in bylaws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Massachusetts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Massachusetts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 voting members, member approval may be required under state law.</w:t>
      </w:r>
    </w:p>
    <w:p>
      <w:pPr>
        <w:pStyle w:val="Heading3"/>
      </w:pPr>
      <w:r>
        <w:t xml:space="preserve">Article XIV – Dissolution</w:t>
      </w:r>
    </w:p>
    <w:p>
      <w:pPr>
        <w:spacing w:after="160"/>
      </w:pPr>
      <w:r>
        <w:rPr>
          <w:sz w:val="21"/>
          <w:szCs w:val="21"/>
        </w:rPr>
        <w:t xml:space="preserve">Required by the IRS for 501(c)(3) status. Assets distributed for exempt purposes or to the Commonwealth per M.G.L. ch. 180 § 11A.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Massachusetts Nonprofit Corporation Law (M.G.L. ch. 180).</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Massachusetts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as defined in bylaws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majority of votes entitled to be cast, unless otherwise required by Massachusetts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1 and no more than [MAXIMUM NUMBER] directors. Natural persons.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Minimum 1 year, maximum 5 years.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Treasurer, and Clerk are required. The Clerk must be a Massachusetts resident unless a resident agent has been appointed.. Permitted as defined in bylaws.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1 director. Committees of the Board may exercise the authority of the Board to the extent provided by Board resolution, except as limited by Massachusetts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Massachusetts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Massachusetts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Massachusetts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Massachusetts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Member Approval</w:t>
      </w:r>
    </w:p>
    <w:p>
      <w:pPr>
        <w:spacing w:after="140"/>
      </w:pPr>
      <w:r>
        <w:rPr>
          <w:sz w:val="22"/>
          <w:szCs w:val="22"/>
        </w:rPr>
        <w:t xml:space="preserve">If the Corporation has voting members, amendments to these Bylaws shall require the approval of members to the extent required by Massachusetts law.</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 or to the Commonwealth per M.G.L. ch. 180 § 11A.</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Massachusetts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Massachusetts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2026-03-27T17:40:55.990Z</dcterms:created>
  <dcterms:modified xsi:type="dcterms:W3CDTF">2026-03-27T17:40:55.990Z</dcterms:modified>
</cp:coreProperties>
</file>

<file path=docProps/custom.xml><?xml version="1.0" encoding="utf-8"?>
<Properties xmlns="http://schemas.openxmlformats.org/officeDocument/2006/custom-properties" xmlns:vt="http://schemas.openxmlformats.org/officeDocument/2006/docPropsVTypes"/>
</file>