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7108008cf189cf627afb8538c24daa128aea1a"/>
    <w:p>
      <w:pPr>
        <w:pStyle w:val="Heading1"/>
      </w:pPr>
      <w:r>
        <w:t xml:space="preserve">Vernon Press proposal form — content to paste</w:t>
      </w:r>
    </w:p>
    <w:p>
      <w:pPr>
        <w:pStyle w:val="FirstParagraph"/>
      </w:pPr>
      <w:r>
        <w:t xml:space="preserve">Field numbers match</w:t>
      </w:r>
      <w:r>
        <w:t xml:space="preserve"> </w:t>
      </w:r>
      <w:r>
        <w:rPr>
          <w:rStyle w:val="VerbatimChar"/>
        </w:rPr>
        <w:t xml:space="preserve">vernon_press_proposal_form_BLANK.docx</w:t>
      </w:r>
      <w:r>
        <w:t xml:space="preserve"> </w:t>
      </w:r>
      <w:r>
        <w:t xml:space="preserve">exactly. Their cap is</w:t>
      </w:r>
      <w:r>
        <w:t xml:space="preserve"> </w:t>
      </w:r>
      <w:r>
        <w:rPr>
          <w:bCs/>
          <w:b/>
        </w:rPr>
        <w:t xml:space="preserve">5 pages</w:t>
      </w:r>
      <w:r>
        <w:t xml:space="preserve">, so this is written tight.</w:t>
      </w:r>
    </w:p>
    <w:p>
      <w:r>
        <w:pict>
          <v:rect style="width:0;height:1.5pt" o:hralign="center" o:hrstd="t" o:hr="t"/>
        </w:pict>
      </w:r>
    </w:p>
    <w:bookmarkStart w:id="20" w:name="authors-names-and-affiliations"/>
    <w:p>
      <w:pPr>
        <w:pStyle w:val="Heading2"/>
      </w:pPr>
      <w:r>
        <w:t xml:space="preserve">1. Author(s)’ names and affiliations</w:t>
      </w:r>
    </w:p>
    <w:p>
      <w:pPr>
        <w:pStyle w:val="FirstParagraph"/>
      </w:pPr>
      <w:r>
        <w:t xml:space="preserve">Eric A. Booth, Senior Researcher, Texas 2036, Austin, Texas, USA</w:t>
      </w:r>
      <w:r>
        <w:t xml:space="preserve"> </w:t>
      </w:r>
      <w:r>
        <w:t xml:space="preserve">Elizabeth Teas, Senior Research Scientist, Far Harbor, LLC, USA</w:t>
      </w:r>
    </w:p>
    <w:p>
      <w:r>
        <w:pict>
          <v:rect style="width:0;height:1.5pt" o:hralign="center" o:hrstd="t" o:hr="t"/>
        </w:pict>
      </w:r>
    </w:p>
    <w:bookmarkEnd w:id="20"/>
    <w:bookmarkStart w:id="21" w:name="proposed-book-title-and-subtitle"/>
    <w:p>
      <w:pPr>
        <w:pStyle w:val="Heading2"/>
      </w:pPr>
      <w:r>
        <w:t xml:space="preserve">2. Proposed book title and subtitle</w:t>
      </w:r>
    </w:p>
    <w:p>
      <w:pPr>
        <w:pStyle w:val="FirstParagraph"/>
      </w:pPr>
      <w:r>
        <w:rPr>
          <w:bCs/>
          <w:b/>
        </w:rPr>
        <w:t xml:space="preserve">Applied Program Evaluation Using Stata: A Practical Workflow from Data to Deliverables</w:t>
      </w:r>
    </w:p>
    <w:p>
      <w:r>
        <w:pict>
          <v:rect style="width:0;height:1.5pt" o:hralign="center" o:hrstd="t" o:hr="t"/>
        </w:pict>
      </w:r>
    </w:p>
    <w:bookmarkEnd w:id="21"/>
    <w:bookmarkStart w:id="22" w:name="synopsis-and-chapter-outline"/>
    <w:p>
      <w:pPr>
        <w:pStyle w:val="Heading2"/>
      </w:pPr>
      <w:r>
        <w:t xml:space="preserve">3. Synopsis and chapter outline</w:t>
      </w:r>
    </w:p>
    <w:p>
      <w:pPr>
        <w:pStyle w:val="FirstParagraph"/>
      </w:pPr>
      <w:r>
        <w:t xml:space="preserve">Applied evaluators spend most of their time on work that statistics textbooks skip. The data arrives as fourteen mismatched spreadsheets in a shared drive, or behind an API with no documentation, or in two administrative files that describe the same people and share no identifier. At the other end, the finding has to reach a program director who will not read a regression table, a funder who wants an interactive dashboard, and an auditor who will ask three years later how a number was produced. This book covers that first mile and last mile, and the analysis in between, as one continuous workflow in Stata.</w:t>
      </w:r>
    </w:p>
    <w:p>
      <w:pPr>
        <w:pStyle w:val="BodyText"/>
      </w:pPr>
      <w:r>
        <w:t xml:space="preserve">The argument for a single volume is that the steps are connected. An API pull feeds a panel; the panel feeds an empirical-Bayes shrinkage estimator that stabilizes rates for small sites; the estimator feeds a scheduled HTML dashboard that runs with no server. Teaching those pieces separately is what the field already does, and it leaves the reader to invent the joins. Following one project end to end is what takes a book.</w:t>
      </w:r>
    </w:p>
    <w:p>
      <w:pPr>
        <w:pStyle w:val="BodyText"/>
      </w:pPr>
      <w:r>
        <w:t xml:space="preserve">The manuscript is organised in five parts of fifteen chapters:</w:t>
      </w:r>
    </w:p>
    <w:p>
      <w:pPr>
        <w:pStyle w:val="BodyText"/>
      </w:pPr>
      <w:r>
        <w:rPr>
          <w:bCs/>
          <w:b/>
        </w:rPr>
        <w:t xml:space="preserve">Part I, The embedded evaluator workflow (Chapters 1–2)</w:t>
      </w:r>
      <w:r>
        <w:t xml:space="preserve"> </w:t>
      </w:r>
      <w:r>
        <w:t xml:space="preserve">defines the role and sets four principles the book measures every deliverable against: replicable, extensible, accessible, actionable. Chapter 2 builds a project that survives a handoff, with a folder structure, a control file, package version pinning, and a decision log.</w:t>
      </w:r>
    </w:p>
    <w:p>
      <w:pPr>
        <w:pStyle w:val="BodyText"/>
      </w:pPr>
      <w:r>
        <w:rPr>
          <w:bCs/>
          <w:b/>
        </w:rPr>
        <w:t xml:space="preserve">Part II, Getting the data (Chapters 3–6)</w:t>
      </w:r>
      <w:r>
        <w:t xml:space="preserve"> </w:t>
      </w:r>
      <w:r>
        <w:t xml:space="preserve">covers the four ways evidence actually arrives: through a public API, from agencies that offer only a download button, from survey platforms while a survey is still open, and as repeated waves that must be linked into a panel without a shared identifier. Chapter 6 closes the part with a capstone section that runs the book’s route end to end on one worked example. Three yearly wage extracts arrive as a CSV, an Excel workbook, and a Stata file, and one of them renames a column between years without saying so. The section carries that to an analysis-ready panel that can answer</w:t>
      </w:r>
      <w:r>
        <w:t xml:space="preserve"> </w:t>
      </w:r>
      <w:r>
        <w:t xml:space="preserve">“</w:t>
      </w:r>
      <w:r>
        <w:t xml:space="preserve">where did this number come from?</w:t>
      </w:r>
      <w:r>
        <w:t xml:space="preserve">”</w:t>
      </w:r>
      <w:r>
        <w:t xml:space="preserve"> </w:t>
      </w:r>
      <w:r>
        <w:t xml:space="preserve">on its own, and it includes the loop most pipelines skip: a reviewer reads the generated codebook, spots a wrong data vintage, and corrects the metadata rather than the data, under an overwrite guard that prints a row-by-row receipt.</w:t>
      </w:r>
    </w:p>
    <w:p>
      <w:pPr>
        <w:pStyle w:val="BodyText"/>
      </w:pPr>
      <w:r>
        <w:rPr>
          <w:bCs/>
          <w:b/>
        </w:rPr>
        <w:t xml:space="preserve">Part III, Turning data into evidence (Chapters 7–8)</w:t>
      </w:r>
      <w:r>
        <w:t xml:space="preserve"> </w:t>
      </w:r>
      <w:r>
        <w:t xml:space="preserve">covers the safeguards that precede a claim (scale reliability, survey weighting, stabilizing small-denominator rates, distribution-free prediction intervals, minimum detectable effect), then matches claims to designs, centred on modern difference-in-differences.</w:t>
      </w:r>
    </w:p>
    <w:p>
      <w:pPr>
        <w:pStyle w:val="BodyText"/>
      </w:pPr>
      <w:r>
        <w:rPr>
          <w:bCs/>
          <w:b/>
        </w:rPr>
        <w:t xml:space="preserve">Part IV, Communicating results (Chapters 9–12)</w:t>
      </w:r>
      <w:r>
        <w:t xml:space="preserve"> </w:t>
      </w:r>
      <w:r>
        <w:t xml:space="preserve">works outward from the printed page: static graphics built for how people read charts, interactive charts and maps written from Stata rather than a business-intelligence tool, spreadsheet deliverables that stay reproducible, and self-contained web portals that open behind a locked-down agency firewall.</w:t>
      </w:r>
    </w:p>
    <w:p>
      <w:pPr>
        <w:pStyle w:val="BodyText"/>
      </w:pPr>
      <w:r>
        <w:rPr>
          <w:bCs/>
          <w:b/>
        </w:rPr>
        <w:t xml:space="preserve">Part V, Sustaining the practice (Chapters 13–15)</w:t>
      </w:r>
      <w:r>
        <w:t xml:space="preserve"> </w:t>
      </w:r>
      <w:r>
        <w:t xml:space="preserve">covers using large language models without losing reproducibility or leaking confidential data, preparing files for public release without re-identifying anyone, and turning repeated code into documented, installable tools with a replication archive.</w:t>
      </w:r>
    </w:p>
    <w:p>
      <w:pPr>
        <w:pStyle w:val="BodyText"/>
      </w:pPr>
      <w:r>
        <w:t xml:space="preserve">Five appendices give a setup guide, a causal-design quick reference, a toolkit index of every package used, two hands-on worked examples, and a 30-page reproducible capstone that carries one public dataset from ingest to finished deliverable.</w:t>
      </w:r>
    </w:p>
    <w:p>
      <w:r>
        <w:pict>
          <v:rect style="width:0;height:1.5pt" o:hralign="center" o:hrstd="t" o:hr="t"/>
        </w:pict>
      </w:r>
    </w:p>
    <w:bookmarkEnd w:id="22"/>
    <w:bookmarkStart w:id="23" w:name="X704e6b592a5592d80d8905a7c7f8233d46d1264"/>
    <w:p>
      <w:pPr>
        <w:pStyle w:val="Heading2"/>
      </w:pPr>
      <w:r>
        <w:t xml:space="preserve">4. Current state of development and timeline for completion</w:t>
      </w:r>
    </w:p>
    <w:p>
      <w:pPr>
        <w:pStyle w:val="FirstParagraph"/>
      </w:pPr>
      <w:r>
        <w:t xml:space="preserve">The manuscript is</w:t>
      </w:r>
      <w:r>
        <w:t xml:space="preserve"> </w:t>
      </w:r>
      <w:r>
        <w:rPr>
          <w:bCs/>
          <w:b/>
        </w:rPr>
        <w:t xml:space="preserve">complete</w:t>
      </w:r>
      <w:r>
        <w:t xml:space="preserve">. All fifteen chapters and five appendices are drafted and compile clean at 336 pages. Every number, table, and figure printed in the book is generated by a companion do-file we can rerun on request, so the text and the code cannot drift apart. The two capstones, section 6.6 and Appendix E, run with assertions at each step, so a broken step halts the do-file instead of printing a wrong number.</w:t>
      </w:r>
    </w:p>
    <w:p>
      <w:pPr>
        <w:pStyle w:val="BodyText"/>
      </w:pPr>
      <w:r>
        <w:t xml:space="preserve">We can deliver a final typescript in whatever format you require within three months of contract, which covers copy-editing response and any restructuring you ask for. Because parts of the material track fast-moving tools, we would like the option to revise close to press time.</w:t>
      </w:r>
    </w:p>
    <w:p>
      <w:r>
        <w:pict>
          <v:rect style="width:0;height:1.5pt" o:hralign="center" o:hrstd="t" o:hr="t"/>
        </w:pict>
      </w:r>
    </w:p>
    <w:bookmarkEnd w:id="23"/>
    <w:bookmarkStart w:id="24" w:name="authors-succinct-biography"/>
    <w:p>
      <w:pPr>
        <w:pStyle w:val="Heading2"/>
      </w:pPr>
      <w:r>
        <w:t xml:space="preserve">5. Author(s)’ succinct biography</w:t>
      </w:r>
    </w:p>
    <w:p>
      <w:pPr>
        <w:pStyle w:val="FirstParagraph"/>
      </w:pPr>
      <w:r>
        <w:rPr>
          <w:bCs/>
          <w:b/>
        </w:rPr>
        <w:t xml:space="preserve">Eric A. Booth</w:t>
      </w:r>
      <w:r>
        <w:t xml:space="preserve"> </w:t>
      </w:r>
      <w:r>
        <w:t xml:space="preserve">works in applied evaluation and data systems in the public policy and nonprofit sectors, currently at Texas 2036. He writes and maintains open-source Stata packages that connect statistical analysis to modern data engineering, with an emphasis on API access, reproducibility, and workflow automation, and he teaches this material in workshops for policy doctoral students and early-career researchers.</w:t>
      </w:r>
    </w:p>
    <w:p>
      <w:pPr>
        <w:pStyle w:val="BodyText"/>
      </w:pPr>
      <w:r>
        <w:rPr>
          <w:bCs/>
          <w:b/>
        </w:rPr>
        <w:t xml:space="preserve">Elizabeth Teas</w:t>
      </w:r>
      <w:r>
        <w:t xml:space="preserve"> </w:t>
      </w:r>
      <w:r>
        <w:t xml:space="preserve">is an applied researcher and evaluator at Far Harbor, LLC. She specializes in implementation science and program evaluation, and in turning statistical findings into strategies that community organizations, foundations, and government agencies can act on.</w:t>
      </w:r>
    </w:p>
    <w:p>
      <w:pPr>
        <w:pStyle w:val="BodyText"/>
      </w:pPr>
      <w:r>
        <w:rPr>
          <w:bCs/>
          <w:b/>
        </w:rPr>
        <w:t xml:space="preserve">A note on rights and affiliation.</w:t>
      </w:r>
      <w:r>
        <w:t xml:space="preserve"> </w:t>
      </w:r>
      <w:r>
        <w:t xml:space="preserve">We name our current positions as professional background only. This book is our own work, drawn on a career’s worth of accumulated practice rather than on any employer’s project, and it is not written under, sponsored by, or endorsed by either organization. Neither employer holds any rights in the manuscript, the companion code, or the software packages, and neither would be a party to a publishing agreement. We contract as individuals.</w:t>
      </w:r>
    </w:p>
    <w:p>
      <w:r>
        <w:pict>
          <v:rect style="width:0;height:1.5pt" o:hralign="center" o:hrstd="t" o:hr="t"/>
        </w:pict>
      </w:r>
    </w:p>
    <w:bookmarkEnd w:id="24"/>
    <w:bookmarkStart w:id="27" w:name="market-rationale"/>
    <w:p>
      <w:pPr>
        <w:pStyle w:val="Heading2"/>
      </w:pPr>
      <w:r>
        <w:t xml:space="preserve">6. Market rationale</w:t>
      </w:r>
    </w:p>
    <w:bookmarkStart w:id="25" w:name="prospective-readership"/>
    <w:p>
      <w:pPr>
        <w:pStyle w:val="Heading3"/>
      </w:pPr>
      <w:r>
        <w:t xml:space="preserve">Prospective readership</w:t>
      </w:r>
    </w:p>
    <w:p>
      <w:pPr>
        <w:pStyle w:val="FirstParagraph"/>
      </w:pPr>
      <w:r>
        <w:t xml:space="preserve">The primary readers are practising evaluators and policy analysts working inside or alongside nonprofits, foundations, school districts, health departments, and government agencies: the people who do monitoring, evaluation, and learning work on a deadline, usually alone or in a team of two or three. They already know Stata well enough to merge a dataset and run a regression. What they lack is a worked account of everything on either side of that.</w:t>
      </w:r>
    </w:p>
    <w:p>
      <w:pPr>
        <w:pStyle w:val="BodyText"/>
      </w:pPr>
      <w:r>
        <w:t xml:space="preserve">This readership is larger than it looks and is poorly served. Stata has a substantial installed base across public health, education research, economics, and social policy, much of it in government and nonprofit settings rather than universities. Books for that base are almost entirely about estimation. We are not aware of one that covers ingestion, delivery, and reproducibility as a single workflow.</w:t>
      </w:r>
    </w:p>
    <w:p>
      <w:pPr>
        <w:pStyle w:val="BodyText"/>
      </w:pPr>
      <w:r>
        <w:t xml:space="preserve">Two secondary audiences follow. Graduate programmes in public policy, public health, and social work teach applied research methods to students who will take exactly these jobs; the book works as a course text or a practicum companion, and we already teach parts of it that way. And applied researchers who want to modernise a Stata workflow with APIs and web deliverables, rather than migrate to R or Python, have very little to read.</w:t>
      </w:r>
    </w:p>
    <w:bookmarkEnd w:id="25"/>
    <w:bookmarkStart w:id="26" w:name="competing-or-complementary-works"/>
    <w:p>
      <w:pPr>
        <w:pStyle w:val="Heading3"/>
      </w:pPr>
      <w:r>
        <w:t xml:space="preserve">Competing or complementary works</w:t>
      </w:r>
    </w:p>
    <w:p>
      <w:pPr>
        <w:pStyle w:val="FirstParagraph"/>
      </w:pPr>
      <w:r>
        <w:t xml:space="preserve">There is no direct competitor, which is the point of the book. The nearest works each cover one segment:</w:t>
      </w:r>
    </w:p>
    <w:p>
      <w:pPr>
        <w:numPr>
          <w:ilvl w:val="0"/>
          <w:numId w:val="1001"/>
        </w:numPr>
        <w:pStyle w:val="Compact"/>
      </w:pPr>
      <w:r>
        <w:t xml:space="preserve">J. Scott Long,</w:t>
      </w:r>
      <w:r>
        <w:t xml:space="preserve"> </w:t>
      </w:r>
      <w:r>
        <w:rPr>
          <w:iCs/>
          <w:i/>
        </w:rPr>
        <w:t xml:space="preserve">The Workflow of Data Analysis Using Stata</w:t>
      </w:r>
      <w:r>
        <w:t xml:space="preserve"> </w:t>
      </w:r>
      <w:r>
        <w:t xml:space="preserve">(Stata Press, 2009). The closest relative and a book we admire. It covers project discipline thoroughly, but predates public APIs, web deliverables, and everything in our Parts II, IV, and V. We build on it explicitly and say so.</w:t>
      </w:r>
    </w:p>
    <w:p>
      <w:pPr>
        <w:numPr>
          <w:ilvl w:val="0"/>
          <w:numId w:val="1001"/>
        </w:numPr>
        <w:pStyle w:val="Compact"/>
      </w:pPr>
      <w:r>
        <w:t xml:space="preserve">Michael N. Mitchell,</w:t>
      </w:r>
      <w:r>
        <w:t xml:space="preserve"> </w:t>
      </w:r>
      <w:r>
        <w:rPr>
          <w:iCs/>
          <w:i/>
        </w:rPr>
        <w:t xml:space="preserve">Data Management Using Stata: A Practical Handbook</w:t>
      </w:r>
      <w:r>
        <w:t xml:space="preserve">, 2nd ed. (Stata Press). Excellent on cleaning and reshaping; stops at the analysis boundary in both directions.</w:t>
      </w:r>
    </w:p>
    <w:p>
      <w:pPr>
        <w:numPr>
          <w:ilvl w:val="0"/>
          <w:numId w:val="1001"/>
        </w:numPr>
        <w:pStyle w:val="Compact"/>
      </w:pPr>
      <w:r>
        <w:t xml:space="preserve">Kyle C. Longest,</w:t>
      </w:r>
      <w:r>
        <w:t xml:space="preserve"> </w:t>
      </w:r>
      <w:r>
        <w:rPr>
          <w:iCs/>
          <w:i/>
        </w:rPr>
        <w:t xml:space="preserve">Using Stata for Quantitative Analysis</w:t>
      </w:r>
      <w:r>
        <w:t xml:space="preserve">, 3rd ed. (Sage, 2019), and Lisa Daniels &amp; Nicholas Minot,</w:t>
      </w:r>
      <w:r>
        <w:t xml:space="preserve"> </w:t>
      </w:r>
      <w:r>
        <w:rPr>
          <w:iCs/>
          <w:i/>
        </w:rPr>
        <w:t xml:space="preserve">An Introduction to Statistics and Data Analysis Using Stata</w:t>
      </w:r>
      <w:r>
        <w:t xml:space="preserve">, 2nd ed. (Sage, 2025). Both are introductions to statistical analysis in Stata for students. Neither covers data acquisition, delivery formats, disclosure control, or tool packaging.</w:t>
      </w:r>
    </w:p>
    <w:p>
      <w:pPr>
        <w:numPr>
          <w:ilvl w:val="0"/>
          <w:numId w:val="1001"/>
        </w:numPr>
        <w:pStyle w:val="Compact"/>
      </w:pPr>
      <w:r>
        <w:t xml:space="preserve">Helen Kara,</w:t>
      </w:r>
      <w:r>
        <w:t xml:space="preserve"> </w:t>
      </w:r>
      <w:r>
        <w:rPr>
          <w:iCs/>
          <w:i/>
        </w:rPr>
        <w:t xml:space="preserve">Research and Evaluation for Busy Students and Practitioners</w:t>
      </w:r>
      <w:r>
        <w:t xml:space="preserve"> </w:t>
      </w:r>
      <w:r>
        <w:t xml:space="preserve">(Policy Press). Speaks to our readers and our register, but is software-agnostic and does not teach code.</w:t>
      </w:r>
    </w:p>
    <w:p>
      <w:pPr>
        <w:pStyle w:val="FirstParagraph"/>
      </w:pPr>
      <w:r>
        <w:t xml:space="preserve">Positioned against these, the book is more operational and less statistical: it assumes the reader can run the model and asks what happens before and after. It is also, as far as we can establish, the only book of any kind that addresses using large language models inside an evaluation workflow with reproducibility and confidentiality constraints intact.</w:t>
      </w:r>
    </w:p>
    <w:p>
      <w:pPr>
        <w:pStyle w:val="BodyText"/>
      </w:pPr>
      <w:r>
        <w:rPr>
          <w:iCs/>
          <w:i/>
        </w:rPr>
        <w:t xml:space="preserve">(Prices for the competing titles are not listed here because we have not verified current retail figures; we can supply them on request.)</w:t>
      </w:r>
    </w:p>
    <w:p>
      <w:r>
        <w:pict>
          <v:rect style="width:0;height:1.5pt" o:hralign="center" o:hrstd="t" o:hr="t"/>
        </w:pict>
      </w:r>
    </w:p>
    <w:bookmarkEnd w:id="26"/>
    <w:bookmarkEnd w:id="27"/>
    <w:bookmarkStart w:id="28" w:name="X603fe8b8237b497ebf1c4f21b9c6ce7188fc1cb"/>
    <w:p>
      <w:pPr>
        <w:pStyle w:val="Heading2"/>
      </w:pPr>
      <w:r>
        <w:t xml:space="preserve">7. Manuscript information and other considerations</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Estimated total word count (incl. index, references, annexes)</w:t>
            </w:r>
          </w:p>
        </w:tc>
        <w:tc>
          <w:tcPr/>
          <w:p>
            <w:pPr>
              <w:pStyle w:val="Compact"/>
              <w:jc w:val="left"/>
            </w:pPr>
            <w:r>
              <w:t xml:space="preserve">approximately 158,000</w:t>
            </w:r>
          </w:p>
        </w:tc>
      </w:tr>
      <w:tr>
        <w:tc>
          <w:tcPr/>
          <w:p>
            <w:pPr>
              <w:pStyle w:val="Compact"/>
              <w:jc w:val="left"/>
            </w:pPr>
            <w:r>
              <w:t xml:space="preserve">Number and type of illustrations</w:t>
            </w:r>
          </w:p>
        </w:tc>
        <w:tc>
          <w:tcPr/>
          <w:p>
            <w:pPr>
              <w:pStyle w:val="Compact"/>
              <w:jc w:val="left"/>
            </w:pPr>
            <w:r>
              <w:t xml:space="preserve">67 figures and 32 tables. Figures are a mix of Stata-generated statistical graphics and TikZ-drawn workflow diagrams.</w:t>
            </w:r>
          </w:p>
        </w:tc>
      </w:tr>
      <w:tr>
        <w:tc>
          <w:tcPr/>
          <w:p>
            <w:pPr>
              <w:pStyle w:val="Compact"/>
              <w:jc w:val="left"/>
            </w:pPr>
            <w:r>
              <w:t xml:space="preserve">Colour vs black and white</w:t>
            </w:r>
          </w:p>
        </w:tc>
        <w:tc>
          <w:tcPr/>
          <w:p>
            <w:pPr>
              <w:pStyle w:val="Compact"/>
              <w:jc w:val="left"/>
            </w:pPr>
            <w:r>
              <w:t xml:space="preserve">Figures are authored in colour and are legible in greyscale; the palette used throughout is colour-vision-deficiency safe by design (the book teaches this). Colour printing is welcome but not required.</w:t>
            </w:r>
          </w:p>
        </w:tc>
      </w:tr>
      <w:tr>
        <w:tc>
          <w:tcPr/>
          <w:p>
            <w:pPr>
              <w:pStyle w:val="Compact"/>
              <w:jc w:val="left"/>
            </w:pPr>
            <w:r>
              <w:t xml:space="preserve">Image processing needs</w:t>
            </w:r>
          </w:p>
        </w:tc>
        <w:tc>
          <w:tcPr/>
          <w:p>
            <w:pPr>
              <w:pStyle w:val="Compact"/>
              <w:jc w:val="left"/>
            </w:pPr>
            <w:r>
              <w:t xml:space="preserve">None. All figures are generated at 2400px width from code and can be supplied as PDF, EPS, or PNG at any resolution.</w:t>
            </w:r>
          </w:p>
        </w:tc>
      </w:tr>
      <w:tr>
        <w:tc>
          <w:tcPr/>
          <w:p>
            <w:pPr>
              <w:pStyle w:val="Compact"/>
              <w:jc w:val="left"/>
            </w:pPr>
            <w:r>
              <w:t xml:space="preserve">Print dimensions</w:t>
            </w:r>
          </w:p>
        </w:tc>
        <w:tc>
          <w:tcPr/>
          <w:p>
            <w:pPr>
              <w:pStyle w:val="Compact"/>
              <w:jc w:val="left"/>
            </w:pPr>
            <w:r>
              <w:t xml:space="preserve">No constraint from our side. The draft is typeset in a wide-margin layout; it converts to a conventional single-column academic format, which will tighten the page count.</w:t>
            </w:r>
          </w:p>
        </w:tc>
      </w:tr>
      <w:tr>
        <w:tc>
          <w:tcPr/>
          <w:p>
            <w:pPr>
              <w:pStyle w:val="Compact"/>
              <w:jc w:val="left"/>
            </w:pPr>
            <w:r>
              <w:t xml:space="preserve">Electronic formats</w:t>
            </w:r>
          </w:p>
        </w:tc>
        <w:tc>
          <w:tcPr/>
          <w:p>
            <w:pPr>
              <w:pStyle w:val="Compact"/>
              <w:jc w:val="left"/>
            </w:pPr>
            <w:r>
              <w:t xml:space="preserve">Source is LaTeX, so PDF and standard eBook conversion are straightforward.</w:t>
            </w:r>
          </w:p>
        </w:tc>
      </w:tr>
      <w:tr>
        <w:tc>
          <w:tcPr/>
          <w:p>
            <w:pPr>
              <w:pStyle w:val="Compact"/>
              <w:jc w:val="left"/>
            </w:pPr>
            <w:r>
              <w:t xml:space="preserve">Third-party permissions</w:t>
            </w:r>
          </w:p>
        </w:tc>
        <w:tc>
          <w:tcPr/>
          <w:p>
            <w:pPr>
              <w:pStyle w:val="Compact"/>
              <w:jc w:val="left"/>
            </w:pPr>
            <w:r>
              <w:rPr>
                <w:bCs/>
                <w:b/>
              </w:rPr>
              <w:t xml:space="preserve">None required.</w:t>
            </w:r>
            <w:r>
              <w:t xml:space="preserve"> </w:t>
            </w:r>
            <w:r>
              <w:t xml:space="preserve">All data used is public (US Census, Bureau of Labor Statistics, CDC, County Health Rankings, Texas state education files) or simulated. All figures are ours. No previously published material is reproduced.</w:t>
            </w:r>
          </w:p>
        </w:tc>
      </w:tr>
      <w:tr>
        <w:tc>
          <w:tcPr/>
          <w:p>
            <w:pPr>
              <w:pStyle w:val="Compact"/>
              <w:jc w:val="left"/>
            </w:pPr>
            <w:r>
              <w:t xml:space="preserve">Supplementary material</w:t>
            </w:r>
          </w:p>
        </w:tc>
        <w:tc>
          <w:tcPr/>
          <w:p>
            <w:pPr>
              <w:pStyle w:val="Compact"/>
              <w:jc w:val="left"/>
            </w:pPr>
            <w:r>
              <w:t xml:space="preserve">Substantial, and central to the book’s value: a companion repository of runnable do-files reproducing every printed result, plus roughly two dozen Stata packages the authors wrote and released. Several are already distributed through the Statistical Software Components (SSC) archive, the field’s standard channel, and we expect the rest to be there before publication. This material is free, hosted by us, and imposes no production cost.</w:t>
            </w:r>
          </w:p>
        </w:tc>
      </w:tr>
    </w:tbl>
    <w:p>
      <w:r>
        <w:pict>
          <v:rect style="width:0;height:1.5pt" o:hralign="center" o:hrstd="t" o:hr="t"/>
        </w:pict>
      </w:r>
    </w:p>
    <w:bookmarkEnd w:id="28"/>
    <w:bookmarkStart w:id="29" w:name="Xb550f0e9713bc9a93637054a9aacf699f8e087e"/>
    <w:p>
      <w:pPr>
        <w:pStyle w:val="Heading2"/>
      </w:pPr>
      <w:r>
        <w:t xml:space="preserve">8. Bridging Languages and Scholarship (Spanish translation)</w:t>
      </w:r>
    </w:p>
    <w:p>
      <w:pPr>
        <w:pStyle w:val="FirstParagraph"/>
      </w:pPr>
      <w:r>
        <w:t xml:space="preserve">Possibly, and we would be glad to discuss it, though we would not want it to complicate a first contract.</w:t>
      </w:r>
    </w:p>
    <w:p>
      <w:pPr>
        <w:pStyle w:val="BodyText"/>
      </w:pPr>
      <w:r>
        <w:t xml:space="preserve">The case: evaluation capacity-building is active across Latin America and Spain, in government evaluation agencies, multilateral development institutions, and university public-policy programmes, and Stata has a real installed base in Latin American economics and social policy research. A book about doing evaluation work with limited staff and awkward data is not culturally specific in the way a book about US policy would be. The public datasets used as examples are US, but every technique transfers.</w:t>
      </w:r>
    </w:p>
    <w:p>
      <w:pPr>
        <w:pStyle w:val="BodyText"/>
      </w:pPr>
      <w:r>
        <w:t xml:space="preserve">The honest caveat is that translation funding would need to be found, and we have not sought it. We flag it as a genuine possibility rather than a commitment.</w:t>
      </w:r>
    </w:p>
    <w:p>
      <w:r>
        <w:pict>
          <v:rect style="width:0;height:1.5pt" o:hralign="center" o:hrstd="t" o:hr="t"/>
        </w:pict>
      </w:r>
    </w:p>
    <w:bookmarkEnd w:id="29"/>
    <w:bookmarkStart w:id="30" w:name="where-did-you-hear-about-us"/>
    <w:p>
      <w:pPr>
        <w:pStyle w:val="Heading2"/>
      </w:pPr>
      <w:r>
        <w:t xml:space="preserve">9. Where did you hear about us?</w:t>
      </w:r>
    </w:p>
    <w:p>
      <w:pPr>
        <w:pStyle w:val="FirstParagraph"/>
      </w:pPr>
      <w:r>
        <w:rPr>
          <w:iCs/>
          <w:i/>
        </w:rPr>
        <w:t xml:space="preserve">[Eric: answer this one yourself in a line. Leave it honest.]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2026-08-16T14:39:16Z</dcterms:created>
  <dcterms:modified xsi:type="dcterms:W3CDTF">2026-08-16T14:39:16Z</dcterms:modified>
</cp:coreProperties>
</file>

<file path=docProps/custom.xml><?xml version="1.0" encoding="utf-8"?>
<Properties xmlns="http://schemas.openxmlformats.org/officeDocument/2006/custom-properties" xmlns:vt="http://schemas.openxmlformats.org/officeDocument/2006/docPropsVTypes"/>
</file>