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7FA54" w14:textId="77777777" w:rsidR="00FD4872" w:rsidRDefault="00FD4872" w:rsidP="00FD4872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Highlights</w:t>
      </w:r>
    </w:p>
    <w:p w14:paraId="73FB2415" w14:textId="77777777" w:rsidR="00FD4872" w:rsidRDefault="00FD4872" w:rsidP="00FD487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Hyperalignment models information shared across brains in a common information space.</w:t>
      </w:r>
    </w:p>
    <w:p w14:paraId="04A422FB" w14:textId="77777777" w:rsidR="00FD4872" w:rsidRDefault="00FD4872" w:rsidP="00FD487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Hybrid hyperalignment (H2A) jointly models functional response and connectivity information.</w:t>
      </w:r>
    </w:p>
    <w:p w14:paraId="27DEB9A6" w14:textId="77777777" w:rsidR="00FD4872" w:rsidRDefault="00FD4872" w:rsidP="00FD487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H2A matches or outperforms other hyperalignment algorithms across three benchmarks.</w:t>
      </w:r>
    </w:p>
    <w:p w14:paraId="2684CD34" w14:textId="77777777" w:rsidR="00FD4872" w:rsidRDefault="00FD4872" w:rsidP="00FD4872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</w:rPr>
        <w:t xml:space="preserve">One model space could optimally encode both cortical connectivity and response measures. </w:t>
      </w:r>
    </w:p>
    <w:p w14:paraId="08B1406E" w14:textId="77777777" w:rsidR="00800D2F" w:rsidRDefault="00800D2F"/>
    <w:sectPr w:rsidR="00800D2F" w:rsidSect="00BA40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Times New Roman (Body CS)">
    <w:altName w:val="Times New Roman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9C767B"/>
    <w:multiLevelType w:val="multilevel"/>
    <w:tmpl w:val="4A5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72"/>
    <w:rsid w:val="00800D2F"/>
    <w:rsid w:val="00BA40A6"/>
    <w:rsid w:val="00EC5B91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97627"/>
  <w15:chartTrackingRefBased/>
  <w15:docId w15:val="{00C67521-A5F9-C64C-9F0B-A300E7FD2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Theme="minorHAnsi" w:hAnsi="Times" w:cs="Times New Roman (Body CS)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48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27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L. Busch</dc:creator>
  <cp:keywords/>
  <dc:description/>
  <cp:lastModifiedBy>Erica L. Busch</cp:lastModifiedBy>
  <cp:revision>1</cp:revision>
  <dcterms:created xsi:type="dcterms:W3CDTF">2020-11-24T23:43:00Z</dcterms:created>
  <dcterms:modified xsi:type="dcterms:W3CDTF">2020-11-24T23:43:00Z</dcterms:modified>
</cp:coreProperties>
</file>