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XCorp Deal Memo</w:t>
      </w:r>
    </w:p>
    <w:p>
      <w:pPr>
        <w:pStyle w:val="Heading2"/>
      </w:pPr>
      <w:r>
        <w:t>Executive Summary</w:t>
      </w:r>
    </w:p>
    <w:p>
      <w:r>
        <w:t>XCorp is a mid-market SaaS provider focused on workflow automation for logistics companies. The company has demonstrated strong ARR growth over the past 18 months, largely driven by enterprise upsell motions and short-term promotional pricing. However, multiple operational and financial inconsistencies were identified during diligence.</w:t>
      </w:r>
    </w:p>
    <w:p>
      <w:pPr>
        <w:pStyle w:val="Heading2"/>
      </w:pPr>
      <w:r>
        <w:t>Recommendation</w:t>
      </w:r>
    </w:p>
    <w:p>
      <w:r>
        <w:t>Proceed with caution. Financial performance is strong at headline level, but operational fragility may reduce expected post-acquisition synergies.</w:t>
      </w:r>
    </w:p>
    <w:p>
      <w:pPr>
        <w:pStyle w:val="Heading2"/>
      </w:pPr>
      <w:r>
        <w:t>Key Risks</w:t>
      </w:r>
    </w:p>
    <w:p>
      <w:r>
        <w:t>- Churn spikes in Q2 are unexplained and not broken down by customer segment or product line.</w:t>
        <w:br/>
        <w:t>- Ops systems rely on partially completed ERP migration; timeline has slipped twice.</w:t>
        <w:br/>
        <w:t>- Employee turnover is concentrated in operations and onboarding functions.</w:t>
        <w:br/>
        <w:t>- Manual revenue reconciliations occur monthly; automation coverage unclear.</w:t>
        <w:br/>
        <w:t>- Customer support backlog doubled in two quarters without a clear root cause.</w:t>
      </w:r>
    </w:p>
    <w:p>
      <w:pPr>
        <w:pStyle w:val="Heading2"/>
      </w:pPr>
      <w:r>
        <w:t>Integration Risks</w:t>
      </w:r>
    </w:p>
    <w:p>
      <w:r>
        <w:t>- Onboarding workflows appear standardized but include undocumented exception handling steps.</w:t>
        <w:br/>
        <w:t>- Several enterprise customers appear to have custom service commitments not tracked in CRM.</w:t>
        <w:br/>
        <w:t>- Sales forecasting uses a hybrid CRM + spreadsheet model maintained by one senior analyst.</w:t>
      </w:r>
    </w:p>
    <w:p>
      <w:pPr>
        <w:pStyle w:val="Heading2"/>
      </w:pPr>
      <w:r>
        <w:t>Open Questions from Diligence</w:t>
      </w:r>
    </w:p>
    <w:p>
      <w:r>
        <w:t>- Root cause of Q2 churn spike.</w:t>
        <w:br/>
        <w:t>- True level of manual intervention in billing and revenue reporting.</w:t>
        <w:br/>
        <w:t>- Knowledge concentration risk in operations and finance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