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2"/>
        </w:rPr>
        <w:t>Q3 Board Risk Memo — Draft</w:t>
      </w:r>
    </w:p>
    <w:p/>
    <w:p>
      <w:r>
        <w:t>Prepared by: Alice Chen (Sr. Risk Analyst)</w:t>
      </w:r>
    </w:p>
    <w:p>
      <w:r>
        <w:t>As-of Quarter: 2026Q1</w:t>
      </w:r>
    </w:p>
    <w:p/>
    <w:p>
      <w:r>
        <w:t>Executive Summary</w:t>
      </w:r>
    </w:p>
    <w:p>
      <w:r>
        <w:t>Projected 12-month default rate: 5.8%</w:t>
      </w:r>
    </w:p>
    <w:p>
      <w:r>
        <w:t>Projected CET1 ratio post-forecast (base): 12.4%</w:t>
      </w:r>
    </w:p>
    <w:p>
      <w:r>
        <w:t>Projected CET1 ratio post-forecast (stress): 12.1%</w:t>
      </w:r>
    </w:p>
    <w:p/>
    <w:p>
      <w:r>
        <w:t>Conclusion</w:t>
      </w:r>
    </w:p>
    <w:p>
      <w:r>
        <w:t>Portfolio remains within risk tolerance; no escalation required for the upcoming Board Risk Committee meeting.</w:t>
      </w:r>
    </w:p>
    <w:p/>
    <w:p>
      <w:r>
        <w:t>Key Assumptions (legacy)</w:t>
      </w:r>
    </w:p>
    <w:p>
      <w:r>
        <w:t>- Forecast window: last 4 quarters</w:t>
      </w:r>
    </w:p>
    <w:p>
      <w:r>
        <w:t>- Stress PD multiplier: +10%</w:t>
      </w:r>
    </w:p>
    <w:p>
      <w:r>
        <w:t>- Discount rate for risk-adjusted NPV: 10.5%</w:t>
      </w:r>
    </w:p>
    <w:p/>
    <w:p>
      <w:r>
        <w:t>Open Items</w:t>
      </w:r>
    </w:p>
    <w:p>
      <w:r>
        <w:t>- Confirm whether macro overlay is required for 2026Q1.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