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Enterprise Risk Policy — v3.2</w:t>
      </w:r>
    </w:p>
    <w:p/>
    <w:p>
      <w:r>
        <w:t>Enterprise Risk Policy — Version 3.2 (Effective: 2025-11-01)</w:t>
      </w:r>
    </w:p>
    <w:p/>
    <w:p>
      <w:r>
        <w:t>1. Forecasting Window Requirement</w:t>
      </w:r>
    </w:p>
    <w:p>
      <w:r>
        <w:t>Risk forecasts must be computed using a 12-quarter rolling historical default rate for the relevant portfolio (unless explicitly waived by the CRO in writing).</w:t>
      </w:r>
    </w:p>
    <w:p/>
    <w:p>
      <w:r>
        <w:t>2. Macro Overlay Trigger</w:t>
      </w:r>
    </w:p>
    <w:p>
      <w:r>
        <w:t>If forecasted GDP growth for the as-of quarter is below 1.5%, apply a macro overlay multiplier of 1.15 to the base default forecast.</w:t>
      </w:r>
    </w:p>
    <w:p/>
    <w:p>
      <w:r>
        <w:t>3. Capital Ratio Requirement</w:t>
      </w:r>
    </w:p>
    <w:p>
      <w:r>
        <w:t>Post-forecast CET1 ratio must not fall below 12.0% in the base case, and must be evaluated under the stress scenario.</w:t>
      </w:r>
    </w:p>
    <w:p/>
    <w:p>
      <w:r>
        <w:t>4. Escalation Threshold</w:t>
      </w:r>
    </w:p>
    <w:p>
      <w:r>
        <w:t>If projected 12-month default rate exceeds 6.0% (after macro overlay), escalation to the Risk Committee is required.</w:t>
      </w:r>
    </w:p>
    <w:p/>
    <w:p>
      <w:r>
        <w:t>5. Stress Scenario Specification</w:t>
      </w:r>
    </w:p>
    <w:p>
      <w:r>
        <w:t>Stress case must apply a PD multiplier of 1.15 (i.e., +15%) and recompute post-forecast CET1 under stress.</w:t>
      </w:r>
    </w:p>
    <w:p/>
    <w:p>
      <w:r>
        <w:t>6. Approved Discount Rate (Risk-adjusted NPV)</w:t>
      </w:r>
    </w:p>
    <w:p>
      <w:r>
        <w:t>Approved discount rate for risk-adjusted NPV calculations is 8.5% unless otherwise specified by Finance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