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Loss Forecasting Model — Methodology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CR-METH-2024-001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 (DRAFT)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Alice Chen</w:t>
            </w:r>
          </w:p>
        </w:tc>
      </w:tr>
      <w:tr>
        <w:tc>
          <w:tcPr>
            <w:tcW w:type="dxa" w:w="4320"/>
          </w:tcPr>
          <w:p>
            <w:r>
              <w:t>Last Review</w:t>
            </w:r>
          </w:p>
        </w:tc>
        <w:tc>
          <w:tcPr>
            <w:tcW w:type="dxa" w:w="4320"/>
          </w:tcPr>
          <w:p>
            <w:r>
              <w:t>July 2024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INCOMPLETE — Sections 4 and 5 require documentation</w:t>
            </w:r>
          </w:p>
        </w:tc>
      </w:tr>
    </w:tbl>
    <w:p/>
    <w:p>
      <w:pPr>
        <w:pStyle w:val="Heading1"/>
      </w:pPr>
      <w:r>
        <w:t>1. Overview</w:t>
      </w:r>
    </w:p>
    <w:p>
      <w:r>
        <w:t>This document describes the methodology for the quarterly credit loss forecasting model (loss_forecast_model.py). The model generates baseline loss rate projections which are then subject to analyst judgment overlays.</w:t>
      </w:r>
    </w:p>
    <w:p>
      <w:r>
        <w:t>Source data is maintained in portfolio_risk.db. Final forecasts are published in Q3_2024_forecast.xlsx. Reference SQL queries are in risk_queries.sql.</w:t>
      </w:r>
    </w:p>
    <w:p>
      <w:pPr>
        <w:pStyle w:val="Heading1"/>
      </w:pPr>
      <w:r>
        <w:t>2. Baseline Calculation</w:t>
      </w:r>
    </w:p>
    <w:p>
      <w:r>
        <w:t>The baseline loss rate is computed as a rolling average of historical default rates from the historical_defaults table in portfolio_risk.db.</w:t>
      </w:r>
    </w:p>
    <w:p>
      <w:r>
        <w:rPr>
          <w:b/>
        </w:rPr>
        <w:t>Per policy CR-POL-2024-003, the rolling window shall be 12 quarters.</w:t>
      </w:r>
    </w:p>
    <w:p>
      <w:r>
        <w:t>See risk_queries.sql for the reference implementation (Query A).</w:t>
      </w:r>
    </w:p>
    <w:p>
      <w:r>
        <w:t>NOTE: An alternative 4-quarter window calculation exists in the codebase (risk_queries.sql Query B, loss_forecast_model.py). This was used historically for preliminary estimates. The 12-quarter window is the policy-compliant method and should be used for all official forecasts.</w:t>
      </w:r>
    </w:p>
    <w:p>
      <w:pPr>
        <w:pStyle w:val="Heading1"/>
      </w:pPr>
      <w:r>
        <w:t>3. Macroeconomic Adjustments</w:t>
      </w:r>
    </w:p>
    <w:p>
      <w:r>
        <w:t>The model incorporates macroeconomic indicators to adjust forecasts when conditions deviate from baseline assumptions.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Update Frequency</w:t>
            </w:r>
          </w:p>
        </w:tc>
      </w:tr>
      <w:tr>
        <w:tc>
          <w:tcPr>
            <w:tcW w:type="dxa" w:w="2880"/>
          </w:tcPr>
          <w:p>
            <w:r>
              <w:t>GDP growth rate</w:t>
            </w:r>
          </w:p>
        </w:tc>
        <w:tc>
          <w:tcPr>
            <w:tcW w:type="dxa" w:w="2880"/>
          </w:tcPr>
          <w:p>
            <w:r>
              <w:t>BEA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Unemployment rate</w:t>
            </w:r>
          </w:p>
        </w:tc>
        <w:tc>
          <w:tcPr>
            <w:tcW w:type="dxa" w:w="2880"/>
          </w:tcPr>
          <w:p>
            <w:r>
              <w:t>BLS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Federal funds rate</w:t>
            </w:r>
          </w:p>
        </w:tc>
        <w:tc>
          <w:tcPr>
            <w:tcW w:type="dxa" w:w="2880"/>
          </w:tcPr>
          <w:p>
            <w:r>
              <w:t>Federal Reserve</w:t>
            </w:r>
          </w:p>
        </w:tc>
        <w:tc>
          <w:tcPr>
            <w:tcW w:type="dxa" w:w="2880"/>
          </w:tcPr>
          <w:p>
            <w:r>
              <w:t>As announced</w:t>
            </w:r>
          </w:p>
        </w:tc>
      </w:tr>
      <w:tr>
        <w:tc>
          <w:tcPr>
            <w:tcW w:type="dxa" w:w="2880"/>
          </w:tcPr>
          <w:p>
            <w:r>
              <w:t>Consumer sentiment</w:t>
            </w:r>
          </w:p>
        </w:tc>
        <w:tc>
          <w:tcPr>
            <w:tcW w:type="dxa" w:w="2880"/>
          </w:tcPr>
          <w:p>
            <w:r>
              <w:t>U. of Michigan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</w:tbl>
    <w:p>
      <w:pPr>
        <w:pStyle w:val="Heading1"/>
      </w:pPr>
      <w:r>
        <w:t>4. Overlay Decision Framework</w:t>
      </w:r>
    </w:p>
    <w:p>
      <w:r>
        <w:rPr>
          <w:b/>
        </w:rPr>
        <w:t>[SECTION INCOMPLETE]</w:t>
      </w:r>
    </w:p>
    <w:p>
      <w:r>
        <w:t>Manual overlays are applied when model output diverges from observed market conditions. For the complete overlay decision criteria, including trigger thresholds, sizing methodology, and removal criteria, see Alice Chen.</w:t>
      </w:r>
    </w:p>
    <w:p>
      <w:r>
        <w:t>General guidance:</w:t>
      </w:r>
    </w:p>
    <w:p>
      <w:pPr>
        <w:pStyle w:val="ListBullet"/>
      </w:pPr>
      <w:r>
        <w:t>Overlays should be supported by quantitative evidence</w:t>
      </w:r>
    </w:p>
    <w:p>
      <w:pPr>
        <w:pStyle w:val="ListBullet"/>
      </w:pPr>
      <w:r>
        <w:t>Maximum overlay per segment: see SEGMENT_LOSS_THRESHOLDS in loss_forecast_model.py</w:t>
      </w:r>
    </w:p>
    <w:p>
      <w:pPr>
        <w:pStyle w:val="ListBullet"/>
      </w:pPr>
      <w:r>
        <w:t>Overlay documentation is required per escalation policy</w:t>
      </w:r>
    </w:p>
    <w:p>
      <w:r>
        <w:t>Detailed criteria for when to apply overlays, how to size them, and when to remove them are maintained by the primary risk analyst and have not been formally documented.</w:t>
      </w:r>
    </w:p>
    <w:p>
      <w:pPr>
        <w:pStyle w:val="Heading1"/>
      </w:pPr>
      <w:r>
        <w:t>5. Escalation Thresholds</w:t>
      </w:r>
    </w:p>
    <w:p>
      <w:r>
        <w:rPr>
          <w:b/>
        </w:rPr>
        <w:t>[SECTION INCOMPLETE]</w:t>
      </w:r>
    </w:p>
    <w:p>
      <w:r>
        <w:t>Threshold configuration is in loss_forecast_model.py. Current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Dollar Impact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</w:tr>
      <w:tr>
        <w:tc>
          <w:tcPr>
            <w:tcW w:type="dxa" w:w="2880"/>
          </w:tcPr>
          <w:p>
            <w:r>
              <w:t>Routine</w:t>
            </w:r>
          </w:p>
        </w:tc>
        <w:tc>
          <w:tcPr>
            <w:tcW w:type="dxa" w:w="2880"/>
          </w:tcPr>
          <w:p>
            <w:r>
              <w:t>&lt; $2M</w:t>
            </w:r>
          </w:p>
        </w:tc>
        <w:tc>
          <w:tcPr>
            <w:tcW w:type="dxa" w:w="2880"/>
          </w:tcPr>
          <w:p>
            <w:r>
              <w:t>Analyst sign-off</w:t>
            </w:r>
          </w:p>
        </w:tc>
      </w:tr>
      <w:tr>
        <w:tc>
          <w:tcPr>
            <w:tcW w:type="dxa" w:w="2880"/>
          </w:tcPr>
          <w:p>
            <w:r>
              <w:t>Significant</w:t>
            </w:r>
          </w:p>
        </w:tc>
        <w:tc>
          <w:tcPr>
            <w:tcW w:type="dxa" w:w="2880"/>
          </w:tcPr>
          <w:p>
            <w:r>
              <w:t>$2M – $5M</w:t>
            </w:r>
          </w:p>
        </w:tc>
        <w:tc>
          <w:tcPr>
            <w:tcW w:type="dxa" w:w="2880"/>
          </w:tcPr>
          <w:p>
            <w:r>
              <w:t>Risk Committee</w:t>
            </w:r>
          </w:p>
        </w:tc>
      </w:tr>
      <w:tr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&gt; $5M</w:t>
            </w:r>
          </w:p>
        </w:tc>
        <w:tc>
          <w:tcPr>
            <w:tcW w:type="dxa" w:w="2880"/>
          </w:tcPr>
          <w:p>
            <w:r>
              <w:t>CFO approval</w:t>
            </w:r>
          </w:p>
        </w:tc>
      </w:tr>
      <w:tr>
        <w:tc>
          <w:tcPr>
            <w:tcW w:type="dxa" w:w="2880"/>
          </w:tcPr>
          <w:p>
            <w:r>
              <w:t>Board notification</w:t>
            </w:r>
          </w:p>
        </w:tc>
        <w:tc>
          <w:tcPr>
            <w:tcW w:type="dxa" w:w="2880"/>
          </w:tcPr>
          <w:p>
            <w:r>
              <w:t>See Alice Chen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r>
        <w:t>Note: Segment-level loss rate thresholds that trigger escalation review are maintained dynamically by Alice Chen and are not currently hardcoded in the system.</w:t>
      </w:r>
    </w:p>
    <w:p>
      <w:pPr>
        <w:pStyle w:val="Heading1"/>
      </w:pPr>
      <w:r>
        <w:t>6. Stress Testing</w:t>
      </w:r>
    </w:p>
    <w:p>
      <w:r>
        <w:t>Stress scenarios are run using stress_testing.ipynb. The notebook applies macro stress shocks to the baseline forecast and generates scenario-specific projections for Risk Committee review.</w:t>
      </w:r>
    </w:p>
    <w:p>
      <w:pPr>
        <w:pStyle w:val="Heading1"/>
      </w:pPr>
      <w:r>
        <w:t>7.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2023-06-01</w:t>
            </w:r>
          </w:p>
        </w:tc>
        <w:tc>
          <w:tcPr>
            <w:tcW w:type="dxa" w:w="2880"/>
          </w:tcPr>
          <w:p>
            <w:r>
              <w:t>Initial draft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2023-12-15</w:t>
            </w:r>
          </w:p>
        </w:tc>
        <w:tc>
          <w:tcPr>
            <w:tcW w:type="dxa" w:w="2880"/>
          </w:tcPr>
          <w:p>
            <w:r>
              <w:t>Added macro adjustment section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2024-03-01</w:t>
            </w:r>
          </w:p>
        </w:tc>
        <w:tc>
          <w:tcPr>
            <w:tcW w:type="dxa" w:w="2880"/>
          </w:tcPr>
          <w:p>
            <w:r>
              <w:t>Updated escalation thresholds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2024-07-15</w:t>
            </w:r>
          </w:p>
        </w:tc>
        <w:tc>
          <w:tcPr>
            <w:tcW w:type="dxa" w:w="2880"/>
          </w:tcPr>
          <w:p>
            <w:r>
              <w:t>Marked Sections 4 &amp; 5 incomplete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