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5662" w14:textId="37AD8301" w:rsidR="007F07AE" w:rsidRPr="00A5784C" w:rsidRDefault="00ED451E" w:rsidP="00A5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85"/>
        </w:tabs>
        <w:rPr>
          <w:b/>
          <w:sz w:val="36"/>
          <w:szCs w:val="32"/>
          <w:highlight w:val="yellow"/>
        </w:rPr>
      </w:pPr>
      <w:bookmarkStart w:id="0" w:name="_Hlk74232614"/>
      <w:r>
        <w:rPr>
          <w:noProof/>
        </w:rPr>
        <w:drawing>
          <wp:anchor distT="0" distB="0" distL="114300" distR="114300" simplePos="0" relativeHeight="251659264" behindDoc="0" locked="0" layoutInCell="1" allowOverlap="1" wp14:anchorId="0DF5C07E" wp14:editId="4F2FEB5B">
            <wp:simplePos x="0" y="0"/>
            <wp:positionH relativeFrom="page">
              <wp:align>right</wp:align>
            </wp:positionH>
            <wp:positionV relativeFrom="paragraph">
              <wp:posOffset>-630555</wp:posOffset>
            </wp:positionV>
            <wp:extent cx="2060223" cy="714375"/>
            <wp:effectExtent l="0" t="0" r="0" b="0"/>
            <wp:wrapNone/>
            <wp:docPr id="5" name="Picture 5" descr="Floor &amp;amp; Decor Fairfield Opening Ju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or &amp;amp; Decor Fairfield Opening Jun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23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28">
        <w:rPr>
          <w:b/>
          <w:sz w:val="36"/>
          <w:szCs w:val="32"/>
        </w:rPr>
        <w:t xml:space="preserve">Floor &amp; Décor </w:t>
      </w:r>
      <w:r w:rsidR="004D749B">
        <w:rPr>
          <w:b/>
          <w:sz w:val="36"/>
          <w:szCs w:val="32"/>
        </w:rPr>
        <w:t xml:space="preserve">              </w:t>
      </w:r>
      <w:r w:rsidR="00E4613F" w:rsidRPr="00A5784C">
        <w:rPr>
          <w:b/>
          <w:sz w:val="36"/>
          <w:szCs w:val="32"/>
        </w:rPr>
        <w:tab/>
      </w:r>
      <w:r w:rsidR="00E4613F" w:rsidRPr="00A5784C">
        <w:rPr>
          <w:b/>
          <w:sz w:val="36"/>
          <w:szCs w:val="32"/>
        </w:rPr>
        <w:tab/>
      </w:r>
      <w:r w:rsidR="00E4613F" w:rsidRPr="00A5784C">
        <w:rPr>
          <w:b/>
          <w:sz w:val="36"/>
          <w:szCs w:val="32"/>
        </w:rPr>
        <w:tab/>
      </w:r>
      <w:r w:rsidR="00E4613F" w:rsidRPr="00A5784C">
        <w:rPr>
          <w:b/>
          <w:sz w:val="36"/>
          <w:szCs w:val="32"/>
        </w:rPr>
        <w:tab/>
      </w:r>
      <w:r w:rsidR="00E4613F" w:rsidRPr="00A5784C">
        <w:rPr>
          <w:b/>
          <w:sz w:val="36"/>
          <w:szCs w:val="32"/>
        </w:rPr>
        <w:tab/>
      </w:r>
      <w:r w:rsidR="00E4613F" w:rsidRPr="00A5784C">
        <w:rPr>
          <w:b/>
          <w:sz w:val="36"/>
          <w:szCs w:val="32"/>
        </w:rPr>
        <w:tab/>
      </w:r>
      <w:r w:rsidR="00A5784C">
        <w:rPr>
          <w:b/>
          <w:sz w:val="36"/>
          <w:szCs w:val="32"/>
        </w:rPr>
        <w:tab/>
      </w:r>
    </w:p>
    <w:p w14:paraId="5B68BE26" w14:textId="5DC36DB3" w:rsidR="007F07AE" w:rsidRDefault="004D749B" w:rsidP="00162D26">
      <w:pPr>
        <w:rPr>
          <w:szCs w:val="20"/>
        </w:rPr>
      </w:pPr>
      <w:r>
        <w:rPr>
          <w:szCs w:val="20"/>
        </w:rPr>
        <w:t>NYSE</w:t>
      </w:r>
      <w:r w:rsidR="00976EAE" w:rsidRPr="00A84026">
        <w:rPr>
          <w:szCs w:val="20"/>
        </w:rPr>
        <w:t>:</w:t>
      </w:r>
      <w:r w:rsidR="00976EAE">
        <w:rPr>
          <w:szCs w:val="20"/>
        </w:rPr>
        <w:t xml:space="preserve"> </w:t>
      </w:r>
      <w:r w:rsidR="00347828">
        <w:rPr>
          <w:szCs w:val="20"/>
        </w:rPr>
        <w:t>FND</w:t>
      </w:r>
    </w:p>
    <w:p w14:paraId="73146C07" w14:textId="71814645" w:rsidR="00B34692" w:rsidRDefault="00B34692" w:rsidP="00162D26">
      <w:pPr>
        <w:rPr>
          <w:szCs w:val="20"/>
        </w:rPr>
      </w:pPr>
    </w:p>
    <w:p w14:paraId="0771BD7B" w14:textId="2AB1C600" w:rsidR="00B34692" w:rsidRPr="00930690" w:rsidRDefault="00347828" w:rsidP="00162D26">
      <w:pPr>
        <w:rPr>
          <w:sz w:val="23"/>
          <w:szCs w:val="23"/>
        </w:rPr>
      </w:pPr>
      <w:r>
        <w:rPr>
          <w:sz w:val="23"/>
          <w:szCs w:val="23"/>
        </w:rPr>
        <w:t>BUY</w:t>
      </w:r>
      <w:r w:rsidR="00930690" w:rsidRPr="00A4708F">
        <w:rPr>
          <w:sz w:val="23"/>
          <w:szCs w:val="23"/>
        </w:rPr>
        <w:t xml:space="preserve"> </w:t>
      </w:r>
      <w:r w:rsidR="002D455F" w:rsidRPr="00A4708F">
        <w:rPr>
          <w:sz w:val="23"/>
          <w:szCs w:val="23"/>
        </w:rPr>
        <w:t>–</w:t>
      </w:r>
      <w:r w:rsidR="00930690" w:rsidRPr="00A4708F">
        <w:rPr>
          <w:sz w:val="23"/>
          <w:szCs w:val="23"/>
        </w:rPr>
        <w:t xml:space="preserve"> </w:t>
      </w:r>
      <w:r w:rsidR="002D455F" w:rsidRPr="00A4708F">
        <w:rPr>
          <w:sz w:val="23"/>
          <w:szCs w:val="23"/>
        </w:rPr>
        <w:t>Target price: $</w:t>
      </w:r>
      <w:r w:rsidR="00FE0E0E">
        <w:rPr>
          <w:sz w:val="23"/>
          <w:szCs w:val="23"/>
        </w:rPr>
        <w:t>103.95</w:t>
      </w:r>
      <w:r w:rsidR="002D455F" w:rsidRPr="00A4708F">
        <w:rPr>
          <w:sz w:val="23"/>
          <w:szCs w:val="23"/>
        </w:rPr>
        <w:t xml:space="preserve"> –</w:t>
      </w:r>
      <w:r w:rsidR="00E4613F">
        <w:rPr>
          <w:sz w:val="23"/>
          <w:szCs w:val="23"/>
        </w:rPr>
        <w:t xml:space="preserve"> Upside: </w:t>
      </w:r>
      <w:r w:rsidR="00FE0E0E">
        <w:rPr>
          <w:sz w:val="23"/>
          <w:szCs w:val="23"/>
        </w:rPr>
        <w:t>27.2</w:t>
      </w:r>
      <w:r w:rsidR="00E4613F">
        <w:rPr>
          <w:sz w:val="23"/>
          <w:szCs w:val="23"/>
        </w:rPr>
        <w:t>%</w:t>
      </w:r>
    </w:p>
    <w:p w14:paraId="5C539BC2" w14:textId="72FB661E" w:rsidR="006F555A" w:rsidRDefault="006F555A" w:rsidP="00162D26">
      <w:pPr>
        <w:rPr>
          <w:sz w:val="20"/>
          <w:szCs w:val="20"/>
        </w:rPr>
      </w:pPr>
    </w:p>
    <w:p w14:paraId="0E8B4728" w14:textId="5F9EF2D3" w:rsidR="00392905" w:rsidRDefault="00347828" w:rsidP="00162D26">
      <w:pPr>
        <w:rPr>
          <w:sz w:val="20"/>
          <w:szCs w:val="20"/>
        </w:rPr>
      </w:pPr>
      <w:r>
        <w:rPr>
          <w:sz w:val="20"/>
          <w:szCs w:val="20"/>
        </w:rPr>
        <w:t>April 2022</w:t>
      </w:r>
    </w:p>
    <w:tbl>
      <w:tblPr>
        <w:tblStyle w:val="TableGrid"/>
        <w:tblpPr w:leftFromText="180" w:rightFromText="180" w:vertAnchor="page" w:horzAnchor="margin" w:tblpXSpec="right" w:tblpY="17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36"/>
        <w:gridCol w:w="473"/>
        <w:gridCol w:w="388"/>
        <w:gridCol w:w="602"/>
        <w:gridCol w:w="258"/>
        <w:gridCol w:w="861"/>
        <w:gridCol w:w="861"/>
      </w:tblGrid>
      <w:tr w:rsidR="00E4613F" w:rsidRPr="00997D63" w14:paraId="22B670BC" w14:textId="77777777" w:rsidTr="001B2530">
        <w:trPr>
          <w:trHeight w:val="289"/>
        </w:trPr>
        <w:tc>
          <w:tcPr>
            <w:tcW w:w="2610" w:type="dxa"/>
            <w:gridSpan w:val="3"/>
            <w:tcBorders>
              <w:top w:val="single" w:sz="4" w:space="0" w:color="auto"/>
            </w:tcBorders>
            <w:vAlign w:val="center"/>
          </w:tcPr>
          <w:bookmarkEnd w:id="0"/>
          <w:p w14:paraId="714D1FC1" w14:textId="4D42A6EB" w:rsidR="00E4613F" w:rsidRDefault="00E4613F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Price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  <w:vAlign w:val="center"/>
          </w:tcPr>
          <w:p w14:paraId="36C810E5" w14:textId="2DB765E1" w:rsidR="00E4613F" w:rsidRPr="007177E7" w:rsidRDefault="00E4613F" w:rsidP="00D942AA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14:paraId="343CFCAE" w14:textId="400ECD0C" w:rsidR="00E4613F" w:rsidRPr="004D749B" w:rsidRDefault="00E4613F" w:rsidP="000D419F">
            <w:pPr>
              <w:jc w:val="right"/>
              <w:rPr>
                <w:sz w:val="18"/>
                <w:szCs w:val="18"/>
                <w:highlight w:val="yellow"/>
              </w:rPr>
            </w:pPr>
            <w:r w:rsidRPr="000A7799">
              <w:rPr>
                <w:sz w:val="18"/>
                <w:szCs w:val="18"/>
              </w:rPr>
              <w:t>$</w:t>
            </w:r>
            <w:r w:rsidR="00FE0E0E" w:rsidRPr="000A7799">
              <w:rPr>
                <w:sz w:val="18"/>
                <w:szCs w:val="18"/>
              </w:rPr>
              <w:t>81.73</w:t>
            </w:r>
          </w:p>
        </w:tc>
      </w:tr>
      <w:tr w:rsidR="00C1402B" w:rsidRPr="00997D63" w14:paraId="6343EBB5" w14:textId="77777777" w:rsidTr="001B2530">
        <w:trPr>
          <w:trHeight w:val="289"/>
        </w:trPr>
        <w:tc>
          <w:tcPr>
            <w:tcW w:w="2610" w:type="dxa"/>
            <w:gridSpan w:val="3"/>
            <w:vAlign w:val="center"/>
          </w:tcPr>
          <w:p w14:paraId="31035D03" w14:textId="43F798E2" w:rsidR="00C1402B" w:rsidRDefault="00C1402B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52w High/Low</w:t>
            </w:r>
          </w:p>
        </w:tc>
        <w:tc>
          <w:tcPr>
            <w:tcW w:w="990" w:type="dxa"/>
            <w:gridSpan w:val="2"/>
            <w:vAlign w:val="center"/>
          </w:tcPr>
          <w:p w14:paraId="6913F87B" w14:textId="1D35F88E" w:rsidR="00C1402B" w:rsidRPr="007177E7" w:rsidRDefault="00C1402B" w:rsidP="00D942AA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3E306FF5" w14:textId="7379F815" w:rsidR="00C1402B" w:rsidRPr="00AA68E0" w:rsidRDefault="00C1402B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$</w:t>
            </w:r>
            <w:r w:rsidR="00283CF5" w:rsidRPr="00AA68E0">
              <w:rPr>
                <w:sz w:val="18"/>
                <w:szCs w:val="18"/>
              </w:rPr>
              <w:t>145.89</w:t>
            </w:r>
            <w:r w:rsidRPr="00AA68E0">
              <w:rPr>
                <w:sz w:val="18"/>
                <w:szCs w:val="18"/>
              </w:rPr>
              <w:t>/$</w:t>
            </w:r>
            <w:r w:rsidR="008E7F9C">
              <w:rPr>
                <w:sz w:val="18"/>
                <w:szCs w:val="18"/>
              </w:rPr>
              <w:t>79.38</w:t>
            </w:r>
          </w:p>
        </w:tc>
      </w:tr>
      <w:tr w:rsidR="00B34692" w:rsidRPr="00997D63" w14:paraId="1267ED2A" w14:textId="77777777" w:rsidTr="001B2530">
        <w:trPr>
          <w:trHeight w:val="289"/>
        </w:trPr>
        <w:tc>
          <w:tcPr>
            <w:tcW w:w="2610" w:type="dxa"/>
            <w:gridSpan w:val="3"/>
            <w:vAlign w:val="center"/>
          </w:tcPr>
          <w:p w14:paraId="250265F4" w14:textId="67DC4E12" w:rsidR="00B34692" w:rsidRPr="007177E7" w:rsidRDefault="00B34692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 Cap (M</w:t>
            </w:r>
            <w:r w:rsidRPr="007177E7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680E0F57" w14:textId="538EE2C5" w:rsidR="00B34692" w:rsidRPr="007177E7" w:rsidRDefault="00B34692" w:rsidP="00D942AA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E6F644E" w14:textId="61E587AE" w:rsidR="00B34692" w:rsidRPr="00AA68E0" w:rsidRDefault="00D942AA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$</w:t>
            </w:r>
            <w:r w:rsidR="003842C3" w:rsidRPr="00AA68E0">
              <w:rPr>
                <w:sz w:val="18"/>
                <w:szCs w:val="18"/>
              </w:rPr>
              <w:t>9</w:t>
            </w:r>
            <w:r w:rsidR="0024771E" w:rsidRPr="00AA68E0">
              <w:rPr>
                <w:sz w:val="18"/>
                <w:szCs w:val="18"/>
              </w:rPr>
              <w:t>,</w:t>
            </w:r>
            <w:r w:rsidR="003842C3" w:rsidRPr="00AA68E0">
              <w:rPr>
                <w:sz w:val="18"/>
                <w:szCs w:val="18"/>
              </w:rPr>
              <w:t>380.4</w:t>
            </w:r>
          </w:p>
        </w:tc>
      </w:tr>
      <w:tr w:rsidR="00B34692" w:rsidRPr="00997D63" w14:paraId="36995E70" w14:textId="77777777" w:rsidTr="001B2530">
        <w:trPr>
          <w:trHeight w:val="288"/>
        </w:trPr>
        <w:tc>
          <w:tcPr>
            <w:tcW w:w="2610" w:type="dxa"/>
            <w:gridSpan w:val="3"/>
            <w:vAlign w:val="center"/>
          </w:tcPr>
          <w:p w14:paraId="38021C3B" w14:textId="4FE1E58B" w:rsidR="00B34692" w:rsidRPr="007177E7" w:rsidRDefault="00B34692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Enterprise Value (M</w:t>
            </w:r>
            <w:r w:rsidRPr="007177E7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4401D136" w14:textId="4EE73EBC" w:rsidR="00B34692" w:rsidRDefault="00B34692" w:rsidP="00B34692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14C3CCED" w14:textId="7BEDA168" w:rsidR="00B34692" w:rsidRPr="00AA68E0" w:rsidRDefault="00D942AA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$</w:t>
            </w:r>
            <w:r w:rsidR="00CE4B39" w:rsidRPr="00AA68E0">
              <w:rPr>
                <w:sz w:val="18"/>
                <w:szCs w:val="18"/>
              </w:rPr>
              <w:t>10,666</w:t>
            </w:r>
          </w:p>
        </w:tc>
      </w:tr>
      <w:tr w:rsidR="00B34692" w:rsidRPr="00997D63" w14:paraId="291BAB37" w14:textId="77777777" w:rsidTr="001B2530">
        <w:trPr>
          <w:trHeight w:val="288"/>
        </w:trPr>
        <w:tc>
          <w:tcPr>
            <w:tcW w:w="2610" w:type="dxa"/>
            <w:gridSpan w:val="3"/>
            <w:vAlign w:val="center"/>
          </w:tcPr>
          <w:p w14:paraId="34C8CD53" w14:textId="6EE173BE" w:rsidR="00B34692" w:rsidRPr="007177E7" w:rsidRDefault="00B34692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 (M</w:t>
            </w:r>
            <w:r w:rsidRPr="007177E7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1679AC71" w14:textId="185E998D" w:rsidR="00B34692" w:rsidRDefault="00B34692" w:rsidP="00B3469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54D922DF" w14:textId="361A4AD2" w:rsidR="00B34692" w:rsidRPr="00AA68E0" w:rsidRDefault="00D942AA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$</w:t>
            </w:r>
            <w:r w:rsidR="00CE4B39" w:rsidRPr="00AA68E0">
              <w:rPr>
                <w:sz w:val="18"/>
                <w:szCs w:val="18"/>
              </w:rPr>
              <w:t>139.4</w:t>
            </w:r>
          </w:p>
        </w:tc>
      </w:tr>
      <w:tr w:rsidR="00B34692" w:rsidRPr="00997D63" w14:paraId="4AB5848F" w14:textId="77777777" w:rsidTr="001B2530">
        <w:trPr>
          <w:trHeight w:val="288"/>
        </w:trPr>
        <w:tc>
          <w:tcPr>
            <w:tcW w:w="2610" w:type="dxa"/>
            <w:gridSpan w:val="3"/>
            <w:vAlign w:val="center"/>
          </w:tcPr>
          <w:p w14:paraId="25842D88" w14:textId="75D466F7" w:rsidR="00B34692" w:rsidRPr="007177E7" w:rsidRDefault="00B34692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Debt (M</w:t>
            </w:r>
            <w:r w:rsidRPr="007177E7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5AD377FF" w14:textId="0035753E" w:rsidR="00B34692" w:rsidRDefault="00B34692" w:rsidP="00B3469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DAF5750" w14:textId="26636AE7" w:rsidR="00B34692" w:rsidRPr="00AA68E0" w:rsidRDefault="00D942AA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$</w:t>
            </w:r>
            <w:r w:rsidR="00364A4F" w:rsidRPr="00AA68E0">
              <w:rPr>
                <w:sz w:val="18"/>
                <w:szCs w:val="18"/>
              </w:rPr>
              <w:t>1,423.5</w:t>
            </w:r>
          </w:p>
        </w:tc>
      </w:tr>
      <w:tr w:rsidR="00B34692" w:rsidRPr="00997D63" w14:paraId="6A1BB82A" w14:textId="77777777" w:rsidTr="001B2530">
        <w:trPr>
          <w:trHeight w:val="288"/>
        </w:trPr>
        <w:tc>
          <w:tcPr>
            <w:tcW w:w="2610" w:type="dxa"/>
            <w:gridSpan w:val="3"/>
            <w:vAlign w:val="center"/>
          </w:tcPr>
          <w:p w14:paraId="30AB3C64" w14:textId="2D82E3A2" w:rsidR="00B34692" w:rsidRPr="007177E7" w:rsidRDefault="00B34692" w:rsidP="000D4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Shares Out. (M</w:t>
            </w:r>
            <w:r w:rsidRPr="007177E7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34388505" w14:textId="1DDF75C9" w:rsidR="00B34692" w:rsidRDefault="00B34692" w:rsidP="00B3469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753EF99" w14:textId="376B8A6E" w:rsidR="00B34692" w:rsidRPr="00AA68E0" w:rsidRDefault="00AA68E0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105.8</w:t>
            </w:r>
          </w:p>
        </w:tc>
      </w:tr>
      <w:tr w:rsidR="00B34692" w:rsidRPr="00997D63" w14:paraId="46ECD25C" w14:textId="77777777" w:rsidTr="001B2530">
        <w:trPr>
          <w:trHeight w:val="288"/>
        </w:trPr>
        <w:tc>
          <w:tcPr>
            <w:tcW w:w="2610" w:type="dxa"/>
            <w:gridSpan w:val="3"/>
            <w:vAlign w:val="center"/>
          </w:tcPr>
          <w:p w14:paraId="44751F90" w14:textId="643A857D" w:rsidR="00B34692" w:rsidRPr="007177E7" w:rsidRDefault="00B34692" w:rsidP="000D419F">
            <w:pPr>
              <w:rPr>
                <w:sz w:val="18"/>
                <w:szCs w:val="18"/>
              </w:rPr>
            </w:pPr>
            <w:r w:rsidRPr="007177E7">
              <w:rPr>
                <w:sz w:val="18"/>
                <w:szCs w:val="18"/>
              </w:rPr>
              <w:t>Yield (%)</w:t>
            </w:r>
          </w:p>
        </w:tc>
        <w:tc>
          <w:tcPr>
            <w:tcW w:w="990" w:type="dxa"/>
            <w:gridSpan w:val="2"/>
            <w:vAlign w:val="center"/>
          </w:tcPr>
          <w:p w14:paraId="5C48BE43" w14:textId="103D71B6" w:rsidR="00B34692" w:rsidRDefault="00B34692" w:rsidP="00B3469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DB80035" w14:textId="2F69496C" w:rsidR="00B34692" w:rsidRPr="00AA68E0" w:rsidRDefault="00F920E8" w:rsidP="000D419F">
            <w:pPr>
              <w:jc w:val="right"/>
              <w:rPr>
                <w:sz w:val="18"/>
                <w:szCs w:val="18"/>
              </w:rPr>
            </w:pPr>
            <w:r w:rsidRPr="00AA68E0">
              <w:rPr>
                <w:sz w:val="18"/>
                <w:szCs w:val="18"/>
              </w:rPr>
              <w:t>0</w:t>
            </w:r>
            <w:r w:rsidR="00E4613F" w:rsidRPr="00AA68E0">
              <w:rPr>
                <w:sz w:val="18"/>
                <w:szCs w:val="18"/>
              </w:rPr>
              <w:t>%</w:t>
            </w:r>
          </w:p>
        </w:tc>
      </w:tr>
      <w:tr w:rsidR="00B34692" w:rsidRPr="00997D63" w14:paraId="12FCA3DD" w14:textId="77777777" w:rsidTr="00724FE3">
        <w:trPr>
          <w:trHeight w:val="2707"/>
        </w:trPr>
        <w:tc>
          <w:tcPr>
            <w:tcW w:w="55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B2CA6" w14:textId="65420098" w:rsidR="00B34692" w:rsidRPr="006754BB" w:rsidRDefault="00AE683A" w:rsidP="00B346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4E618" wp14:editId="545794A8">
                  <wp:extent cx="3451452" cy="1085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375" cy="108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692" w:rsidRPr="00997D63" w14:paraId="5436F39A" w14:textId="77777777" w:rsidTr="00912F1C">
        <w:trPr>
          <w:trHeight w:val="567"/>
        </w:trPr>
        <w:tc>
          <w:tcPr>
            <w:tcW w:w="5580" w:type="dxa"/>
            <w:gridSpan w:val="8"/>
            <w:tcBorders>
              <w:top w:val="single" w:sz="4" w:space="0" w:color="auto"/>
            </w:tcBorders>
            <w:vAlign w:val="center"/>
          </w:tcPr>
          <w:p w14:paraId="01271AAC" w14:textId="50830666" w:rsidR="00B34692" w:rsidRDefault="00B34692" w:rsidP="00B34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Financials</w:t>
            </w:r>
          </w:p>
        </w:tc>
      </w:tr>
      <w:tr w:rsidR="00B34692" w:rsidRPr="00997D63" w14:paraId="529D2125" w14:textId="77777777" w:rsidTr="00912F1C">
        <w:trPr>
          <w:trHeight w:val="289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B2C40D9" w14:textId="77777777" w:rsidR="00B34692" w:rsidRPr="00FB790C" w:rsidRDefault="00B34692" w:rsidP="00B34692">
            <w:pPr>
              <w:rPr>
                <w:b/>
                <w:sz w:val="16"/>
                <w:szCs w:val="16"/>
                <w:lang w:eastAsia="en-CA"/>
              </w:rPr>
            </w:pPr>
          </w:p>
        </w:tc>
        <w:tc>
          <w:tcPr>
            <w:tcW w:w="436" w:type="dxa"/>
            <w:shd w:val="clear" w:color="auto" w:fill="D9D9D9" w:themeFill="background1" w:themeFillShade="D9"/>
            <w:vAlign w:val="center"/>
          </w:tcPr>
          <w:p w14:paraId="4BC0AB55" w14:textId="3DD0AA4F" w:rsidR="00B34692" w:rsidRPr="00FB790C" w:rsidRDefault="00B34692" w:rsidP="00B34692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shd w:val="clear" w:color="auto" w:fill="D9D9D9" w:themeFill="background1" w:themeFillShade="D9"/>
            <w:vAlign w:val="center"/>
          </w:tcPr>
          <w:p w14:paraId="3979C84D" w14:textId="344A77BD" w:rsidR="00B34692" w:rsidRPr="00FB790C" w:rsidRDefault="00E4613F" w:rsidP="00B34692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  <w:r w:rsidR="00511E4C">
              <w:rPr>
                <w:b/>
                <w:bCs/>
                <w:sz w:val="16"/>
                <w:szCs w:val="16"/>
              </w:rPr>
              <w:t>2</w:t>
            </w:r>
            <w:r w:rsidR="00863A0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60" w:type="dxa"/>
            <w:gridSpan w:val="2"/>
            <w:shd w:val="clear" w:color="auto" w:fill="D9D9D9" w:themeFill="background1" w:themeFillShade="D9"/>
            <w:vAlign w:val="center"/>
          </w:tcPr>
          <w:p w14:paraId="10060572" w14:textId="412213DF" w:rsidR="00B34692" w:rsidRPr="00FB790C" w:rsidRDefault="00511E4C" w:rsidP="00B34692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202</w:t>
            </w:r>
            <w:r w:rsidR="00863A04">
              <w:rPr>
                <w:b/>
                <w:bCs/>
                <w:sz w:val="16"/>
                <w:szCs w:val="16"/>
              </w:rPr>
              <w:t>2E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14:paraId="520BA73A" w14:textId="1C28C1E5" w:rsidR="00B34692" w:rsidRPr="00FB790C" w:rsidRDefault="0093344B" w:rsidP="00B34692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202</w:t>
            </w:r>
            <w:r w:rsidR="00511E4C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14:paraId="241B3A7B" w14:textId="28D65D35" w:rsidR="00B34692" w:rsidRPr="00FB790C" w:rsidRDefault="0093344B" w:rsidP="00B3469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 w:rsidR="00511E4C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E</w:t>
            </w:r>
          </w:p>
        </w:tc>
      </w:tr>
      <w:tr w:rsidR="00B34692" w:rsidRPr="00997D63" w14:paraId="688CC7C7" w14:textId="77777777" w:rsidTr="00912F1C">
        <w:trPr>
          <w:trHeight w:val="289"/>
        </w:trPr>
        <w:tc>
          <w:tcPr>
            <w:tcW w:w="1701" w:type="dxa"/>
            <w:vAlign w:val="center"/>
          </w:tcPr>
          <w:p w14:paraId="710D6D84" w14:textId="538AD39A" w:rsidR="00B34692" w:rsidRPr="00FB790C" w:rsidRDefault="00B34692" w:rsidP="00B34692">
            <w:pPr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Revenue</w:t>
            </w:r>
            <w:r w:rsidR="00D172BC">
              <w:rPr>
                <w:bCs/>
                <w:color w:val="000000"/>
                <w:sz w:val="16"/>
                <w:szCs w:val="16"/>
              </w:rPr>
              <w:t xml:space="preserve"> ($</w:t>
            </w:r>
            <w:r w:rsidR="00D172BC" w:rsidRPr="00FB790C">
              <w:rPr>
                <w:bCs/>
                <w:color w:val="000000"/>
                <w:sz w:val="16"/>
                <w:szCs w:val="16"/>
              </w:rPr>
              <w:t>M)</w:t>
            </w:r>
          </w:p>
        </w:tc>
        <w:tc>
          <w:tcPr>
            <w:tcW w:w="436" w:type="dxa"/>
            <w:vAlign w:val="center"/>
          </w:tcPr>
          <w:p w14:paraId="2B2F626E" w14:textId="521E3E4A" w:rsidR="00B34692" w:rsidRPr="00D01AB3" w:rsidRDefault="00B34692" w:rsidP="002D455F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53DFEB01" w14:textId="580D6BE2" w:rsidR="00B34692" w:rsidRPr="00D01AB3" w:rsidRDefault="00AE6450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3,433.5</w:t>
            </w:r>
          </w:p>
        </w:tc>
        <w:tc>
          <w:tcPr>
            <w:tcW w:w="860" w:type="dxa"/>
            <w:gridSpan w:val="2"/>
            <w:vAlign w:val="center"/>
          </w:tcPr>
          <w:p w14:paraId="5047656C" w14:textId="7368DBB9" w:rsidR="00B34692" w:rsidRPr="00D01AB3" w:rsidRDefault="00AE6450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4,334.9</w:t>
            </w:r>
          </w:p>
        </w:tc>
        <w:tc>
          <w:tcPr>
            <w:tcW w:w="861" w:type="dxa"/>
            <w:vAlign w:val="center"/>
          </w:tcPr>
          <w:p w14:paraId="5E0AB4D4" w14:textId="02F7F12C" w:rsidR="00B34692" w:rsidRPr="00D01AB3" w:rsidRDefault="00AE6450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5227.7</w:t>
            </w:r>
          </w:p>
        </w:tc>
        <w:tc>
          <w:tcPr>
            <w:tcW w:w="861" w:type="dxa"/>
            <w:vAlign w:val="center"/>
          </w:tcPr>
          <w:p w14:paraId="5BC805A0" w14:textId="514772D3" w:rsidR="00B34692" w:rsidRPr="00D01AB3" w:rsidRDefault="00AE6450" w:rsidP="00B34692">
            <w:pPr>
              <w:jc w:val="right"/>
              <w:rPr>
                <w:sz w:val="16"/>
                <w:szCs w:val="16"/>
              </w:rPr>
            </w:pPr>
            <w:r w:rsidRPr="00D01AB3">
              <w:rPr>
                <w:sz w:val="16"/>
                <w:szCs w:val="16"/>
              </w:rPr>
              <w:t>6222.8</w:t>
            </w:r>
          </w:p>
        </w:tc>
      </w:tr>
      <w:tr w:rsidR="00B34692" w:rsidRPr="00997D63" w14:paraId="341F7EBA" w14:textId="77777777" w:rsidTr="00912F1C">
        <w:trPr>
          <w:trHeight w:val="289"/>
        </w:trPr>
        <w:tc>
          <w:tcPr>
            <w:tcW w:w="1701" w:type="dxa"/>
            <w:vAlign w:val="center"/>
          </w:tcPr>
          <w:p w14:paraId="7BD8F960" w14:textId="6FE973AD" w:rsidR="00B34692" w:rsidRPr="00FB790C" w:rsidRDefault="00E4613F" w:rsidP="00B34692">
            <w:pPr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EBITDA</w:t>
            </w:r>
            <w:r w:rsidR="00912F1C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930690">
              <w:rPr>
                <w:bCs/>
                <w:color w:val="000000"/>
                <w:sz w:val="16"/>
                <w:szCs w:val="16"/>
              </w:rPr>
              <w:t>(</w:t>
            </w:r>
            <w:r w:rsidR="00D172BC">
              <w:rPr>
                <w:bCs/>
                <w:color w:val="000000"/>
                <w:sz w:val="16"/>
                <w:szCs w:val="16"/>
              </w:rPr>
              <w:t>$</w:t>
            </w:r>
            <w:r w:rsidR="00930690" w:rsidRPr="00FB790C">
              <w:rPr>
                <w:bCs/>
                <w:color w:val="000000"/>
                <w:sz w:val="16"/>
                <w:szCs w:val="16"/>
              </w:rPr>
              <w:t>M)</w:t>
            </w:r>
          </w:p>
        </w:tc>
        <w:tc>
          <w:tcPr>
            <w:tcW w:w="436" w:type="dxa"/>
            <w:vAlign w:val="center"/>
          </w:tcPr>
          <w:p w14:paraId="4DE3E125" w14:textId="2B2E0233" w:rsidR="00B34692" w:rsidRPr="00D01AB3" w:rsidRDefault="00B34692" w:rsidP="00B3469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3A41194A" w14:textId="45B5C805" w:rsidR="00B34692" w:rsidRPr="00D01AB3" w:rsidRDefault="00AE6450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485.1</w:t>
            </w:r>
          </w:p>
        </w:tc>
        <w:tc>
          <w:tcPr>
            <w:tcW w:w="860" w:type="dxa"/>
            <w:gridSpan w:val="2"/>
            <w:vAlign w:val="center"/>
          </w:tcPr>
          <w:p w14:paraId="6E740558" w14:textId="0DC0927F" w:rsidR="00B34692" w:rsidRPr="00D01AB3" w:rsidRDefault="00AE6450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588.2</w:t>
            </w:r>
          </w:p>
        </w:tc>
        <w:tc>
          <w:tcPr>
            <w:tcW w:w="861" w:type="dxa"/>
            <w:vAlign w:val="center"/>
          </w:tcPr>
          <w:p w14:paraId="73FDFC86" w14:textId="47FAAEB3" w:rsidR="00B34692" w:rsidRPr="00D01AB3" w:rsidRDefault="0043422C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756.9</w:t>
            </w:r>
          </w:p>
        </w:tc>
        <w:tc>
          <w:tcPr>
            <w:tcW w:w="861" w:type="dxa"/>
            <w:vAlign w:val="center"/>
          </w:tcPr>
          <w:p w14:paraId="71CD8EBF" w14:textId="02727C2A" w:rsidR="00B34692" w:rsidRPr="00D01AB3" w:rsidRDefault="0043422C" w:rsidP="00B34692">
            <w:pPr>
              <w:jc w:val="right"/>
              <w:rPr>
                <w:sz w:val="16"/>
                <w:szCs w:val="16"/>
              </w:rPr>
            </w:pPr>
            <w:r w:rsidRPr="00D01AB3">
              <w:rPr>
                <w:sz w:val="16"/>
                <w:szCs w:val="16"/>
              </w:rPr>
              <w:t>935.3</w:t>
            </w:r>
          </w:p>
        </w:tc>
      </w:tr>
      <w:tr w:rsidR="00B34692" w:rsidRPr="00997D63" w14:paraId="441B4105" w14:textId="77777777" w:rsidTr="00912F1C">
        <w:trPr>
          <w:trHeight w:val="289"/>
        </w:trPr>
        <w:tc>
          <w:tcPr>
            <w:tcW w:w="1701" w:type="dxa"/>
            <w:vAlign w:val="center"/>
          </w:tcPr>
          <w:p w14:paraId="2F4C944E" w14:textId="483A1C4A" w:rsidR="00B34692" w:rsidRPr="00FB790C" w:rsidRDefault="00E4613F" w:rsidP="00B34692">
            <w:pPr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EV/EBITDA</w:t>
            </w:r>
          </w:p>
        </w:tc>
        <w:tc>
          <w:tcPr>
            <w:tcW w:w="436" w:type="dxa"/>
            <w:vAlign w:val="center"/>
          </w:tcPr>
          <w:p w14:paraId="27E24868" w14:textId="247EBFBE" w:rsidR="00B34692" w:rsidRPr="00D01AB3" w:rsidRDefault="00B34692" w:rsidP="00B3469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2F008FFB" w14:textId="4FA765CD" w:rsidR="00B34692" w:rsidRPr="00D01AB3" w:rsidRDefault="00D01AB3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17.28</w:t>
            </w:r>
          </w:p>
        </w:tc>
        <w:tc>
          <w:tcPr>
            <w:tcW w:w="860" w:type="dxa"/>
            <w:gridSpan w:val="2"/>
            <w:vAlign w:val="center"/>
          </w:tcPr>
          <w:p w14:paraId="43A04DA0" w14:textId="7A3BC961" w:rsidR="00B34692" w:rsidRPr="00D01AB3" w:rsidRDefault="00D01AB3" w:rsidP="00E4613F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16.05</w:t>
            </w:r>
          </w:p>
        </w:tc>
        <w:tc>
          <w:tcPr>
            <w:tcW w:w="861" w:type="dxa"/>
            <w:vAlign w:val="center"/>
          </w:tcPr>
          <w:p w14:paraId="77CECADD" w14:textId="1E245820" w:rsidR="00B34692" w:rsidRPr="00D01AB3" w:rsidRDefault="00D01AB3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12.47</w:t>
            </w:r>
          </w:p>
        </w:tc>
        <w:tc>
          <w:tcPr>
            <w:tcW w:w="861" w:type="dxa"/>
            <w:vAlign w:val="center"/>
          </w:tcPr>
          <w:p w14:paraId="53497506" w14:textId="33D0089B" w:rsidR="00B34692" w:rsidRPr="00D01AB3" w:rsidRDefault="00D01AB3" w:rsidP="00B34692">
            <w:pPr>
              <w:jc w:val="right"/>
              <w:rPr>
                <w:sz w:val="16"/>
                <w:szCs w:val="16"/>
              </w:rPr>
            </w:pPr>
            <w:r w:rsidRPr="00D01AB3">
              <w:rPr>
                <w:sz w:val="16"/>
                <w:szCs w:val="16"/>
              </w:rPr>
              <w:t>10.09</w:t>
            </w:r>
          </w:p>
        </w:tc>
      </w:tr>
      <w:tr w:rsidR="00B34692" w:rsidRPr="00997D63" w14:paraId="6D2FF88E" w14:textId="77777777" w:rsidTr="00912F1C">
        <w:trPr>
          <w:trHeight w:val="289"/>
        </w:trPr>
        <w:tc>
          <w:tcPr>
            <w:tcW w:w="1701" w:type="dxa"/>
            <w:vAlign w:val="center"/>
          </w:tcPr>
          <w:p w14:paraId="323AD3D7" w14:textId="542BD262" w:rsidR="00B34692" w:rsidRPr="00FB790C" w:rsidRDefault="00120FBE" w:rsidP="00B34692">
            <w:pPr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GAAP </w:t>
            </w:r>
            <w:r w:rsidR="00B34692">
              <w:rPr>
                <w:bCs/>
                <w:color w:val="000000"/>
                <w:sz w:val="16"/>
                <w:szCs w:val="16"/>
              </w:rPr>
              <w:t>EPS (</w:t>
            </w:r>
            <w:r w:rsidR="00D172BC">
              <w:rPr>
                <w:bCs/>
                <w:color w:val="000000"/>
                <w:sz w:val="16"/>
                <w:szCs w:val="16"/>
              </w:rPr>
              <w:t>$</w:t>
            </w:r>
            <w:r w:rsidR="00B34692" w:rsidRPr="00FB790C">
              <w:rPr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436" w:type="dxa"/>
            <w:vAlign w:val="center"/>
          </w:tcPr>
          <w:p w14:paraId="15DD9F9F" w14:textId="23505694" w:rsidR="00B34692" w:rsidRPr="00D01AB3" w:rsidRDefault="00B34692" w:rsidP="00B3469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7241594C" w14:textId="4CCC20EE" w:rsidR="00B34692" w:rsidRPr="00D01AB3" w:rsidRDefault="00866B6F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60" w:type="dxa"/>
            <w:gridSpan w:val="2"/>
            <w:vAlign w:val="center"/>
          </w:tcPr>
          <w:p w14:paraId="500B9DD6" w14:textId="0135B7F8" w:rsidR="00B34692" w:rsidRPr="00D01AB3" w:rsidRDefault="00866B6F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2.90</w:t>
            </w:r>
          </w:p>
        </w:tc>
        <w:tc>
          <w:tcPr>
            <w:tcW w:w="861" w:type="dxa"/>
            <w:vAlign w:val="center"/>
          </w:tcPr>
          <w:p w14:paraId="68B303DD" w14:textId="524608D2" w:rsidR="00B34692" w:rsidRPr="00D01AB3" w:rsidRDefault="00866B6F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3.75</w:t>
            </w:r>
          </w:p>
        </w:tc>
        <w:tc>
          <w:tcPr>
            <w:tcW w:w="861" w:type="dxa"/>
            <w:vAlign w:val="center"/>
          </w:tcPr>
          <w:p w14:paraId="36A82F6B" w14:textId="1051987C" w:rsidR="00B34692" w:rsidRPr="00D01AB3" w:rsidRDefault="00866B6F" w:rsidP="00B34692">
            <w:pPr>
              <w:jc w:val="right"/>
              <w:rPr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4.83</w:t>
            </w:r>
          </w:p>
        </w:tc>
      </w:tr>
      <w:tr w:rsidR="00B34692" w:rsidRPr="00997D63" w14:paraId="50AA21F2" w14:textId="77777777" w:rsidTr="00912F1C">
        <w:trPr>
          <w:trHeight w:val="289"/>
        </w:trPr>
        <w:tc>
          <w:tcPr>
            <w:tcW w:w="1701" w:type="dxa"/>
            <w:vAlign w:val="center"/>
          </w:tcPr>
          <w:p w14:paraId="374D68C8" w14:textId="2B5F219A" w:rsidR="00B34692" w:rsidRPr="00FB790C" w:rsidRDefault="00D172BC" w:rsidP="00B34692">
            <w:pPr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P</w:t>
            </w:r>
            <w:r w:rsidR="00CF33AA">
              <w:rPr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436" w:type="dxa"/>
            <w:vAlign w:val="center"/>
          </w:tcPr>
          <w:p w14:paraId="2FB997E0" w14:textId="44E04279" w:rsidR="00B34692" w:rsidRPr="00D01AB3" w:rsidRDefault="00B34692" w:rsidP="00B3469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7E043055" w14:textId="52F66430" w:rsidR="00B34692" w:rsidRPr="00D01AB3" w:rsidRDefault="002A5785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32.79</w:t>
            </w:r>
          </w:p>
        </w:tc>
        <w:tc>
          <w:tcPr>
            <w:tcW w:w="860" w:type="dxa"/>
            <w:gridSpan w:val="2"/>
            <w:vAlign w:val="center"/>
          </w:tcPr>
          <w:p w14:paraId="01BF236B" w14:textId="70DBA030" w:rsidR="00B34692" w:rsidRPr="00D01AB3" w:rsidRDefault="002A5785" w:rsidP="00B34692">
            <w:pPr>
              <w:jc w:val="right"/>
              <w:rPr>
                <w:color w:val="000000"/>
                <w:sz w:val="16"/>
                <w:szCs w:val="16"/>
              </w:rPr>
            </w:pPr>
            <w:r w:rsidRPr="00D01AB3">
              <w:rPr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861" w:type="dxa"/>
            <w:vAlign w:val="center"/>
          </w:tcPr>
          <w:p w14:paraId="1CBE8123" w14:textId="6E1BDA27" w:rsidR="00B34692" w:rsidRPr="00D01AB3" w:rsidRDefault="002A5785" w:rsidP="00B34692">
            <w:pPr>
              <w:jc w:val="right"/>
              <w:rPr>
                <w:bCs/>
                <w:sz w:val="16"/>
                <w:szCs w:val="16"/>
              </w:rPr>
            </w:pPr>
            <w:r w:rsidRPr="00D01AB3">
              <w:rPr>
                <w:bCs/>
                <w:sz w:val="16"/>
                <w:szCs w:val="16"/>
              </w:rPr>
              <w:t>23.32</w:t>
            </w:r>
          </w:p>
        </w:tc>
        <w:tc>
          <w:tcPr>
            <w:tcW w:w="861" w:type="dxa"/>
            <w:vAlign w:val="center"/>
          </w:tcPr>
          <w:p w14:paraId="536CD736" w14:textId="2376FC21" w:rsidR="00B34692" w:rsidRPr="00D01AB3" w:rsidRDefault="002A5785" w:rsidP="00B34692">
            <w:pPr>
              <w:jc w:val="right"/>
              <w:rPr>
                <w:sz w:val="16"/>
                <w:szCs w:val="16"/>
              </w:rPr>
            </w:pPr>
            <w:r w:rsidRPr="00D01AB3">
              <w:rPr>
                <w:sz w:val="16"/>
                <w:szCs w:val="16"/>
              </w:rPr>
              <w:t>18.36</w:t>
            </w:r>
          </w:p>
        </w:tc>
      </w:tr>
      <w:tr w:rsidR="00B34692" w:rsidRPr="00997D63" w14:paraId="5DF6B5DF" w14:textId="77777777" w:rsidTr="00912F1C">
        <w:trPr>
          <w:trHeight w:val="1328"/>
        </w:trPr>
        <w:tc>
          <w:tcPr>
            <w:tcW w:w="55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29021" w14:textId="0C23C9CE" w:rsidR="00E03BA9" w:rsidRDefault="002A5785" w:rsidP="00E03B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Eric Almon</w:t>
            </w:r>
          </w:p>
          <w:p w14:paraId="33C040B1" w14:textId="77777777" w:rsidR="00E03BA9" w:rsidRDefault="00E03BA9" w:rsidP="00E03BA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Investment Analyst Intern </w:t>
            </w:r>
          </w:p>
          <w:p w14:paraId="717EA60E" w14:textId="77777777" w:rsidR="00E03BA9" w:rsidRDefault="00E03BA9" w:rsidP="00E03BA9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Galliant Advisors LP</w:t>
            </w:r>
          </w:p>
          <w:p w14:paraId="22B56C89" w14:textId="06FC7D29" w:rsidR="00E03BA9" w:rsidRDefault="00E03BA9" w:rsidP="00E03BA9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514-788-5544 ext. </w:t>
            </w:r>
            <w:r w:rsidR="002A5785">
              <w:rPr>
                <w:sz w:val="16"/>
                <w:szCs w:val="20"/>
              </w:rPr>
              <w:t>210</w:t>
            </w:r>
          </w:p>
          <w:p w14:paraId="30BD01B1" w14:textId="78F3EEB8" w:rsidR="00B34692" w:rsidRPr="000407F9" w:rsidRDefault="002A5785" w:rsidP="00E03BA9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ealmon</w:t>
            </w:r>
            <w:r w:rsidR="00E03BA9">
              <w:rPr>
                <w:sz w:val="16"/>
                <w:szCs w:val="20"/>
              </w:rPr>
              <w:t>@galliantcapital.com</w:t>
            </w:r>
          </w:p>
        </w:tc>
      </w:tr>
    </w:tbl>
    <w:p w14:paraId="4484A9A3" w14:textId="492522E7" w:rsidR="005D6CEB" w:rsidRPr="002D455F" w:rsidRDefault="009C52B0" w:rsidP="002D455F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 w:rsidRPr="002D455F">
        <w:rPr>
          <w:b/>
          <w:color w:val="000000" w:themeColor="text1"/>
          <w:sz w:val="20"/>
          <w:szCs w:val="20"/>
        </w:rPr>
        <w:t xml:space="preserve">Company </w:t>
      </w:r>
      <w:r w:rsidR="00426B0F" w:rsidRPr="002D455F">
        <w:rPr>
          <w:b/>
          <w:color w:val="000000" w:themeColor="text1"/>
          <w:sz w:val="20"/>
          <w:szCs w:val="20"/>
        </w:rPr>
        <w:t>Description</w:t>
      </w:r>
    </w:p>
    <w:p w14:paraId="41E2C342" w14:textId="1F71F094" w:rsidR="006A6A30" w:rsidRDefault="007C18A7" w:rsidP="006A6A30">
      <w:pPr>
        <w:jc w:val="both"/>
        <w:rPr>
          <w:color w:val="000000" w:themeColor="text1"/>
          <w:sz w:val="20"/>
          <w:szCs w:val="20"/>
        </w:rPr>
      </w:pPr>
      <w:bookmarkStart w:id="1" w:name="_Hlk74232608"/>
      <w:r>
        <w:rPr>
          <w:color w:val="000000" w:themeColor="text1"/>
          <w:sz w:val="20"/>
          <w:szCs w:val="20"/>
        </w:rPr>
        <w:t xml:space="preserve">Floor &amp; Décor is a hard-surface flooring and accessories retailer </w:t>
      </w:r>
      <w:r w:rsidR="00A96FCD">
        <w:rPr>
          <w:color w:val="000000" w:themeColor="text1"/>
          <w:sz w:val="20"/>
          <w:szCs w:val="20"/>
        </w:rPr>
        <w:t xml:space="preserve">with operations spanning 33 states. Their operations include </w:t>
      </w:r>
      <w:r w:rsidR="006B3D90">
        <w:rPr>
          <w:color w:val="000000" w:themeColor="text1"/>
          <w:sz w:val="20"/>
          <w:szCs w:val="20"/>
        </w:rPr>
        <w:t>160</w:t>
      </w:r>
      <w:r w:rsidR="00D425A8">
        <w:rPr>
          <w:color w:val="000000" w:themeColor="text1"/>
          <w:sz w:val="20"/>
          <w:szCs w:val="20"/>
        </w:rPr>
        <w:t xml:space="preserve"> warehouse format stores</w:t>
      </w:r>
      <w:r w:rsidR="009266E2">
        <w:rPr>
          <w:color w:val="000000" w:themeColor="text1"/>
          <w:sz w:val="20"/>
          <w:szCs w:val="20"/>
        </w:rPr>
        <w:t xml:space="preserve">, 4 design stores, and </w:t>
      </w:r>
      <w:r w:rsidR="00554399">
        <w:rPr>
          <w:color w:val="000000" w:themeColor="text1"/>
          <w:sz w:val="20"/>
          <w:szCs w:val="20"/>
        </w:rPr>
        <w:t>4 distribution centres</w:t>
      </w:r>
      <w:r w:rsidR="00066A5F">
        <w:rPr>
          <w:color w:val="000000" w:themeColor="text1"/>
          <w:sz w:val="20"/>
          <w:szCs w:val="20"/>
        </w:rPr>
        <w:t xml:space="preserve"> strategically located in port cities</w:t>
      </w:r>
      <w:r w:rsidR="00554399">
        <w:rPr>
          <w:color w:val="000000" w:themeColor="text1"/>
          <w:sz w:val="20"/>
          <w:szCs w:val="20"/>
        </w:rPr>
        <w:t xml:space="preserve">. </w:t>
      </w:r>
      <w:r w:rsidR="000A6C72">
        <w:rPr>
          <w:color w:val="000000" w:themeColor="text1"/>
          <w:sz w:val="20"/>
          <w:szCs w:val="20"/>
        </w:rPr>
        <w:t>The company provides a selection of hardwood floors,</w:t>
      </w:r>
      <w:r w:rsidR="0047005A">
        <w:rPr>
          <w:color w:val="000000" w:themeColor="text1"/>
          <w:sz w:val="20"/>
          <w:szCs w:val="20"/>
        </w:rPr>
        <w:t xml:space="preserve"> including </w:t>
      </w:r>
      <w:r w:rsidR="00EC3296">
        <w:rPr>
          <w:color w:val="000000" w:themeColor="text1"/>
          <w:sz w:val="20"/>
          <w:szCs w:val="20"/>
        </w:rPr>
        <w:t xml:space="preserve">laminate, tile, decorative accessories, wood, natural stone, and adjacent categories (vanities, shower doors, etc). </w:t>
      </w:r>
      <w:r w:rsidR="00A01E23">
        <w:rPr>
          <w:color w:val="000000" w:themeColor="text1"/>
          <w:sz w:val="20"/>
          <w:szCs w:val="20"/>
        </w:rPr>
        <w:t>Floor &amp; Décor also sells products through its website, FloorandDecor.com.</w:t>
      </w:r>
    </w:p>
    <w:p w14:paraId="70A1CED5" w14:textId="5C319D0C" w:rsidR="0013386A" w:rsidRDefault="0013386A" w:rsidP="006A6A30">
      <w:pPr>
        <w:jc w:val="both"/>
        <w:rPr>
          <w:color w:val="000000" w:themeColor="text1"/>
          <w:sz w:val="20"/>
          <w:szCs w:val="20"/>
        </w:rPr>
      </w:pPr>
    </w:p>
    <w:p w14:paraId="7662AD2C" w14:textId="71A36BA0" w:rsidR="0013386A" w:rsidRDefault="0013386A" w:rsidP="006A6A30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Floor and Décor uses a direct sourcing model to undercut </w:t>
      </w:r>
      <w:r w:rsidR="0092301A">
        <w:rPr>
          <w:color w:val="000000" w:themeColor="text1"/>
          <w:sz w:val="20"/>
          <w:szCs w:val="20"/>
        </w:rPr>
        <w:t xml:space="preserve">prices in its industry. The company has its own merchandise procurement team that ships </w:t>
      </w:r>
      <w:r w:rsidR="003715F8">
        <w:rPr>
          <w:color w:val="000000" w:themeColor="text1"/>
          <w:sz w:val="20"/>
          <w:szCs w:val="20"/>
        </w:rPr>
        <w:t xml:space="preserve">products directly from its manufacturer, cutting out </w:t>
      </w:r>
      <w:r w:rsidR="0076229E">
        <w:rPr>
          <w:color w:val="000000" w:themeColor="text1"/>
          <w:sz w:val="20"/>
          <w:szCs w:val="20"/>
        </w:rPr>
        <w:t>brokers, importers, and distributers.</w:t>
      </w:r>
    </w:p>
    <w:p w14:paraId="39B6D70D" w14:textId="77777777" w:rsidR="0013386A" w:rsidRDefault="0013386A" w:rsidP="006A6A30">
      <w:pPr>
        <w:jc w:val="both"/>
        <w:rPr>
          <w:color w:val="000000" w:themeColor="text1"/>
          <w:sz w:val="20"/>
          <w:szCs w:val="20"/>
        </w:rPr>
      </w:pPr>
    </w:p>
    <w:p w14:paraId="6C5E3CA2" w14:textId="59BE7439" w:rsidR="00446B18" w:rsidRDefault="00446B18" w:rsidP="006A6A30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FND’s customer base </w:t>
      </w:r>
      <w:r w:rsidR="009414DE">
        <w:rPr>
          <w:color w:val="000000" w:themeColor="text1"/>
          <w:sz w:val="20"/>
          <w:szCs w:val="20"/>
        </w:rPr>
        <w:t xml:space="preserve">mainly </w:t>
      </w:r>
      <w:r>
        <w:rPr>
          <w:color w:val="000000" w:themeColor="text1"/>
          <w:sz w:val="20"/>
          <w:szCs w:val="20"/>
        </w:rPr>
        <w:t xml:space="preserve">consists </w:t>
      </w:r>
      <w:r w:rsidR="00C4078A">
        <w:rPr>
          <w:color w:val="000000" w:themeColor="text1"/>
          <w:sz w:val="20"/>
          <w:szCs w:val="20"/>
        </w:rPr>
        <w:t>of residential</w:t>
      </w:r>
      <w:r w:rsidR="00773D6E">
        <w:rPr>
          <w:color w:val="000000" w:themeColor="text1"/>
          <w:sz w:val="20"/>
          <w:szCs w:val="20"/>
        </w:rPr>
        <w:t xml:space="preserve"> home construction with </w:t>
      </w:r>
      <w:r w:rsidR="00F9322A">
        <w:rPr>
          <w:color w:val="000000" w:themeColor="text1"/>
          <w:sz w:val="20"/>
          <w:szCs w:val="20"/>
        </w:rPr>
        <w:t xml:space="preserve">15% </w:t>
      </w:r>
      <w:r w:rsidR="00B25546">
        <w:rPr>
          <w:color w:val="000000" w:themeColor="text1"/>
          <w:sz w:val="20"/>
          <w:szCs w:val="20"/>
        </w:rPr>
        <w:t>do-it-yourself (“</w:t>
      </w:r>
      <w:r w:rsidR="00F9322A">
        <w:rPr>
          <w:color w:val="000000" w:themeColor="text1"/>
          <w:sz w:val="20"/>
          <w:szCs w:val="20"/>
        </w:rPr>
        <w:t>DIY</w:t>
      </w:r>
      <w:r w:rsidR="00B25546">
        <w:rPr>
          <w:color w:val="000000" w:themeColor="text1"/>
          <w:sz w:val="20"/>
          <w:szCs w:val="20"/>
        </w:rPr>
        <w:t>”)</w:t>
      </w:r>
      <w:r w:rsidR="00F9322A">
        <w:rPr>
          <w:color w:val="000000" w:themeColor="text1"/>
          <w:sz w:val="20"/>
          <w:szCs w:val="20"/>
        </w:rPr>
        <w:t>, 45%</w:t>
      </w:r>
      <w:r w:rsidR="00B25546">
        <w:rPr>
          <w:color w:val="000000" w:themeColor="text1"/>
          <w:sz w:val="20"/>
          <w:szCs w:val="20"/>
        </w:rPr>
        <w:t xml:space="preserve"> b</w:t>
      </w:r>
      <w:r w:rsidR="005F38B4">
        <w:rPr>
          <w:color w:val="000000" w:themeColor="text1"/>
          <w:sz w:val="20"/>
          <w:szCs w:val="20"/>
        </w:rPr>
        <w:t>uy-it-yourself</w:t>
      </w:r>
      <w:r w:rsidR="00F9322A">
        <w:rPr>
          <w:color w:val="000000" w:themeColor="text1"/>
          <w:sz w:val="20"/>
          <w:szCs w:val="20"/>
        </w:rPr>
        <w:t xml:space="preserve"> </w:t>
      </w:r>
      <w:r w:rsidR="005F38B4">
        <w:rPr>
          <w:color w:val="000000" w:themeColor="text1"/>
          <w:sz w:val="20"/>
          <w:szCs w:val="20"/>
        </w:rPr>
        <w:t>(“</w:t>
      </w:r>
      <w:r w:rsidR="00F9322A">
        <w:rPr>
          <w:color w:val="000000" w:themeColor="text1"/>
          <w:sz w:val="20"/>
          <w:szCs w:val="20"/>
        </w:rPr>
        <w:t>BIY</w:t>
      </w:r>
      <w:r w:rsidR="009C0495">
        <w:rPr>
          <w:color w:val="000000" w:themeColor="text1"/>
          <w:sz w:val="20"/>
          <w:szCs w:val="20"/>
        </w:rPr>
        <w:t>”)</w:t>
      </w:r>
      <w:r w:rsidR="00F9322A">
        <w:rPr>
          <w:color w:val="000000" w:themeColor="text1"/>
          <w:sz w:val="20"/>
          <w:szCs w:val="20"/>
        </w:rPr>
        <w:t xml:space="preserve">, and </w:t>
      </w:r>
      <w:r w:rsidR="00B25546">
        <w:rPr>
          <w:color w:val="000000" w:themeColor="text1"/>
          <w:sz w:val="20"/>
          <w:szCs w:val="20"/>
        </w:rPr>
        <w:t xml:space="preserve">40% </w:t>
      </w:r>
      <w:r w:rsidR="00213FA5">
        <w:rPr>
          <w:color w:val="000000" w:themeColor="text1"/>
          <w:sz w:val="20"/>
          <w:szCs w:val="20"/>
        </w:rPr>
        <w:t>professional contractor (“Pro”)</w:t>
      </w:r>
      <w:r w:rsidR="00B25546">
        <w:rPr>
          <w:color w:val="000000" w:themeColor="text1"/>
          <w:sz w:val="20"/>
          <w:szCs w:val="20"/>
        </w:rPr>
        <w:t>.</w:t>
      </w:r>
    </w:p>
    <w:p w14:paraId="267A1B84" w14:textId="696D9D55" w:rsidR="005915A1" w:rsidRDefault="005915A1" w:rsidP="006A6A30">
      <w:pPr>
        <w:jc w:val="both"/>
        <w:rPr>
          <w:color w:val="000000" w:themeColor="text1"/>
          <w:sz w:val="20"/>
          <w:szCs w:val="20"/>
        </w:rPr>
      </w:pPr>
    </w:p>
    <w:p w14:paraId="2D39B23A" w14:textId="63684457" w:rsidR="005915A1" w:rsidRDefault="005915A1" w:rsidP="006A6A30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the acquisition of Spartan </w:t>
      </w:r>
      <w:r w:rsidR="00086ED1">
        <w:rPr>
          <w:color w:val="000000" w:themeColor="text1"/>
          <w:sz w:val="20"/>
          <w:szCs w:val="20"/>
        </w:rPr>
        <w:t>Surfaces (“Spartan”)</w:t>
      </w:r>
      <w:r w:rsidR="009414DE">
        <w:rPr>
          <w:color w:val="000000" w:themeColor="text1"/>
          <w:sz w:val="20"/>
          <w:szCs w:val="20"/>
        </w:rPr>
        <w:t xml:space="preserve">, FND now serves </w:t>
      </w:r>
      <w:r w:rsidR="00773D6E">
        <w:rPr>
          <w:color w:val="000000" w:themeColor="text1"/>
          <w:sz w:val="20"/>
          <w:szCs w:val="20"/>
        </w:rPr>
        <w:t xml:space="preserve">the commercial </w:t>
      </w:r>
      <w:r w:rsidR="00A01E23">
        <w:rPr>
          <w:color w:val="000000" w:themeColor="text1"/>
          <w:sz w:val="20"/>
          <w:szCs w:val="20"/>
        </w:rPr>
        <w:t>market,</w:t>
      </w:r>
      <w:r w:rsidR="003A62C5">
        <w:rPr>
          <w:color w:val="000000" w:themeColor="text1"/>
          <w:sz w:val="20"/>
          <w:szCs w:val="20"/>
        </w:rPr>
        <w:t xml:space="preserve"> including </w:t>
      </w:r>
      <w:r w:rsidR="00AB1790">
        <w:rPr>
          <w:color w:val="000000" w:themeColor="text1"/>
          <w:sz w:val="20"/>
          <w:szCs w:val="20"/>
        </w:rPr>
        <w:t>architecture</w:t>
      </w:r>
      <w:r w:rsidR="003A62C5">
        <w:rPr>
          <w:color w:val="000000" w:themeColor="text1"/>
          <w:sz w:val="20"/>
          <w:szCs w:val="20"/>
        </w:rPr>
        <w:t xml:space="preserve"> &amp; designer firms, general contractors, building owners and developers.  </w:t>
      </w:r>
    </w:p>
    <w:p w14:paraId="3212AF7F" w14:textId="235EDE38" w:rsidR="001B26A3" w:rsidRDefault="001B26A3" w:rsidP="006A6A30">
      <w:pPr>
        <w:jc w:val="both"/>
        <w:rPr>
          <w:color w:val="000000" w:themeColor="text1"/>
          <w:sz w:val="20"/>
          <w:szCs w:val="20"/>
        </w:rPr>
      </w:pPr>
    </w:p>
    <w:p w14:paraId="097FC684" w14:textId="31A83EBF" w:rsidR="001B26A3" w:rsidRPr="002D455F" w:rsidRDefault="001B26A3" w:rsidP="006A6A30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Floor and Décor has experienced rapid growth in the past 5 years </w:t>
      </w:r>
      <w:r w:rsidR="004468E6">
        <w:rPr>
          <w:color w:val="000000" w:themeColor="text1"/>
          <w:sz w:val="20"/>
          <w:szCs w:val="20"/>
        </w:rPr>
        <w:t xml:space="preserve">from </w:t>
      </w:r>
      <w:r w:rsidR="00453106">
        <w:rPr>
          <w:color w:val="000000" w:themeColor="text1"/>
          <w:sz w:val="20"/>
          <w:szCs w:val="20"/>
        </w:rPr>
        <w:t xml:space="preserve">’17 – ’21 </w:t>
      </w:r>
      <w:r>
        <w:rPr>
          <w:color w:val="000000" w:themeColor="text1"/>
          <w:sz w:val="20"/>
          <w:szCs w:val="20"/>
        </w:rPr>
        <w:t xml:space="preserve">since going public. </w:t>
      </w:r>
      <w:r w:rsidR="00453106">
        <w:rPr>
          <w:color w:val="000000" w:themeColor="text1"/>
          <w:sz w:val="20"/>
          <w:szCs w:val="20"/>
        </w:rPr>
        <w:t xml:space="preserve">Its compound annual growth rate of stores has been 17.8%. </w:t>
      </w:r>
      <w:r w:rsidR="008C3996">
        <w:rPr>
          <w:color w:val="000000" w:themeColor="text1"/>
          <w:sz w:val="20"/>
          <w:szCs w:val="20"/>
        </w:rPr>
        <w:t xml:space="preserve">Total sales, Adj. EBITDA, and Adj EPS have grown at a 25.5%, </w:t>
      </w:r>
      <w:r w:rsidR="00A04BB2">
        <w:rPr>
          <w:color w:val="000000" w:themeColor="text1"/>
          <w:sz w:val="20"/>
          <w:szCs w:val="20"/>
        </w:rPr>
        <w:t>32.2%, 37.1%</w:t>
      </w:r>
      <w:r w:rsidR="00274123">
        <w:rPr>
          <w:color w:val="000000" w:themeColor="text1"/>
          <w:sz w:val="20"/>
          <w:szCs w:val="20"/>
        </w:rPr>
        <w:t xml:space="preserve"> CAGR</w:t>
      </w:r>
      <w:r w:rsidR="00A04BB2">
        <w:rPr>
          <w:color w:val="000000" w:themeColor="text1"/>
          <w:sz w:val="20"/>
          <w:szCs w:val="20"/>
        </w:rPr>
        <w:t xml:space="preserve"> respectively. </w:t>
      </w:r>
      <w:r w:rsidR="008C3996">
        <w:rPr>
          <w:color w:val="000000" w:themeColor="text1"/>
          <w:sz w:val="20"/>
          <w:szCs w:val="20"/>
        </w:rPr>
        <w:t xml:space="preserve"> </w:t>
      </w:r>
    </w:p>
    <w:bookmarkEnd w:id="1"/>
    <w:p w14:paraId="4255A85D" w14:textId="7425A702" w:rsidR="000640C0" w:rsidRDefault="000640C0" w:rsidP="00E4613F">
      <w:pPr>
        <w:jc w:val="both"/>
        <w:rPr>
          <w:sz w:val="20"/>
          <w:szCs w:val="20"/>
        </w:rPr>
      </w:pPr>
    </w:p>
    <w:p w14:paraId="27E0259B" w14:textId="6F3514F7" w:rsidR="00116FA9" w:rsidRPr="002D455F" w:rsidRDefault="002D455F" w:rsidP="002D455F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 w:rsidRPr="002D455F">
        <w:rPr>
          <w:b/>
          <w:color w:val="000000" w:themeColor="text1"/>
          <w:sz w:val="20"/>
          <w:szCs w:val="20"/>
        </w:rPr>
        <w:t>Market</w:t>
      </w:r>
      <w:r w:rsidR="00862A9D" w:rsidRPr="002D455F">
        <w:rPr>
          <w:b/>
          <w:color w:val="000000" w:themeColor="text1"/>
          <w:sz w:val="20"/>
          <w:szCs w:val="20"/>
        </w:rPr>
        <w:t xml:space="preserve"> </w:t>
      </w:r>
    </w:p>
    <w:p w14:paraId="159CA801" w14:textId="07A783EF" w:rsidR="00180D2C" w:rsidRDefault="00180D2C" w:rsidP="00180D2C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Floor Covering industry is highly fragmented in the US, with over 17,000 individual businesses competing in the space. FND has an </w:t>
      </w:r>
      <w:r w:rsidR="00805259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>% market share and is by far the largest player (IBIS World</w:t>
      </w:r>
      <w:r w:rsidR="00805259">
        <w:rPr>
          <w:color w:val="000000" w:themeColor="text1"/>
          <w:sz w:val="20"/>
          <w:szCs w:val="20"/>
        </w:rPr>
        <w:t>, Management Estimates</w:t>
      </w:r>
      <w:r>
        <w:rPr>
          <w:color w:val="000000" w:themeColor="text1"/>
          <w:sz w:val="20"/>
          <w:szCs w:val="20"/>
        </w:rPr>
        <w:t>)</w:t>
      </w:r>
      <w:r w:rsidR="00BC60E7">
        <w:rPr>
          <w:color w:val="000000" w:themeColor="text1"/>
          <w:sz w:val="20"/>
          <w:szCs w:val="20"/>
        </w:rPr>
        <w:t xml:space="preserve">. </w:t>
      </w:r>
      <w:r w:rsidR="009B000A">
        <w:rPr>
          <w:color w:val="000000" w:themeColor="text1"/>
          <w:sz w:val="20"/>
          <w:szCs w:val="20"/>
        </w:rPr>
        <w:t xml:space="preserve">Hard surface flooring has taken market share from soft surface flooring, </w:t>
      </w:r>
      <w:r w:rsidR="000F66D9">
        <w:rPr>
          <w:color w:val="000000" w:themeColor="text1"/>
          <w:sz w:val="20"/>
          <w:szCs w:val="20"/>
        </w:rPr>
        <w:t>gaining 13% from 2012 to 2021</w:t>
      </w:r>
      <w:r w:rsidR="00906841">
        <w:rPr>
          <w:color w:val="000000" w:themeColor="text1"/>
          <w:sz w:val="20"/>
          <w:szCs w:val="20"/>
        </w:rPr>
        <w:t xml:space="preserve"> and represents a $41B TAM opportunity for the company</w:t>
      </w:r>
      <w:r w:rsidR="000F66D9">
        <w:rPr>
          <w:color w:val="000000" w:themeColor="text1"/>
          <w:sz w:val="20"/>
          <w:szCs w:val="20"/>
        </w:rPr>
        <w:t xml:space="preserve">. </w:t>
      </w:r>
    </w:p>
    <w:p w14:paraId="036D03E4" w14:textId="77777777" w:rsidR="00C1402B" w:rsidRPr="002D455F" w:rsidRDefault="00C1402B" w:rsidP="00C1402B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Investment Thesis</w:t>
      </w:r>
    </w:p>
    <w:p w14:paraId="01DA757E" w14:textId="20EB1625" w:rsidR="00FA6C09" w:rsidRDefault="00444BEA" w:rsidP="00906841">
      <w:pPr>
        <w:tabs>
          <w:tab w:val="center" w:pos="2368"/>
        </w:tabs>
        <w:jc w:val="both"/>
        <w:rPr>
          <w:color w:val="000000" w:themeColor="text1"/>
          <w:sz w:val="20"/>
          <w:szCs w:val="20"/>
        </w:rPr>
      </w:pPr>
      <w:r w:rsidRPr="007C2E9F">
        <w:rPr>
          <w:b/>
          <w:bCs/>
          <w:color w:val="000000" w:themeColor="text1"/>
          <w:sz w:val="20"/>
          <w:szCs w:val="20"/>
        </w:rPr>
        <w:t xml:space="preserve">The US is facing a secular shortage of housing </w:t>
      </w:r>
      <w:r w:rsidR="007C2E9F">
        <w:rPr>
          <w:b/>
          <w:bCs/>
          <w:color w:val="000000" w:themeColor="text1"/>
          <w:sz w:val="20"/>
          <w:szCs w:val="20"/>
        </w:rPr>
        <w:t>exacerbated by homebuilder</w:t>
      </w:r>
      <w:r w:rsidR="00B847BE" w:rsidRPr="007C2E9F">
        <w:rPr>
          <w:b/>
          <w:bCs/>
          <w:color w:val="000000" w:themeColor="text1"/>
          <w:sz w:val="20"/>
          <w:szCs w:val="20"/>
        </w:rPr>
        <w:t xml:space="preserve"> supply constrain</w:t>
      </w:r>
      <w:r w:rsidR="007C2E9F">
        <w:rPr>
          <w:b/>
          <w:bCs/>
          <w:color w:val="000000" w:themeColor="text1"/>
          <w:sz w:val="20"/>
          <w:szCs w:val="20"/>
        </w:rPr>
        <w:t>ts</w:t>
      </w:r>
      <w:r w:rsidR="00FC32F3" w:rsidRPr="007C2E9F">
        <w:rPr>
          <w:b/>
          <w:bCs/>
          <w:color w:val="000000" w:themeColor="text1"/>
          <w:sz w:val="20"/>
          <w:szCs w:val="20"/>
        </w:rPr>
        <w:t>.</w:t>
      </w:r>
      <w:r w:rsidR="00FC32F3">
        <w:rPr>
          <w:color w:val="000000" w:themeColor="text1"/>
          <w:sz w:val="20"/>
          <w:szCs w:val="20"/>
        </w:rPr>
        <w:t xml:space="preserve"> </w:t>
      </w:r>
      <w:r w:rsidR="008221BC">
        <w:rPr>
          <w:color w:val="000000" w:themeColor="text1"/>
          <w:sz w:val="20"/>
          <w:szCs w:val="20"/>
        </w:rPr>
        <w:t>Prices</w:t>
      </w:r>
      <w:r w:rsidR="005B24FE">
        <w:rPr>
          <w:color w:val="000000" w:themeColor="text1"/>
          <w:sz w:val="20"/>
          <w:szCs w:val="20"/>
        </w:rPr>
        <w:t xml:space="preserve"> </w:t>
      </w:r>
      <w:r w:rsidR="008221BC">
        <w:rPr>
          <w:color w:val="000000" w:themeColor="text1"/>
          <w:sz w:val="20"/>
          <w:szCs w:val="20"/>
        </w:rPr>
        <w:t>have risen</w:t>
      </w:r>
      <w:r w:rsidR="005B24FE">
        <w:rPr>
          <w:color w:val="000000" w:themeColor="text1"/>
          <w:sz w:val="20"/>
          <w:szCs w:val="20"/>
        </w:rPr>
        <w:t xml:space="preserve"> over 10% YoY</w:t>
      </w:r>
      <w:r w:rsidR="008221BC">
        <w:rPr>
          <w:color w:val="000000" w:themeColor="text1"/>
          <w:sz w:val="20"/>
          <w:szCs w:val="20"/>
        </w:rPr>
        <w:t xml:space="preserve"> </w:t>
      </w:r>
      <w:r w:rsidR="007E4A36">
        <w:rPr>
          <w:color w:val="000000" w:themeColor="text1"/>
          <w:sz w:val="20"/>
          <w:szCs w:val="20"/>
        </w:rPr>
        <w:t xml:space="preserve">on strong housing demand, particularly in </w:t>
      </w:r>
      <w:r w:rsidR="005338A3">
        <w:rPr>
          <w:color w:val="000000" w:themeColor="text1"/>
          <w:sz w:val="20"/>
          <w:szCs w:val="20"/>
        </w:rPr>
        <w:t xml:space="preserve">popular areas like Texas and Arizona. </w:t>
      </w:r>
      <w:r w:rsidR="007F0397">
        <w:rPr>
          <w:color w:val="000000" w:themeColor="text1"/>
          <w:sz w:val="20"/>
          <w:szCs w:val="20"/>
        </w:rPr>
        <w:t xml:space="preserve">While the Housing </w:t>
      </w:r>
      <w:r w:rsidR="00B34881">
        <w:rPr>
          <w:color w:val="000000" w:themeColor="text1"/>
          <w:sz w:val="20"/>
          <w:szCs w:val="20"/>
        </w:rPr>
        <w:t>Market Index (HMI)</w:t>
      </w:r>
      <w:r w:rsidR="00752C11">
        <w:rPr>
          <w:color w:val="000000" w:themeColor="text1"/>
          <w:sz w:val="20"/>
          <w:szCs w:val="20"/>
        </w:rPr>
        <w:t xml:space="preserve">, a </w:t>
      </w:r>
      <w:r w:rsidR="005C6A57">
        <w:rPr>
          <w:color w:val="000000" w:themeColor="text1"/>
          <w:sz w:val="20"/>
          <w:szCs w:val="20"/>
        </w:rPr>
        <w:t xml:space="preserve">survey of builders who rate </w:t>
      </w:r>
      <w:r w:rsidR="00795459">
        <w:rPr>
          <w:color w:val="000000" w:themeColor="text1"/>
          <w:sz w:val="20"/>
          <w:szCs w:val="20"/>
        </w:rPr>
        <w:t xml:space="preserve">market conditions </w:t>
      </w:r>
      <w:r w:rsidR="00FA6C09">
        <w:rPr>
          <w:color w:val="000000" w:themeColor="text1"/>
          <w:sz w:val="20"/>
          <w:szCs w:val="20"/>
        </w:rPr>
        <w:t xml:space="preserve">for the sale of new homes </w:t>
      </w:r>
      <w:r w:rsidR="00795459">
        <w:rPr>
          <w:color w:val="000000" w:themeColor="text1"/>
          <w:sz w:val="20"/>
          <w:szCs w:val="20"/>
        </w:rPr>
        <w:t>for the next six months,</w:t>
      </w:r>
      <w:r w:rsidR="00B34881">
        <w:rPr>
          <w:color w:val="000000" w:themeColor="text1"/>
          <w:sz w:val="20"/>
          <w:szCs w:val="20"/>
        </w:rPr>
        <w:t xml:space="preserve"> has ticked down </w:t>
      </w:r>
      <w:r w:rsidR="00752C11">
        <w:rPr>
          <w:color w:val="000000" w:themeColor="text1"/>
          <w:sz w:val="20"/>
          <w:szCs w:val="20"/>
        </w:rPr>
        <w:t>from its highs</w:t>
      </w:r>
      <w:r w:rsidR="00FA6C09">
        <w:rPr>
          <w:color w:val="000000" w:themeColor="text1"/>
          <w:sz w:val="20"/>
          <w:szCs w:val="20"/>
        </w:rPr>
        <w:t xml:space="preserve">, this likely due to supply constraints and not demand destruction caused by higher interest rates. </w:t>
      </w:r>
    </w:p>
    <w:p w14:paraId="770E3892" w14:textId="7E2160AA" w:rsidR="007C2E9F" w:rsidRDefault="007C2E9F" w:rsidP="00631679">
      <w:pPr>
        <w:spacing w:before="160" w:after="120"/>
        <w:rPr>
          <w:color w:val="000000" w:themeColor="text1"/>
          <w:sz w:val="20"/>
          <w:szCs w:val="20"/>
        </w:rPr>
      </w:pPr>
      <w:r w:rsidRPr="007C2E9F">
        <w:rPr>
          <w:color w:val="000000" w:themeColor="text1"/>
          <w:sz w:val="20"/>
          <w:szCs w:val="20"/>
        </w:rPr>
        <w:t>“Production disruptions are so severe that many builders are waiting months to receive cabinets, garage doors, countertops and appliances</w:t>
      </w:r>
      <w:r>
        <w:rPr>
          <w:color w:val="000000" w:themeColor="text1"/>
          <w:sz w:val="20"/>
          <w:szCs w:val="20"/>
        </w:rPr>
        <w:t xml:space="preserve">. </w:t>
      </w:r>
      <w:r w:rsidRPr="007C2E9F">
        <w:rPr>
          <w:color w:val="000000" w:themeColor="text1"/>
          <w:sz w:val="20"/>
          <w:szCs w:val="20"/>
        </w:rPr>
        <w:t>These delivery delays are raising construction costs and pricing prospective buyers out of the market. Policymakers must make it a priority to address supply chain issues that are harming housing affordability.”</w:t>
      </w:r>
    </w:p>
    <w:p w14:paraId="41A09292" w14:textId="2EF70AB7" w:rsidR="007C2E9F" w:rsidRDefault="007C2E9F" w:rsidP="00631679">
      <w:pPr>
        <w:pStyle w:val="ListParagraph"/>
        <w:numPr>
          <w:ilvl w:val="0"/>
          <w:numId w:val="13"/>
        </w:numPr>
        <w:spacing w:before="160" w:after="120"/>
        <w:rPr>
          <w:color w:val="000000" w:themeColor="text1"/>
          <w:sz w:val="20"/>
          <w:szCs w:val="20"/>
        </w:rPr>
      </w:pPr>
      <w:r w:rsidRPr="00631679">
        <w:rPr>
          <w:color w:val="000000" w:themeColor="text1"/>
          <w:sz w:val="20"/>
          <w:szCs w:val="20"/>
        </w:rPr>
        <w:t>NAHB chairman Jerry Konter, a builder and developer from Savannah, Georgia.</w:t>
      </w:r>
    </w:p>
    <w:p w14:paraId="0AAFE295" w14:textId="77777777" w:rsidR="00F325FB" w:rsidRDefault="008951D2" w:rsidP="004C510A">
      <w:pPr>
        <w:spacing w:before="160" w:after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There are 60% less active listings </w:t>
      </w:r>
      <w:r w:rsidR="00ED622A">
        <w:rPr>
          <w:color w:val="000000" w:themeColor="text1"/>
          <w:sz w:val="20"/>
          <w:szCs w:val="20"/>
        </w:rPr>
        <w:t>vs 2017 – 2019 as of December 2021. In total, the US housing market is facing a deficit of between 500k – 750k active listings when compared to 2017- 2019 inventory levels.</w:t>
      </w:r>
      <w:r w:rsidR="004C510A">
        <w:rPr>
          <w:color w:val="000000" w:themeColor="text1"/>
          <w:sz w:val="20"/>
          <w:szCs w:val="20"/>
        </w:rPr>
        <w:t xml:space="preserve"> </w:t>
      </w:r>
    </w:p>
    <w:p w14:paraId="127F3E2D" w14:textId="33C0D4FB" w:rsidR="00F325FB" w:rsidRDefault="00F325FB" w:rsidP="004C510A">
      <w:pPr>
        <w:spacing w:before="160" w:after="120"/>
        <w:rPr>
          <w:color w:val="000000" w:themeColor="text1"/>
          <w:sz w:val="20"/>
          <w:szCs w:val="20"/>
        </w:rPr>
      </w:pPr>
      <w:r w:rsidRPr="00A12757">
        <w:rPr>
          <w:b/>
          <w:bCs/>
          <w:color w:val="000000" w:themeColor="text1"/>
          <w:sz w:val="20"/>
          <w:szCs w:val="20"/>
        </w:rPr>
        <w:t xml:space="preserve">There are secular trends driving </w:t>
      </w:r>
      <w:r w:rsidR="008E53E8">
        <w:rPr>
          <w:b/>
          <w:bCs/>
          <w:color w:val="000000" w:themeColor="text1"/>
          <w:sz w:val="20"/>
          <w:szCs w:val="20"/>
        </w:rPr>
        <w:t xml:space="preserve">permanent </w:t>
      </w:r>
      <w:r w:rsidRPr="00A12757">
        <w:rPr>
          <w:b/>
          <w:bCs/>
          <w:color w:val="000000" w:themeColor="text1"/>
          <w:sz w:val="20"/>
          <w:szCs w:val="20"/>
        </w:rPr>
        <w:t>demand as well.</w:t>
      </w:r>
      <w:r w:rsidR="008E53E8">
        <w:rPr>
          <w:b/>
          <w:bCs/>
          <w:color w:val="000000" w:themeColor="text1"/>
          <w:sz w:val="20"/>
          <w:szCs w:val="20"/>
        </w:rPr>
        <w:t xml:space="preserve"> </w:t>
      </w:r>
      <w:r w:rsidR="009A2ECC">
        <w:rPr>
          <w:color w:val="000000" w:themeColor="text1"/>
          <w:sz w:val="20"/>
          <w:szCs w:val="20"/>
        </w:rPr>
        <w:t>Millennials</w:t>
      </w:r>
      <w:r w:rsidR="008E53E8">
        <w:rPr>
          <w:color w:val="000000" w:themeColor="text1"/>
          <w:sz w:val="20"/>
          <w:szCs w:val="20"/>
        </w:rPr>
        <w:t xml:space="preserve"> are now a major driver of housing demand. The fraction of home renters aged 20-45 who transitioned to home ownership last year was the highest since the Great Recession, despite housing prices up 35% cumulatively since the pandemic.</w:t>
      </w:r>
      <w:r w:rsidR="00183782">
        <w:rPr>
          <w:color w:val="000000" w:themeColor="text1"/>
          <w:sz w:val="20"/>
          <w:szCs w:val="20"/>
        </w:rPr>
        <w:t xml:space="preserve"> </w:t>
      </w:r>
      <w:r w:rsidR="00A33EF4">
        <w:rPr>
          <w:color w:val="000000" w:themeColor="text1"/>
          <w:sz w:val="20"/>
          <w:szCs w:val="20"/>
        </w:rPr>
        <w:t>18–30-year-olds</w:t>
      </w:r>
      <w:r w:rsidR="006C675E">
        <w:rPr>
          <w:color w:val="000000" w:themeColor="text1"/>
          <w:sz w:val="20"/>
          <w:szCs w:val="20"/>
        </w:rPr>
        <w:t xml:space="preserve"> have also returned to their own households</w:t>
      </w:r>
      <w:r w:rsidR="009A2ECC">
        <w:rPr>
          <w:color w:val="000000" w:themeColor="text1"/>
          <w:sz w:val="20"/>
          <w:szCs w:val="20"/>
        </w:rPr>
        <w:t xml:space="preserve">, as the largest fraction of this demographic become </w:t>
      </w:r>
      <w:r w:rsidR="00E30471">
        <w:rPr>
          <w:color w:val="000000" w:themeColor="text1"/>
          <w:sz w:val="20"/>
          <w:szCs w:val="20"/>
        </w:rPr>
        <w:t>household heads</w:t>
      </w:r>
      <w:r w:rsidR="00A33EF4">
        <w:rPr>
          <w:color w:val="000000" w:themeColor="text1"/>
          <w:sz w:val="20"/>
          <w:szCs w:val="20"/>
        </w:rPr>
        <w:t xml:space="preserve">. </w:t>
      </w:r>
      <w:r w:rsidR="00183782">
        <w:rPr>
          <w:color w:val="000000" w:themeColor="text1"/>
          <w:sz w:val="20"/>
          <w:szCs w:val="20"/>
        </w:rPr>
        <w:t>Homeowners are trading up for larger homes; new single-family home</w:t>
      </w:r>
      <w:r w:rsidR="00837F60">
        <w:rPr>
          <w:color w:val="000000" w:themeColor="text1"/>
          <w:sz w:val="20"/>
          <w:szCs w:val="20"/>
        </w:rPr>
        <w:t xml:space="preserve"> sizes </w:t>
      </w:r>
      <w:r w:rsidR="00183782">
        <w:rPr>
          <w:color w:val="000000" w:themeColor="text1"/>
          <w:sz w:val="20"/>
          <w:szCs w:val="20"/>
        </w:rPr>
        <w:t>have increased</w:t>
      </w:r>
      <w:r w:rsidR="00837F60">
        <w:rPr>
          <w:color w:val="000000" w:themeColor="text1"/>
          <w:sz w:val="20"/>
          <w:szCs w:val="20"/>
        </w:rPr>
        <w:t xml:space="preserve"> in ’21, reversing a downward trend from ’15-’20. </w:t>
      </w:r>
      <w:r w:rsidR="00203AE7">
        <w:rPr>
          <w:color w:val="000000" w:themeColor="text1"/>
          <w:sz w:val="20"/>
          <w:szCs w:val="20"/>
        </w:rPr>
        <w:t xml:space="preserve">Purchases of second homes have increased; second home purchase loan </w:t>
      </w:r>
      <w:r w:rsidR="00245856">
        <w:rPr>
          <w:color w:val="000000" w:themeColor="text1"/>
          <w:sz w:val="20"/>
          <w:szCs w:val="20"/>
        </w:rPr>
        <w:t>originations</w:t>
      </w:r>
      <w:r w:rsidR="00203AE7">
        <w:rPr>
          <w:color w:val="000000" w:themeColor="text1"/>
          <w:sz w:val="20"/>
          <w:szCs w:val="20"/>
        </w:rPr>
        <w:t xml:space="preserve"> have increased to 5% vs the 3.5% average from ’14-’19. </w:t>
      </w:r>
    </w:p>
    <w:p w14:paraId="03264AE3" w14:textId="4C6C72DD" w:rsidR="00FF6E76" w:rsidRDefault="00EE0311" w:rsidP="004C510A">
      <w:pPr>
        <w:spacing w:before="160" w:after="120"/>
        <w:rPr>
          <w:color w:val="000000" w:themeColor="text1"/>
          <w:sz w:val="20"/>
          <w:szCs w:val="20"/>
        </w:rPr>
      </w:pPr>
      <w:r w:rsidRPr="000A36F1">
        <w:rPr>
          <w:b/>
          <w:bCs/>
          <w:color w:val="000000" w:themeColor="text1"/>
          <w:sz w:val="20"/>
          <w:szCs w:val="20"/>
        </w:rPr>
        <w:t xml:space="preserve">Despite huge gains in home prices, mortgage </w:t>
      </w:r>
      <w:r w:rsidR="000A36F1" w:rsidRPr="000A36F1">
        <w:rPr>
          <w:b/>
          <w:bCs/>
          <w:color w:val="000000" w:themeColor="text1"/>
          <w:sz w:val="20"/>
          <w:szCs w:val="20"/>
        </w:rPr>
        <w:t>borrowers have stronger balance sheets than in the mid-2000s and can handle a drop in home prices.</w:t>
      </w:r>
      <w:r w:rsidR="000A36F1">
        <w:rPr>
          <w:color w:val="000000" w:themeColor="text1"/>
          <w:sz w:val="20"/>
          <w:szCs w:val="20"/>
        </w:rPr>
        <w:t xml:space="preserve"> They also</w:t>
      </w:r>
      <w:r w:rsidR="00791E67">
        <w:rPr>
          <w:color w:val="000000" w:themeColor="text1"/>
          <w:sz w:val="20"/>
          <w:szCs w:val="20"/>
        </w:rPr>
        <w:t xml:space="preserve"> have the equity to </w:t>
      </w:r>
      <w:r w:rsidR="00C703E4">
        <w:rPr>
          <w:color w:val="000000" w:themeColor="text1"/>
          <w:sz w:val="20"/>
          <w:szCs w:val="20"/>
        </w:rPr>
        <w:t xml:space="preserve">afford cost increases. </w:t>
      </w:r>
      <w:r w:rsidR="00631679">
        <w:rPr>
          <w:color w:val="000000" w:themeColor="text1"/>
          <w:sz w:val="20"/>
          <w:szCs w:val="20"/>
        </w:rPr>
        <w:t xml:space="preserve">According to mortgage analytics firm Black Knight, tappable home equity has </w:t>
      </w:r>
      <w:r w:rsidR="00EC05B9">
        <w:rPr>
          <w:color w:val="000000" w:themeColor="text1"/>
          <w:sz w:val="20"/>
          <w:szCs w:val="20"/>
        </w:rPr>
        <w:t xml:space="preserve">jumped by $2.6T to a record total of $9.9T in 2021. Homeowners tapped their equity at the highest rate </w:t>
      </w:r>
      <w:r w:rsidR="00483A8C">
        <w:rPr>
          <w:color w:val="000000" w:themeColor="text1"/>
          <w:sz w:val="20"/>
          <w:szCs w:val="20"/>
        </w:rPr>
        <w:t>i</w:t>
      </w:r>
      <w:r w:rsidR="00EC05B9">
        <w:rPr>
          <w:color w:val="000000" w:themeColor="text1"/>
          <w:sz w:val="20"/>
          <w:szCs w:val="20"/>
        </w:rPr>
        <w:t xml:space="preserve">n 14 years, with cash-outs making 54% of all refinances.  </w:t>
      </w:r>
      <w:r w:rsidR="00C703E4">
        <w:rPr>
          <w:color w:val="000000" w:themeColor="text1"/>
          <w:sz w:val="20"/>
          <w:szCs w:val="20"/>
        </w:rPr>
        <w:t xml:space="preserve">The average mortgage holder has $185k in equity available to them before a loan-to-value ratio of </w:t>
      </w:r>
      <w:r w:rsidR="00FE0B9E">
        <w:rPr>
          <w:color w:val="000000" w:themeColor="text1"/>
          <w:sz w:val="20"/>
          <w:szCs w:val="20"/>
        </w:rPr>
        <w:t>80% and</w:t>
      </w:r>
      <w:r w:rsidR="00C703E4">
        <w:rPr>
          <w:color w:val="000000" w:themeColor="text1"/>
          <w:sz w:val="20"/>
          <w:szCs w:val="20"/>
        </w:rPr>
        <w:t xml:space="preserve"> increase of 45k YoY. </w:t>
      </w:r>
      <w:r w:rsidR="00836CAA">
        <w:rPr>
          <w:color w:val="000000" w:themeColor="text1"/>
          <w:sz w:val="20"/>
          <w:szCs w:val="20"/>
        </w:rPr>
        <w:t xml:space="preserve">The homeowner is in the best position </w:t>
      </w:r>
      <w:r w:rsidR="00CF2F9B">
        <w:rPr>
          <w:color w:val="000000" w:themeColor="text1"/>
          <w:sz w:val="20"/>
          <w:szCs w:val="20"/>
        </w:rPr>
        <w:t xml:space="preserve">it has been in the last 20 years. </w:t>
      </w:r>
    </w:p>
    <w:p w14:paraId="5DE201C2" w14:textId="1AD6A970" w:rsidR="007D7F8E" w:rsidRDefault="00DE0897" w:rsidP="00C1402B">
      <w:pPr>
        <w:pBdr>
          <w:bottom w:val="single" w:sz="4" w:space="1" w:color="auto"/>
        </w:pBdr>
        <w:spacing w:before="160" w:after="120"/>
        <w:rPr>
          <w:color w:val="000000" w:themeColor="text1"/>
          <w:sz w:val="20"/>
          <w:szCs w:val="20"/>
        </w:rPr>
      </w:pPr>
      <w:r w:rsidRPr="00276DA5">
        <w:rPr>
          <w:b/>
          <w:bCs/>
          <w:color w:val="000000" w:themeColor="text1"/>
          <w:sz w:val="20"/>
          <w:szCs w:val="20"/>
        </w:rPr>
        <w:t xml:space="preserve">Floor and Décor is the hard-surface category-killer and is poised to take market share away from </w:t>
      </w:r>
      <w:r w:rsidR="00AE1716" w:rsidRPr="00276DA5">
        <w:rPr>
          <w:b/>
          <w:bCs/>
          <w:color w:val="000000" w:themeColor="text1"/>
          <w:sz w:val="20"/>
          <w:szCs w:val="20"/>
        </w:rPr>
        <w:t xml:space="preserve">a fragmented </w:t>
      </w:r>
      <w:r w:rsidR="009662AF" w:rsidRPr="00276DA5">
        <w:rPr>
          <w:b/>
          <w:bCs/>
          <w:color w:val="000000" w:themeColor="text1"/>
          <w:sz w:val="20"/>
          <w:szCs w:val="20"/>
        </w:rPr>
        <w:t>hard-surface flooring competitive landscape</w:t>
      </w:r>
      <w:r w:rsidRPr="00276DA5">
        <w:rPr>
          <w:b/>
          <w:bCs/>
          <w:color w:val="000000" w:themeColor="text1"/>
          <w:sz w:val="20"/>
          <w:szCs w:val="20"/>
        </w:rPr>
        <w:t>.</w:t>
      </w:r>
      <w:r w:rsidR="00800286" w:rsidRPr="00276DA5">
        <w:rPr>
          <w:b/>
          <w:bCs/>
          <w:color w:val="000000" w:themeColor="text1"/>
          <w:sz w:val="20"/>
          <w:szCs w:val="20"/>
        </w:rPr>
        <w:t xml:space="preserve"> </w:t>
      </w:r>
      <w:r w:rsidR="004B6E6F" w:rsidRPr="00276DA5">
        <w:rPr>
          <w:color w:val="000000" w:themeColor="text1"/>
          <w:sz w:val="20"/>
          <w:szCs w:val="20"/>
        </w:rPr>
        <w:t xml:space="preserve">Management estimates it can capture 33% of the $41B hard-surface flooring market </w:t>
      </w:r>
      <w:r w:rsidR="00674454" w:rsidRPr="00276DA5">
        <w:rPr>
          <w:color w:val="000000" w:themeColor="text1"/>
          <w:sz w:val="20"/>
          <w:szCs w:val="20"/>
        </w:rPr>
        <w:t xml:space="preserve">primarily </w:t>
      </w:r>
      <w:r w:rsidR="009D2381">
        <w:rPr>
          <w:color w:val="000000" w:themeColor="text1"/>
          <w:sz w:val="20"/>
          <w:szCs w:val="20"/>
        </w:rPr>
        <w:t>as it takes share away from its competitors, consisting of 1/3 independents, 1/3 home centers, 14% specialty retailers and 14% distributors</w:t>
      </w:r>
      <w:r w:rsidR="004B6E6F" w:rsidRPr="00276DA5">
        <w:rPr>
          <w:color w:val="000000" w:themeColor="text1"/>
          <w:sz w:val="20"/>
          <w:szCs w:val="20"/>
        </w:rPr>
        <w:t>.</w:t>
      </w:r>
      <w:r w:rsidR="00276DA5">
        <w:rPr>
          <w:color w:val="000000" w:themeColor="text1"/>
          <w:sz w:val="20"/>
          <w:szCs w:val="20"/>
        </w:rPr>
        <w:t xml:space="preserve"> </w:t>
      </w:r>
      <w:r w:rsidR="009662AF" w:rsidRPr="00276DA5">
        <w:rPr>
          <w:color w:val="000000" w:themeColor="text1"/>
          <w:sz w:val="20"/>
          <w:szCs w:val="20"/>
        </w:rPr>
        <w:t>Floor &amp; Decor</w:t>
      </w:r>
      <w:r w:rsidR="00CF1483" w:rsidRPr="00276DA5">
        <w:rPr>
          <w:color w:val="000000" w:themeColor="text1"/>
          <w:sz w:val="20"/>
          <w:szCs w:val="20"/>
        </w:rPr>
        <w:t xml:space="preserve"> has numerous competitive advantages</w:t>
      </w:r>
      <w:r w:rsidR="000D0CF6" w:rsidRPr="00276DA5">
        <w:rPr>
          <w:color w:val="000000" w:themeColor="text1"/>
          <w:sz w:val="20"/>
          <w:szCs w:val="20"/>
        </w:rPr>
        <w:t xml:space="preserve"> over smaller players.</w:t>
      </w:r>
      <w:r w:rsidR="000D0CF6">
        <w:rPr>
          <w:color w:val="000000" w:themeColor="text1"/>
          <w:sz w:val="20"/>
          <w:szCs w:val="20"/>
        </w:rPr>
        <w:t xml:space="preserve"> </w:t>
      </w:r>
    </w:p>
    <w:p w14:paraId="7D0F3E67" w14:textId="707DBD69" w:rsidR="007D7F8E" w:rsidRDefault="00031E3D" w:rsidP="00C1402B">
      <w:pPr>
        <w:pBdr>
          <w:bottom w:val="single" w:sz="4" w:space="1" w:color="auto"/>
        </w:pBdr>
        <w:spacing w:before="160" w:after="120"/>
        <w:rPr>
          <w:color w:val="000000" w:themeColor="text1"/>
          <w:sz w:val="20"/>
          <w:szCs w:val="20"/>
        </w:rPr>
      </w:pPr>
      <w:r w:rsidRPr="00015817">
        <w:rPr>
          <w:b/>
          <w:bCs/>
          <w:color w:val="000000" w:themeColor="text1"/>
          <w:sz w:val="20"/>
          <w:szCs w:val="20"/>
        </w:rPr>
        <w:t>I</w:t>
      </w:r>
      <w:r w:rsidR="002F67A4" w:rsidRPr="00015817">
        <w:rPr>
          <w:b/>
          <w:bCs/>
          <w:color w:val="000000" w:themeColor="text1"/>
          <w:sz w:val="20"/>
          <w:szCs w:val="20"/>
        </w:rPr>
        <w:t>t</w:t>
      </w:r>
      <w:r w:rsidR="0047160F" w:rsidRPr="00015817">
        <w:rPr>
          <w:b/>
          <w:bCs/>
          <w:color w:val="000000" w:themeColor="text1"/>
          <w:sz w:val="20"/>
          <w:szCs w:val="20"/>
        </w:rPr>
        <w:t xml:space="preserve">s large, 78,000 sq ft warehouse stores </w:t>
      </w:r>
      <w:r w:rsidR="007F0BEE" w:rsidRPr="00015817">
        <w:rPr>
          <w:b/>
          <w:bCs/>
          <w:color w:val="000000" w:themeColor="text1"/>
          <w:sz w:val="20"/>
          <w:szCs w:val="20"/>
        </w:rPr>
        <w:t>allow</w:t>
      </w:r>
      <w:r w:rsidR="0047160F" w:rsidRPr="00015817">
        <w:rPr>
          <w:b/>
          <w:bCs/>
          <w:color w:val="000000" w:themeColor="text1"/>
          <w:sz w:val="20"/>
          <w:szCs w:val="20"/>
        </w:rPr>
        <w:t xml:space="preserve"> FND to</w:t>
      </w:r>
      <w:r w:rsidR="002F67A4" w:rsidRPr="00015817">
        <w:rPr>
          <w:b/>
          <w:bCs/>
          <w:color w:val="000000" w:themeColor="text1"/>
          <w:sz w:val="20"/>
          <w:szCs w:val="20"/>
        </w:rPr>
        <w:t xml:space="preserve"> provide the</w:t>
      </w:r>
      <w:r w:rsidR="00615BCE">
        <w:rPr>
          <w:b/>
          <w:bCs/>
          <w:color w:val="000000" w:themeColor="text1"/>
          <w:sz w:val="20"/>
          <w:szCs w:val="20"/>
        </w:rPr>
        <w:t xml:space="preserve"> best in-store experience. </w:t>
      </w:r>
      <w:r w:rsidR="00615BCE" w:rsidRPr="00615BCE">
        <w:rPr>
          <w:color w:val="000000" w:themeColor="text1"/>
          <w:sz w:val="20"/>
          <w:szCs w:val="20"/>
        </w:rPr>
        <w:t>FND has the</w:t>
      </w:r>
      <w:r w:rsidR="002F67A4" w:rsidRPr="00615BCE">
        <w:rPr>
          <w:color w:val="000000" w:themeColor="text1"/>
          <w:sz w:val="20"/>
          <w:szCs w:val="20"/>
        </w:rPr>
        <w:t xml:space="preserve"> largest in-stock selection</w:t>
      </w:r>
      <w:r w:rsidR="00615BCE">
        <w:rPr>
          <w:color w:val="000000" w:themeColor="text1"/>
          <w:sz w:val="20"/>
          <w:szCs w:val="20"/>
        </w:rPr>
        <w:t xml:space="preserve"> at 1,700 SKUs versus </w:t>
      </w:r>
      <w:r w:rsidR="00150A57">
        <w:rPr>
          <w:color w:val="000000" w:themeColor="text1"/>
          <w:sz w:val="20"/>
          <w:szCs w:val="20"/>
        </w:rPr>
        <w:t>10-60 in specialty competitors</w:t>
      </w:r>
      <w:r w:rsidR="008977E8">
        <w:rPr>
          <w:color w:val="000000" w:themeColor="text1"/>
          <w:sz w:val="20"/>
          <w:szCs w:val="20"/>
        </w:rPr>
        <w:t xml:space="preserve"> (60% of competition)</w:t>
      </w:r>
      <w:r w:rsidR="00150A57">
        <w:rPr>
          <w:color w:val="000000" w:themeColor="text1"/>
          <w:sz w:val="20"/>
          <w:szCs w:val="20"/>
        </w:rPr>
        <w:t xml:space="preserve"> and 400-450 for home improvement</w:t>
      </w:r>
      <w:r w:rsidR="008977E8">
        <w:rPr>
          <w:color w:val="000000" w:themeColor="text1"/>
          <w:sz w:val="20"/>
          <w:szCs w:val="20"/>
        </w:rPr>
        <w:t xml:space="preserve"> (40% of competition)</w:t>
      </w:r>
      <w:r w:rsidR="00150A57">
        <w:rPr>
          <w:color w:val="000000" w:themeColor="text1"/>
          <w:sz w:val="20"/>
          <w:szCs w:val="20"/>
        </w:rPr>
        <w:t xml:space="preserve">. They have 250 options of tile versus </w:t>
      </w:r>
      <w:r w:rsidR="003D39F2">
        <w:rPr>
          <w:color w:val="000000" w:themeColor="text1"/>
          <w:sz w:val="20"/>
          <w:szCs w:val="20"/>
        </w:rPr>
        <w:t>55-60 in a home improvement centre</w:t>
      </w:r>
      <w:r w:rsidR="00236057" w:rsidRPr="00615BCE">
        <w:rPr>
          <w:color w:val="000000" w:themeColor="text1"/>
          <w:sz w:val="20"/>
          <w:szCs w:val="20"/>
        </w:rPr>
        <w:t>.</w:t>
      </w:r>
      <w:r w:rsidR="00236057">
        <w:rPr>
          <w:color w:val="000000" w:themeColor="text1"/>
          <w:sz w:val="20"/>
          <w:szCs w:val="20"/>
        </w:rPr>
        <w:t xml:space="preserve"> </w:t>
      </w:r>
      <w:r w:rsidR="003D39F2">
        <w:rPr>
          <w:color w:val="000000" w:themeColor="text1"/>
          <w:sz w:val="20"/>
          <w:szCs w:val="20"/>
        </w:rPr>
        <w:t>Home improvement centres only have 3,000 – 5,000</w:t>
      </w:r>
      <w:r w:rsidR="005A6939">
        <w:rPr>
          <w:color w:val="000000" w:themeColor="text1"/>
          <w:sz w:val="20"/>
          <w:szCs w:val="20"/>
        </w:rPr>
        <w:t xml:space="preserve"> selling square footage, which limits their ability to invest in the category.</w:t>
      </w:r>
      <w:r w:rsidR="009D2381">
        <w:rPr>
          <w:color w:val="000000" w:themeColor="text1"/>
          <w:sz w:val="20"/>
          <w:szCs w:val="20"/>
        </w:rPr>
        <w:t xml:space="preserve"> Many independents operate stores are 5,000 – 15,000 square feet with little room to invest in their stores.</w:t>
      </w:r>
      <w:r w:rsidR="005A6939">
        <w:rPr>
          <w:color w:val="000000" w:themeColor="text1"/>
          <w:sz w:val="20"/>
          <w:szCs w:val="20"/>
        </w:rPr>
        <w:t xml:space="preserve"> Moreover,</w:t>
      </w:r>
      <w:r w:rsidR="003D39F2">
        <w:rPr>
          <w:color w:val="000000" w:themeColor="text1"/>
          <w:sz w:val="20"/>
          <w:szCs w:val="20"/>
        </w:rPr>
        <w:t xml:space="preserve"> </w:t>
      </w:r>
      <w:r w:rsidR="005A6939">
        <w:rPr>
          <w:color w:val="000000" w:themeColor="text1"/>
          <w:sz w:val="20"/>
          <w:szCs w:val="20"/>
        </w:rPr>
        <w:t>w</w:t>
      </w:r>
      <w:r w:rsidR="00816966">
        <w:rPr>
          <w:color w:val="000000" w:themeColor="text1"/>
          <w:sz w:val="20"/>
          <w:szCs w:val="20"/>
        </w:rPr>
        <w:t xml:space="preserve">arehouse stores are visually </w:t>
      </w:r>
      <w:r w:rsidR="00117BC6">
        <w:rPr>
          <w:color w:val="000000" w:themeColor="text1"/>
          <w:sz w:val="20"/>
          <w:szCs w:val="20"/>
        </w:rPr>
        <w:t xml:space="preserve">inspiring and allow customers to see </w:t>
      </w:r>
      <w:r w:rsidR="00A5243F">
        <w:rPr>
          <w:color w:val="000000" w:themeColor="text1"/>
          <w:sz w:val="20"/>
          <w:szCs w:val="20"/>
        </w:rPr>
        <w:t xml:space="preserve">how the </w:t>
      </w:r>
      <w:r w:rsidR="00117BC6">
        <w:rPr>
          <w:color w:val="000000" w:themeColor="text1"/>
          <w:sz w:val="20"/>
          <w:szCs w:val="20"/>
        </w:rPr>
        <w:t>h</w:t>
      </w:r>
      <w:r w:rsidR="00A5243F">
        <w:rPr>
          <w:color w:val="000000" w:themeColor="text1"/>
          <w:sz w:val="20"/>
          <w:szCs w:val="20"/>
        </w:rPr>
        <w:t xml:space="preserve">ard-surface flooring would look, an important </w:t>
      </w:r>
      <w:r w:rsidR="00C06C01">
        <w:rPr>
          <w:color w:val="000000" w:themeColor="text1"/>
          <w:sz w:val="20"/>
          <w:szCs w:val="20"/>
        </w:rPr>
        <w:t xml:space="preserve">aspect of hard-surface shopping. </w:t>
      </w:r>
      <w:r w:rsidR="00B96408">
        <w:rPr>
          <w:color w:val="000000" w:themeColor="text1"/>
          <w:sz w:val="20"/>
          <w:szCs w:val="20"/>
        </w:rPr>
        <w:t>Free designer services are also a major lever for higher ticket sales.</w:t>
      </w:r>
      <w:r w:rsidR="004F3194">
        <w:rPr>
          <w:color w:val="000000" w:themeColor="text1"/>
          <w:sz w:val="20"/>
          <w:szCs w:val="20"/>
        </w:rPr>
        <w:t xml:space="preserve"> The average designer ticket is much higher than the average consumer ticket</w:t>
      </w:r>
      <w:r w:rsidR="00B96408">
        <w:rPr>
          <w:color w:val="000000" w:themeColor="text1"/>
          <w:sz w:val="20"/>
          <w:szCs w:val="20"/>
        </w:rPr>
        <w:t xml:space="preserve"> </w:t>
      </w:r>
      <w:r w:rsidR="00827F2C">
        <w:rPr>
          <w:color w:val="000000" w:themeColor="text1"/>
          <w:sz w:val="20"/>
          <w:szCs w:val="20"/>
        </w:rPr>
        <w:t xml:space="preserve">because they </w:t>
      </w:r>
      <w:r w:rsidR="00A2399B">
        <w:rPr>
          <w:color w:val="000000" w:themeColor="text1"/>
          <w:sz w:val="20"/>
          <w:szCs w:val="20"/>
        </w:rPr>
        <w:t>can</w:t>
      </w:r>
      <w:r w:rsidR="00827F2C">
        <w:rPr>
          <w:color w:val="000000" w:themeColor="text1"/>
          <w:sz w:val="20"/>
          <w:szCs w:val="20"/>
        </w:rPr>
        <w:t xml:space="preserve"> sell </w:t>
      </w:r>
      <w:r w:rsidR="00A2399B">
        <w:rPr>
          <w:color w:val="000000" w:themeColor="text1"/>
          <w:sz w:val="20"/>
          <w:szCs w:val="20"/>
        </w:rPr>
        <w:t xml:space="preserve">the entire home project including </w:t>
      </w:r>
      <w:r w:rsidR="00827F2C">
        <w:rPr>
          <w:color w:val="000000" w:themeColor="text1"/>
          <w:sz w:val="20"/>
          <w:szCs w:val="20"/>
        </w:rPr>
        <w:t>installation material and project-related goods/adjacent categories</w:t>
      </w:r>
      <w:r w:rsidR="00A2399B">
        <w:rPr>
          <w:color w:val="000000" w:themeColor="text1"/>
          <w:sz w:val="20"/>
          <w:szCs w:val="20"/>
        </w:rPr>
        <w:t xml:space="preserve">. This results in 2-3x higher </w:t>
      </w:r>
      <w:r w:rsidR="000A145C">
        <w:rPr>
          <w:color w:val="000000" w:themeColor="text1"/>
          <w:sz w:val="20"/>
          <w:szCs w:val="20"/>
        </w:rPr>
        <w:t xml:space="preserve">ticket than the average associate. With economies of scale, FND is in a unique position </w:t>
      </w:r>
      <w:r w:rsidR="00AD023F">
        <w:rPr>
          <w:color w:val="000000" w:themeColor="text1"/>
          <w:sz w:val="20"/>
          <w:szCs w:val="20"/>
        </w:rPr>
        <w:t xml:space="preserve">to build a career track in designer and </w:t>
      </w:r>
      <w:r w:rsidR="000A145C">
        <w:rPr>
          <w:color w:val="000000" w:themeColor="text1"/>
          <w:sz w:val="20"/>
          <w:szCs w:val="20"/>
        </w:rPr>
        <w:t xml:space="preserve">offer these services for free. </w:t>
      </w:r>
    </w:p>
    <w:p w14:paraId="549765A6" w14:textId="038F96CC" w:rsidR="004C510A" w:rsidRDefault="00031E3D" w:rsidP="00C1402B">
      <w:pPr>
        <w:pBdr>
          <w:bottom w:val="single" w:sz="4" w:space="1" w:color="auto"/>
        </w:pBdr>
        <w:spacing w:before="160" w:after="120"/>
        <w:rPr>
          <w:color w:val="000000" w:themeColor="text1"/>
          <w:sz w:val="20"/>
          <w:szCs w:val="20"/>
        </w:rPr>
      </w:pPr>
      <w:r w:rsidRPr="00015817">
        <w:rPr>
          <w:b/>
          <w:bCs/>
          <w:color w:val="000000" w:themeColor="text1"/>
          <w:sz w:val="20"/>
          <w:szCs w:val="20"/>
        </w:rPr>
        <w:t>B</w:t>
      </w:r>
      <w:r w:rsidR="0022467D" w:rsidRPr="00015817">
        <w:rPr>
          <w:b/>
          <w:bCs/>
          <w:color w:val="000000" w:themeColor="text1"/>
          <w:sz w:val="20"/>
          <w:szCs w:val="20"/>
        </w:rPr>
        <w:t xml:space="preserve">y vertically integrating </w:t>
      </w:r>
      <w:r w:rsidR="00762740" w:rsidRPr="00015817">
        <w:rPr>
          <w:b/>
          <w:bCs/>
          <w:color w:val="000000" w:themeColor="text1"/>
          <w:sz w:val="20"/>
          <w:szCs w:val="20"/>
        </w:rPr>
        <w:t xml:space="preserve">its supply </w:t>
      </w:r>
      <w:r w:rsidR="00652AE7" w:rsidRPr="00015817">
        <w:rPr>
          <w:b/>
          <w:bCs/>
          <w:color w:val="000000" w:themeColor="text1"/>
          <w:sz w:val="20"/>
          <w:szCs w:val="20"/>
        </w:rPr>
        <w:t>chain and its value chain,</w:t>
      </w:r>
      <w:r w:rsidR="00EC35BD" w:rsidRPr="00015817">
        <w:rPr>
          <w:b/>
          <w:bCs/>
          <w:color w:val="000000" w:themeColor="text1"/>
          <w:sz w:val="20"/>
          <w:szCs w:val="20"/>
        </w:rPr>
        <w:t xml:space="preserve"> Floor and Décor will </w:t>
      </w:r>
      <w:r w:rsidR="00CE4176" w:rsidRPr="00015817">
        <w:rPr>
          <w:b/>
          <w:bCs/>
          <w:color w:val="000000" w:themeColor="text1"/>
          <w:sz w:val="20"/>
          <w:szCs w:val="20"/>
        </w:rPr>
        <w:t xml:space="preserve">have </w:t>
      </w:r>
      <w:r w:rsidR="00EC35BD" w:rsidRPr="00015817">
        <w:rPr>
          <w:b/>
          <w:bCs/>
          <w:color w:val="000000" w:themeColor="text1"/>
          <w:sz w:val="20"/>
          <w:szCs w:val="20"/>
        </w:rPr>
        <w:t xml:space="preserve">cost-leadership </w:t>
      </w:r>
      <w:r w:rsidR="00CE4176" w:rsidRPr="00015817">
        <w:rPr>
          <w:b/>
          <w:bCs/>
          <w:color w:val="000000" w:themeColor="text1"/>
          <w:sz w:val="20"/>
          <w:szCs w:val="20"/>
        </w:rPr>
        <w:t>in its industry while yielding a variety of other benefits.</w:t>
      </w:r>
      <w:r w:rsidR="00CE4176">
        <w:rPr>
          <w:color w:val="000000" w:themeColor="text1"/>
          <w:sz w:val="20"/>
          <w:szCs w:val="20"/>
        </w:rPr>
        <w:t xml:space="preserve"> It has secured long-term (5-6 years) ocean carrier contracts because of its </w:t>
      </w:r>
      <w:r>
        <w:rPr>
          <w:color w:val="000000" w:themeColor="text1"/>
          <w:sz w:val="20"/>
          <w:szCs w:val="20"/>
        </w:rPr>
        <w:t xml:space="preserve">strategically placed </w:t>
      </w:r>
      <w:r w:rsidR="00CE4176">
        <w:rPr>
          <w:color w:val="000000" w:themeColor="text1"/>
          <w:sz w:val="20"/>
          <w:szCs w:val="20"/>
        </w:rPr>
        <w:t>distribution center</w:t>
      </w:r>
      <w:r>
        <w:rPr>
          <w:color w:val="000000" w:themeColor="text1"/>
          <w:sz w:val="20"/>
          <w:szCs w:val="20"/>
        </w:rPr>
        <w:t>s (DCs) in port cities</w:t>
      </w:r>
      <w:r w:rsidR="00CE4176">
        <w:rPr>
          <w:color w:val="000000" w:themeColor="text1"/>
          <w:sz w:val="20"/>
          <w:szCs w:val="20"/>
        </w:rPr>
        <w:t xml:space="preserve"> and warehouse storage </w:t>
      </w:r>
      <w:r w:rsidR="00652DA1">
        <w:rPr>
          <w:color w:val="000000" w:themeColor="text1"/>
          <w:sz w:val="20"/>
          <w:szCs w:val="20"/>
        </w:rPr>
        <w:t xml:space="preserve">inventory space. It works directly with manufacturers to procure </w:t>
      </w:r>
      <w:r w:rsidR="00FB3F46">
        <w:rPr>
          <w:color w:val="000000" w:themeColor="text1"/>
          <w:sz w:val="20"/>
          <w:szCs w:val="20"/>
        </w:rPr>
        <w:t xml:space="preserve">SKUs ahead of shifts in consumer tastes. </w:t>
      </w:r>
      <w:r w:rsidR="00274123">
        <w:rPr>
          <w:color w:val="000000" w:themeColor="text1"/>
          <w:sz w:val="20"/>
          <w:szCs w:val="20"/>
        </w:rPr>
        <w:t>For example, management</w:t>
      </w:r>
      <w:r w:rsidR="00FB3F46">
        <w:rPr>
          <w:color w:val="000000" w:themeColor="text1"/>
          <w:sz w:val="20"/>
          <w:szCs w:val="20"/>
        </w:rPr>
        <w:t xml:space="preserve"> was able to anticipate the demand for laminate</w:t>
      </w:r>
      <w:r w:rsidR="007E405A">
        <w:rPr>
          <w:color w:val="000000" w:themeColor="text1"/>
          <w:sz w:val="20"/>
          <w:szCs w:val="20"/>
        </w:rPr>
        <w:t xml:space="preserve">, now the #1 category over tile. </w:t>
      </w:r>
    </w:p>
    <w:p w14:paraId="5E49822F" w14:textId="4E69AA51" w:rsidR="007D7F8E" w:rsidRPr="005A53F1" w:rsidRDefault="00EE0F23" w:rsidP="00C1402B">
      <w:pPr>
        <w:pBdr>
          <w:bottom w:val="single" w:sz="4" w:space="1" w:color="auto"/>
        </w:pBdr>
        <w:spacing w:before="160" w:after="1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New store economics will continue to get bett</w:t>
      </w:r>
      <w:r w:rsidR="005A53F1">
        <w:rPr>
          <w:b/>
          <w:bCs/>
          <w:color w:val="000000" w:themeColor="text1"/>
          <w:sz w:val="20"/>
          <w:szCs w:val="20"/>
        </w:rPr>
        <w:t>er</w:t>
      </w:r>
      <w:r w:rsidR="00A22DDB">
        <w:rPr>
          <w:b/>
          <w:bCs/>
          <w:color w:val="000000" w:themeColor="text1"/>
          <w:sz w:val="20"/>
          <w:szCs w:val="20"/>
        </w:rPr>
        <w:t xml:space="preserve"> and enterprise margins will be much better 3</w:t>
      </w:r>
      <w:r w:rsidR="00D663D2">
        <w:rPr>
          <w:b/>
          <w:bCs/>
          <w:color w:val="000000" w:themeColor="text1"/>
          <w:sz w:val="20"/>
          <w:szCs w:val="20"/>
        </w:rPr>
        <w:t>+</w:t>
      </w:r>
      <w:r w:rsidR="00A22DDB">
        <w:rPr>
          <w:b/>
          <w:bCs/>
          <w:color w:val="000000" w:themeColor="text1"/>
          <w:sz w:val="20"/>
          <w:szCs w:val="20"/>
        </w:rPr>
        <w:t xml:space="preserve"> years from now</w:t>
      </w:r>
      <w:r w:rsidR="005A53F1">
        <w:rPr>
          <w:b/>
          <w:bCs/>
          <w:color w:val="000000" w:themeColor="text1"/>
          <w:sz w:val="20"/>
          <w:szCs w:val="20"/>
        </w:rPr>
        <w:t xml:space="preserve">. </w:t>
      </w:r>
      <w:r w:rsidR="005A53F1">
        <w:rPr>
          <w:color w:val="000000" w:themeColor="text1"/>
          <w:sz w:val="20"/>
          <w:szCs w:val="20"/>
        </w:rPr>
        <w:t>Year 1 sales average $14-16 million</w:t>
      </w:r>
      <w:r w:rsidR="004D00A0">
        <w:rPr>
          <w:color w:val="000000" w:themeColor="text1"/>
          <w:sz w:val="20"/>
          <w:szCs w:val="20"/>
        </w:rPr>
        <w:t xml:space="preserve">, 8-10 million total net investment, 2.5 million in four-wall EBITDA, </w:t>
      </w:r>
      <w:r w:rsidR="00321FA4">
        <w:rPr>
          <w:color w:val="000000" w:themeColor="text1"/>
          <w:sz w:val="20"/>
          <w:szCs w:val="20"/>
        </w:rPr>
        <w:t>and have a p</w:t>
      </w:r>
      <w:r w:rsidR="005C1E94">
        <w:rPr>
          <w:color w:val="000000" w:themeColor="text1"/>
          <w:sz w:val="20"/>
          <w:szCs w:val="20"/>
        </w:rPr>
        <w:t>ayback of 2.5-</w:t>
      </w:r>
      <w:r w:rsidR="0094279F">
        <w:rPr>
          <w:color w:val="000000" w:themeColor="text1"/>
          <w:sz w:val="20"/>
          <w:szCs w:val="20"/>
        </w:rPr>
        <w:t>3</w:t>
      </w:r>
      <w:r w:rsidR="005C1E94">
        <w:rPr>
          <w:color w:val="000000" w:themeColor="text1"/>
          <w:sz w:val="20"/>
          <w:szCs w:val="20"/>
        </w:rPr>
        <w:t xml:space="preserve">.5 years. </w:t>
      </w:r>
      <w:r w:rsidR="00D457EC">
        <w:rPr>
          <w:color w:val="000000" w:themeColor="text1"/>
          <w:sz w:val="20"/>
          <w:szCs w:val="20"/>
        </w:rPr>
        <w:t xml:space="preserve">In the same period from 2011-2015, average sales were 9 million, </w:t>
      </w:r>
      <w:r w:rsidR="00DD22FB">
        <w:rPr>
          <w:color w:val="000000" w:themeColor="text1"/>
          <w:sz w:val="20"/>
          <w:szCs w:val="20"/>
        </w:rPr>
        <w:t xml:space="preserve">3.5 million total net investment and $900,000 in </w:t>
      </w:r>
      <w:r w:rsidR="00BC38A4">
        <w:rPr>
          <w:color w:val="000000" w:themeColor="text1"/>
          <w:sz w:val="20"/>
          <w:szCs w:val="20"/>
        </w:rPr>
        <w:t xml:space="preserve">four-wall </w:t>
      </w:r>
      <w:r w:rsidR="00DD22FB">
        <w:rPr>
          <w:color w:val="000000" w:themeColor="text1"/>
          <w:sz w:val="20"/>
          <w:szCs w:val="20"/>
        </w:rPr>
        <w:t xml:space="preserve">EBITDA. </w:t>
      </w:r>
      <w:r w:rsidR="00F63C5E">
        <w:rPr>
          <w:color w:val="000000" w:themeColor="text1"/>
          <w:sz w:val="20"/>
          <w:szCs w:val="20"/>
        </w:rPr>
        <w:t xml:space="preserve">The average FND store is 2.2 years old. In year 5, </w:t>
      </w:r>
      <w:r w:rsidR="00B24456">
        <w:rPr>
          <w:color w:val="000000" w:themeColor="text1"/>
          <w:sz w:val="20"/>
          <w:szCs w:val="20"/>
        </w:rPr>
        <w:t xml:space="preserve">a store will have $26-27 million in revenues, </w:t>
      </w:r>
      <w:r w:rsidR="00E55F79">
        <w:rPr>
          <w:color w:val="000000" w:themeColor="text1"/>
          <w:sz w:val="20"/>
          <w:szCs w:val="20"/>
        </w:rPr>
        <w:t>a 25% 2-year ROI, 50% third year cash-on-cash return, and $6-7 million in four-wall EBITDA</w:t>
      </w:r>
      <w:r w:rsidR="0075685B">
        <w:rPr>
          <w:color w:val="000000" w:themeColor="text1"/>
          <w:sz w:val="20"/>
          <w:szCs w:val="20"/>
        </w:rPr>
        <w:t xml:space="preserve">, implying a mature 24.5% </w:t>
      </w:r>
      <w:r w:rsidR="00320785">
        <w:rPr>
          <w:color w:val="000000" w:themeColor="text1"/>
          <w:sz w:val="20"/>
          <w:szCs w:val="20"/>
        </w:rPr>
        <w:t xml:space="preserve">store </w:t>
      </w:r>
      <w:r w:rsidR="0075685B">
        <w:rPr>
          <w:color w:val="000000" w:themeColor="text1"/>
          <w:sz w:val="20"/>
          <w:szCs w:val="20"/>
        </w:rPr>
        <w:t>EBITDA margin</w:t>
      </w:r>
      <w:r w:rsidR="00320785">
        <w:rPr>
          <w:color w:val="000000" w:themeColor="text1"/>
          <w:sz w:val="20"/>
          <w:szCs w:val="20"/>
        </w:rPr>
        <w:t xml:space="preserve"> ($6.5/$24.5)</w:t>
      </w:r>
      <w:r w:rsidR="00E55F79">
        <w:rPr>
          <w:color w:val="000000" w:themeColor="text1"/>
          <w:sz w:val="20"/>
          <w:szCs w:val="20"/>
        </w:rPr>
        <w:t>.</w:t>
      </w:r>
      <w:r w:rsidR="006F6A91">
        <w:rPr>
          <w:color w:val="000000" w:themeColor="text1"/>
          <w:sz w:val="20"/>
          <w:szCs w:val="20"/>
        </w:rPr>
        <w:t xml:space="preserve"> </w:t>
      </w:r>
      <w:r w:rsidR="006F6A91" w:rsidRPr="000C1D61">
        <w:rPr>
          <w:b/>
          <w:bCs/>
          <w:color w:val="000000" w:themeColor="text1"/>
          <w:sz w:val="20"/>
          <w:szCs w:val="20"/>
        </w:rPr>
        <w:t xml:space="preserve">However, management is </w:t>
      </w:r>
      <w:r w:rsidR="000C1D61">
        <w:rPr>
          <w:b/>
          <w:bCs/>
          <w:color w:val="000000" w:themeColor="text1"/>
          <w:sz w:val="20"/>
          <w:szCs w:val="20"/>
        </w:rPr>
        <w:t xml:space="preserve">chronically </w:t>
      </w:r>
      <w:r w:rsidR="006F6A91" w:rsidRPr="000C1D61">
        <w:rPr>
          <w:b/>
          <w:bCs/>
          <w:color w:val="000000" w:themeColor="text1"/>
          <w:sz w:val="20"/>
          <w:szCs w:val="20"/>
        </w:rPr>
        <w:t>understating Floor &amp; Décor’s long-term store margin potential</w:t>
      </w:r>
      <w:r w:rsidR="000C1D61">
        <w:rPr>
          <w:b/>
          <w:bCs/>
          <w:color w:val="000000" w:themeColor="text1"/>
          <w:sz w:val="20"/>
          <w:szCs w:val="20"/>
        </w:rPr>
        <w:t xml:space="preserve"> due to its owned and operated real-estate strategy</w:t>
      </w:r>
      <w:r w:rsidR="006F6A91" w:rsidRPr="000C1D61">
        <w:rPr>
          <w:b/>
          <w:bCs/>
          <w:color w:val="000000" w:themeColor="text1"/>
          <w:sz w:val="20"/>
          <w:szCs w:val="20"/>
        </w:rPr>
        <w:t>.</w:t>
      </w:r>
      <w:r w:rsidR="006F6A91">
        <w:rPr>
          <w:color w:val="000000" w:themeColor="text1"/>
          <w:sz w:val="20"/>
          <w:szCs w:val="20"/>
        </w:rPr>
        <w:t xml:space="preserve"> Because</w:t>
      </w:r>
      <w:r w:rsidR="000C1D61">
        <w:rPr>
          <w:color w:val="000000" w:themeColor="text1"/>
          <w:sz w:val="20"/>
          <w:szCs w:val="20"/>
        </w:rPr>
        <w:t xml:space="preserve"> </w:t>
      </w:r>
      <w:r w:rsidR="00144ADA">
        <w:rPr>
          <w:color w:val="000000" w:themeColor="text1"/>
          <w:sz w:val="20"/>
          <w:szCs w:val="20"/>
        </w:rPr>
        <w:t xml:space="preserve">FND can self-fund and source development of its stores, it will save </w:t>
      </w:r>
      <w:r w:rsidR="00C739EA">
        <w:rPr>
          <w:color w:val="000000" w:themeColor="text1"/>
          <w:sz w:val="20"/>
          <w:szCs w:val="20"/>
        </w:rPr>
        <w:t>$7-10 million</w:t>
      </w:r>
      <w:r w:rsidR="00E55F79">
        <w:rPr>
          <w:color w:val="000000" w:themeColor="text1"/>
          <w:sz w:val="20"/>
          <w:szCs w:val="20"/>
        </w:rPr>
        <w:t xml:space="preserve"> </w:t>
      </w:r>
      <w:r w:rsidR="00C739EA">
        <w:rPr>
          <w:color w:val="000000" w:themeColor="text1"/>
          <w:sz w:val="20"/>
          <w:szCs w:val="20"/>
        </w:rPr>
        <w:t>per year in rent over the next 10 years</w:t>
      </w:r>
      <w:r w:rsidR="00F65C92">
        <w:rPr>
          <w:color w:val="000000" w:themeColor="text1"/>
          <w:sz w:val="20"/>
          <w:szCs w:val="20"/>
        </w:rPr>
        <w:t>,</w:t>
      </w:r>
      <w:r w:rsidR="00161A39">
        <w:rPr>
          <w:color w:val="000000" w:themeColor="text1"/>
          <w:sz w:val="20"/>
          <w:szCs w:val="20"/>
        </w:rPr>
        <w:t xml:space="preserve"> </w:t>
      </w:r>
      <w:r w:rsidR="00F65C92">
        <w:rPr>
          <w:color w:val="000000" w:themeColor="text1"/>
          <w:sz w:val="20"/>
          <w:szCs w:val="20"/>
        </w:rPr>
        <w:t xml:space="preserve">representing a </w:t>
      </w:r>
      <w:r w:rsidR="008F0373">
        <w:rPr>
          <w:color w:val="000000" w:themeColor="text1"/>
          <w:sz w:val="20"/>
          <w:szCs w:val="20"/>
        </w:rPr>
        <w:t xml:space="preserve">15% </w:t>
      </w:r>
      <w:r w:rsidR="00F65C92">
        <w:rPr>
          <w:color w:val="000000" w:themeColor="text1"/>
          <w:sz w:val="20"/>
          <w:szCs w:val="20"/>
        </w:rPr>
        <w:t xml:space="preserve">discount to general </w:t>
      </w:r>
      <w:r w:rsidR="008F0373">
        <w:rPr>
          <w:color w:val="000000" w:themeColor="text1"/>
          <w:sz w:val="20"/>
          <w:szCs w:val="20"/>
        </w:rPr>
        <w:t>contractor</w:t>
      </w:r>
      <w:r w:rsidR="00F65C92">
        <w:rPr>
          <w:color w:val="000000" w:themeColor="text1"/>
          <w:sz w:val="20"/>
          <w:szCs w:val="20"/>
        </w:rPr>
        <w:t>s in less time, and will yield 30% energy savings</w:t>
      </w:r>
      <w:r w:rsidR="00C739EA">
        <w:rPr>
          <w:color w:val="000000" w:themeColor="text1"/>
          <w:sz w:val="20"/>
          <w:szCs w:val="20"/>
        </w:rPr>
        <w:t xml:space="preserve">. </w:t>
      </w:r>
      <w:r w:rsidR="00865EDE">
        <w:rPr>
          <w:color w:val="000000" w:themeColor="text1"/>
          <w:sz w:val="20"/>
          <w:szCs w:val="20"/>
        </w:rPr>
        <w:t xml:space="preserve">The store financials cited </w:t>
      </w:r>
      <w:r w:rsidR="00C739EA">
        <w:rPr>
          <w:color w:val="000000" w:themeColor="text1"/>
          <w:sz w:val="20"/>
          <w:szCs w:val="20"/>
        </w:rPr>
        <w:t>are taken as average</w:t>
      </w:r>
      <w:r w:rsidR="00865EDE">
        <w:rPr>
          <w:color w:val="000000" w:themeColor="text1"/>
          <w:sz w:val="20"/>
          <w:szCs w:val="20"/>
        </w:rPr>
        <w:t xml:space="preserve">s of previous years; they do not </w:t>
      </w:r>
      <w:r w:rsidR="009C2A5C">
        <w:rPr>
          <w:color w:val="000000" w:themeColor="text1"/>
          <w:sz w:val="20"/>
          <w:szCs w:val="20"/>
        </w:rPr>
        <w:t>consider</w:t>
      </w:r>
      <w:r w:rsidR="00865EDE">
        <w:rPr>
          <w:color w:val="000000" w:themeColor="text1"/>
          <w:sz w:val="20"/>
          <w:szCs w:val="20"/>
        </w:rPr>
        <w:t xml:space="preserve"> savings from </w:t>
      </w:r>
      <w:r w:rsidR="00431E7A">
        <w:rPr>
          <w:color w:val="000000" w:themeColor="text1"/>
          <w:sz w:val="20"/>
          <w:szCs w:val="20"/>
        </w:rPr>
        <w:t>owned-and-operated store models</w:t>
      </w:r>
      <w:r w:rsidR="009C2A5C">
        <w:rPr>
          <w:color w:val="000000" w:themeColor="text1"/>
          <w:sz w:val="20"/>
          <w:szCs w:val="20"/>
        </w:rPr>
        <w:t xml:space="preserve"> which </w:t>
      </w:r>
      <w:r w:rsidR="009C2A5C">
        <w:rPr>
          <w:i/>
          <w:iCs/>
          <w:color w:val="000000" w:themeColor="text1"/>
          <w:sz w:val="20"/>
          <w:szCs w:val="20"/>
        </w:rPr>
        <w:t xml:space="preserve">only stand at 3 owned stores and management </w:t>
      </w:r>
      <w:r w:rsidR="005A0410">
        <w:rPr>
          <w:i/>
          <w:iCs/>
          <w:color w:val="000000" w:themeColor="text1"/>
          <w:sz w:val="20"/>
          <w:szCs w:val="20"/>
        </w:rPr>
        <w:t>has provided guidance that they will own 7 more</w:t>
      </w:r>
      <w:r w:rsidR="00431E7A">
        <w:rPr>
          <w:color w:val="000000" w:themeColor="text1"/>
          <w:sz w:val="20"/>
          <w:szCs w:val="20"/>
        </w:rPr>
        <w:t xml:space="preserve">. </w:t>
      </w:r>
      <w:r w:rsidR="00C739EA">
        <w:rPr>
          <w:color w:val="000000" w:themeColor="text1"/>
          <w:sz w:val="20"/>
          <w:szCs w:val="20"/>
        </w:rPr>
        <w:t xml:space="preserve"> </w:t>
      </w:r>
      <w:r w:rsidR="00E55F79">
        <w:rPr>
          <w:color w:val="000000" w:themeColor="text1"/>
          <w:sz w:val="20"/>
          <w:szCs w:val="20"/>
        </w:rPr>
        <w:t xml:space="preserve">Currently, </w:t>
      </w:r>
      <w:r w:rsidR="001D249E">
        <w:rPr>
          <w:color w:val="000000" w:themeColor="text1"/>
          <w:sz w:val="20"/>
          <w:szCs w:val="20"/>
        </w:rPr>
        <w:t xml:space="preserve">Floor and Décor store growth is comping at 20% year-over-year; once </w:t>
      </w:r>
      <w:r w:rsidR="00660ECC">
        <w:rPr>
          <w:color w:val="000000" w:themeColor="text1"/>
          <w:sz w:val="20"/>
          <w:szCs w:val="20"/>
        </w:rPr>
        <w:t xml:space="preserve">long-term targets are met (I predict they will continue to be revised upwards) </w:t>
      </w:r>
      <w:r w:rsidR="000F3348">
        <w:rPr>
          <w:color w:val="000000" w:themeColor="text1"/>
          <w:sz w:val="20"/>
          <w:szCs w:val="20"/>
        </w:rPr>
        <w:t xml:space="preserve">and store growth decelerates, Floor &amp; Décor will see improved EBITDA </w:t>
      </w:r>
      <w:r w:rsidR="009F07A0">
        <w:rPr>
          <w:color w:val="000000" w:themeColor="text1"/>
          <w:sz w:val="20"/>
          <w:szCs w:val="20"/>
        </w:rPr>
        <w:t xml:space="preserve">margins </w:t>
      </w:r>
      <w:r w:rsidR="00933A55">
        <w:rPr>
          <w:color w:val="000000" w:themeColor="text1"/>
          <w:sz w:val="20"/>
          <w:szCs w:val="20"/>
        </w:rPr>
        <w:t>in the</w:t>
      </w:r>
      <w:r w:rsidR="009F07A0">
        <w:rPr>
          <w:color w:val="000000" w:themeColor="text1"/>
          <w:sz w:val="20"/>
          <w:szCs w:val="20"/>
        </w:rPr>
        <w:t xml:space="preserve"> </w:t>
      </w:r>
      <w:r w:rsidR="00933A55">
        <w:rPr>
          <w:color w:val="000000" w:themeColor="text1"/>
          <w:sz w:val="20"/>
          <w:szCs w:val="20"/>
        </w:rPr>
        <w:t>24.5% range</w:t>
      </w:r>
      <w:r w:rsidR="0089174A">
        <w:rPr>
          <w:color w:val="000000" w:themeColor="text1"/>
          <w:sz w:val="20"/>
          <w:szCs w:val="20"/>
        </w:rPr>
        <w:t xml:space="preserve"> after it leverages its </w:t>
      </w:r>
      <w:r w:rsidR="00A26789">
        <w:rPr>
          <w:color w:val="000000" w:themeColor="text1"/>
          <w:sz w:val="20"/>
          <w:szCs w:val="20"/>
        </w:rPr>
        <w:t>SG&amp;A, G&amp;A and owned &amp; operated store savings</w:t>
      </w:r>
      <w:r w:rsidR="00FF325A">
        <w:rPr>
          <w:color w:val="000000" w:themeColor="text1"/>
          <w:sz w:val="20"/>
          <w:szCs w:val="20"/>
        </w:rPr>
        <w:t xml:space="preserve">. It is spending 10-25% of CapEx on DCs which will yield well above 20% ROIC. </w:t>
      </w:r>
      <w:r w:rsidR="00AD7493">
        <w:rPr>
          <w:color w:val="000000" w:themeColor="text1"/>
          <w:sz w:val="20"/>
          <w:szCs w:val="20"/>
        </w:rPr>
        <w:t>Management sees gross margin operating leverage in ’23 and ’24, as 225-</w:t>
      </w:r>
      <w:r w:rsidR="000D69F5">
        <w:rPr>
          <w:color w:val="000000" w:themeColor="text1"/>
          <w:sz w:val="20"/>
          <w:szCs w:val="20"/>
        </w:rPr>
        <w:t>250 million</w:t>
      </w:r>
      <w:r w:rsidR="00AD7493">
        <w:rPr>
          <w:color w:val="000000" w:themeColor="text1"/>
          <w:sz w:val="20"/>
          <w:szCs w:val="20"/>
        </w:rPr>
        <w:t xml:space="preserve"> fixed payroll, marketing, rent, </w:t>
      </w:r>
      <w:r w:rsidR="000D69F5">
        <w:rPr>
          <w:color w:val="000000" w:themeColor="text1"/>
          <w:sz w:val="20"/>
          <w:szCs w:val="20"/>
        </w:rPr>
        <w:t>depreciation</w:t>
      </w:r>
      <w:r w:rsidR="00AD7493">
        <w:rPr>
          <w:color w:val="000000" w:themeColor="text1"/>
          <w:sz w:val="20"/>
          <w:szCs w:val="20"/>
        </w:rPr>
        <w:t xml:space="preserve"> is levera</w:t>
      </w:r>
      <w:r w:rsidR="000D69F5">
        <w:rPr>
          <w:color w:val="000000" w:themeColor="text1"/>
          <w:sz w:val="20"/>
          <w:szCs w:val="20"/>
        </w:rPr>
        <w:t>ged.</w:t>
      </w:r>
      <w:r w:rsidR="00FF325A">
        <w:rPr>
          <w:color w:val="000000" w:themeColor="text1"/>
          <w:sz w:val="20"/>
          <w:szCs w:val="20"/>
        </w:rPr>
        <w:t xml:space="preserve"> </w:t>
      </w:r>
      <w:r w:rsidR="00933A55">
        <w:rPr>
          <w:color w:val="000000" w:themeColor="text1"/>
          <w:sz w:val="20"/>
          <w:szCs w:val="20"/>
        </w:rPr>
        <w:t xml:space="preserve"> </w:t>
      </w:r>
      <w:r w:rsidR="00FF325A">
        <w:rPr>
          <w:color w:val="000000" w:themeColor="text1"/>
          <w:sz w:val="20"/>
          <w:szCs w:val="20"/>
        </w:rPr>
        <w:t>T</w:t>
      </w:r>
      <w:r w:rsidR="0089174A">
        <w:rPr>
          <w:color w:val="000000" w:themeColor="text1"/>
          <w:sz w:val="20"/>
          <w:szCs w:val="20"/>
        </w:rPr>
        <w:t xml:space="preserve">his is compared with current EBITDA margins at low-mid teens (&lt;15%). </w:t>
      </w:r>
    </w:p>
    <w:p w14:paraId="1BE375A3" w14:textId="77777777" w:rsidR="007E14A9" w:rsidRDefault="007E14A9" w:rsidP="00C1402B">
      <w:pPr>
        <w:pBdr>
          <w:bottom w:val="single" w:sz="4" w:space="1" w:color="auto"/>
        </w:pBdr>
        <w:spacing w:before="160" w:after="120"/>
        <w:rPr>
          <w:color w:val="000000" w:themeColor="text1"/>
          <w:sz w:val="20"/>
          <w:szCs w:val="20"/>
        </w:rPr>
      </w:pPr>
    </w:p>
    <w:p w14:paraId="59DD07B1" w14:textId="6C759CD3" w:rsidR="00C1402B" w:rsidRPr="006E7F7E" w:rsidRDefault="007C2E9F" w:rsidP="00C1402B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 w:rsidRPr="007C2E9F">
        <w:rPr>
          <w:color w:val="000000" w:themeColor="text1"/>
          <w:sz w:val="20"/>
          <w:szCs w:val="20"/>
        </w:rPr>
        <w:t xml:space="preserve"> </w:t>
      </w:r>
      <w:r w:rsidR="00C1402B" w:rsidRPr="006E7F7E">
        <w:rPr>
          <w:b/>
          <w:color w:val="000000" w:themeColor="text1"/>
          <w:sz w:val="20"/>
          <w:szCs w:val="20"/>
        </w:rPr>
        <w:t>Drivers</w:t>
      </w:r>
    </w:p>
    <w:p w14:paraId="52DD3D86" w14:textId="26E54EEA" w:rsidR="004F5B3B" w:rsidRPr="00026426" w:rsidRDefault="00BA304A" w:rsidP="004F5B3B">
      <w:pPr>
        <w:jc w:val="both"/>
        <w:rPr>
          <w:color w:val="000000" w:themeColor="text1"/>
          <w:sz w:val="20"/>
          <w:szCs w:val="20"/>
        </w:rPr>
      </w:pPr>
      <w:r w:rsidRPr="000D732D">
        <w:rPr>
          <w:b/>
          <w:bCs/>
          <w:color w:val="000000" w:themeColor="text1"/>
          <w:sz w:val="20"/>
          <w:szCs w:val="20"/>
        </w:rPr>
        <w:t>FND is poised to benefit from home spending</w:t>
      </w:r>
      <w:r>
        <w:rPr>
          <w:b/>
          <w:bCs/>
          <w:color w:val="000000" w:themeColor="text1"/>
          <w:sz w:val="20"/>
          <w:szCs w:val="20"/>
        </w:rPr>
        <w:t xml:space="preserve"> and construction</w:t>
      </w:r>
      <w:r w:rsidRPr="000D732D">
        <w:rPr>
          <w:b/>
          <w:bCs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60% of FND’s customer base consists of homeowners with a median income of $96,000; they have been living in their homes for 7 years and have an average home value of $300,000. In addition, over half of their homes are build prior to the 1980s</w:t>
      </w:r>
      <w:r w:rsidR="000531B2">
        <w:rPr>
          <w:color w:val="000000" w:themeColor="text1"/>
          <w:sz w:val="20"/>
          <w:szCs w:val="20"/>
        </w:rPr>
        <w:t>. With</w:t>
      </w:r>
      <w:r w:rsidR="005B15E9">
        <w:rPr>
          <w:color w:val="000000" w:themeColor="text1"/>
          <w:sz w:val="20"/>
          <w:szCs w:val="20"/>
        </w:rPr>
        <w:t xml:space="preserve"> wealth at all-time highs, consumers are opting to upgrade their homes and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lastRenderedPageBreak/>
        <w:t xml:space="preserve">are approaching a replacement cycle in the near-term. </w:t>
      </w:r>
      <w:r w:rsidR="004F5B3B" w:rsidRPr="004F5B3B">
        <w:rPr>
          <w:color w:val="000000" w:themeColor="text1"/>
          <w:sz w:val="20"/>
          <w:szCs w:val="20"/>
        </w:rPr>
        <w:t>As a result, purchases are trending towards “better” and “best” which drive average tickets higher.</w:t>
      </w:r>
      <w:r w:rsidR="004F5B3B">
        <w:rPr>
          <w:b/>
          <w:bCs/>
          <w:color w:val="000000" w:themeColor="text1"/>
          <w:sz w:val="20"/>
          <w:szCs w:val="20"/>
        </w:rPr>
        <w:t xml:space="preserve"> </w:t>
      </w:r>
      <w:r w:rsidR="004F5B3B">
        <w:rPr>
          <w:color w:val="000000" w:themeColor="text1"/>
          <w:sz w:val="20"/>
          <w:szCs w:val="20"/>
        </w:rPr>
        <w:t>On a percentage basis, there is a big step-up in price</w:t>
      </w:r>
      <w:r w:rsidR="00CE22C0">
        <w:rPr>
          <w:color w:val="000000" w:themeColor="text1"/>
          <w:sz w:val="20"/>
          <w:szCs w:val="20"/>
        </w:rPr>
        <w:t>; since consumers are simply remodeling a small room (ie, bathroom), nominal price step-ups are not as big.</w:t>
      </w:r>
    </w:p>
    <w:p w14:paraId="325F4F52" w14:textId="0C8E1E91" w:rsidR="00BA304A" w:rsidRDefault="00BA304A" w:rsidP="00BA304A">
      <w:pPr>
        <w:spacing w:before="160" w:after="120"/>
        <w:rPr>
          <w:color w:val="000000" w:themeColor="text1"/>
          <w:sz w:val="20"/>
          <w:szCs w:val="20"/>
        </w:rPr>
      </w:pPr>
    </w:p>
    <w:p w14:paraId="48D66155" w14:textId="5DA890D4" w:rsidR="00E476CE" w:rsidRDefault="001742C6" w:rsidP="00C1402B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Adjacent Categories</w:t>
      </w:r>
      <w:r w:rsidR="00DC738A">
        <w:rPr>
          <w:b/>
          <w:bCs/>
          <w:color w:val="000000" w:themeColor="text1"/>
          <w:sz w:val="20"/>
          <w:szCs w:val="20"/>
        </w:rPr>
        <w:t xml:space="preserve"> are estimated to be </w:t>
      </w:r>
      <w:r w:rsidR="00C56D64">
        <w:rPr>
          <w:b/>
          <w:bCs/>
          <w:color w:val="000000" w:themeColor="text1"/>
          <w:sz w:val="20"/>
          <w:szCs w:val="20"/>
        </w:rPr>
        <w:t>an $8-13 billion TAM opportunity.</w:t>
      </w:r>
      <w:r w:rsidR="006B068E">
        <w:rPr>
          <w:b/>
          <w:bCs/>
          <w:color w:val="000000" w:themeColor="text1"/>
          <w:sz w:val="20"/>
          <w:szCs w:val="20"/>
        </w:rPr>
        <w:t xml:space="preserve"> </w:t>
      </w:r>
      <w:r w:rsidR="006B068E">
        <w:rPr>
          <w:color w:val="000000" w:themeColor="text1"/>
          <w:sz w:val="20"/>
          <w:szCs w:val="20"/>
        </w:rPr>
        <w:t xml:space="preserve">Installation materials and accessories are a significant incremental opportunity for Floor &amp; Décor as </w:t>
      </w:r>
      <w:r w:rsidR="007B052A">
        <w:rPr>
          <w:color w:val="000000" w:themeColor="text1"/>
          <w:sz w:val="20"/>
          <w:szCs w:val="20"/>
        </w:rPr>
        <w:t>sales within the category are driven by core hard surface sales.</w:t>
      </w:r>
      <w:r w:rsidR="00B80591">
        <w:rPr>
          <w:color w:val="000000" w:themeColor="text1"/>
          <w:sz w:val="20"/>
          <w:szCs w:val="20"/>
        </w:rPr>
        <w:t xml:space="preserve"> They include grout, caulk &amp; silicone sealants, sealers &amp; cleaners, moldings, adhesives,</w:t>
      </w:r>
      <w:r w:rsidR="008F0DC3">
        <w:rPr>
          <w:color w:val="000000" w:themeColor="text1"/>
          <w:sz w:val="20"/>
          <w:szCs w:val="20"/>
        </w:rPr>
        <w:t xml:space="preserve"> mortor and thinsets, vanities, shower accessories, lighting, mirrors, countertops, and installation tools such as </w:t>
      </w:r>
      <w:r w:rsidR="000E6A13">
        <w:rPr>
          <w:color w:val="000000" w:themeColor="text1"/>
          <w:sz w:val="20"/>
          <w:szCs w:val="20"/>
        </w:rPr>
        <w:t>saws and mallets.</w:t>
      </w:r>
      <w:r w:rsidR="00C56D64">
        <w:rPr>
          <w:b/>
          <w:bCs/>
          <w:color w:val="000000" w:themeColor="text1"/>
          <w:sz w:val="20"/>
          <w:szCs w:val="20"/>
        </w:rPr>
        <w:t xml:space="preserve"> </w:t>
      </w:r>
      <w:r w:rsidR="000935CB">
        <w:rPr>
          <w:color w:val="000000" w:themeColor="text1"/>
          <w:sz w:val="20"/>
          <w:szCs w:val="20"/>
        </w:rPr>
        <w:t>Adjace</w:t>
      </w:r>
      <w:r w:rsidR="004327F5">
        <w:rPr>
          <w:color w:val="000000" w:themeColor="text1"/>
          <w:sz w:val="20"/>
          <w:szCs w:val="20"/>
        </w:rPr>
        <w:t xml:space="preserve">nt categories were 2% of sales in FY’21 or around $68.67M. </w:t>
      </w:r>
      <w:r w:rsidR="002B4FE4">
        <w:rPr>
          <w:color w:val="000000" w:themeColor="text1"/>
          <w:sz w:val="20"/>
          <w:szCs w:val="20"/>
        </w:rPr>
        <w:t xml:space="preserve">Management </w:t>
      </w:r>
      <w:r w:rsidR="000E6A13">
        <w:rPr>
          <w:color w:val="000000" w:themeColor="text1"/>
          <w:sz w:val="20"/>
          <w:szCs w:val="20"/>
        </w:rPr>
        <w:t xml:space="preserve">is aiming for 5% of sales going forward and at its targeted 33% market share, adjacent categories will </w:t>
      </w:r>
      <w:r w:rsidR="002C18B8">
        <w:rPr>
          <w:color w:val="000000" w:themeColor="text1"/>
          <w:sz w:val="20"/>
          <w:szCs w:val="20"/>
        </w:rPr>
        <w:t>bring in</w:t>
      </w:r>
      <w:r w:rsidR="000E6A13">
        <w:rPr>
          <w:color w:val="000000" w:themeColor="text1"/>
          <w:sz w:val="20"/>
          <w:szCs w:val="20"/>
        </w:rPr>
        <w:t xml:space="preserve"> ~$500M </w:t>
      </w:r>
      <w:r w:rsidR="002C18B8">
        <w:rPr>
          <w:color w:val="000000" w:themeColor="text1"/>
          <w:sz w:val="20"/>
          <w:szCs w:val="20"/>
        </w:rPr>
        <w:t>in revenues.</w:t>
      </w:r>
    </w:p>
    <w:p w14:paraId="26C90915" w14:textId="52871D0C" w:rsidR="002C18B8" w:rsidRDefault="002C18B8" w:rsidP="00C1402B">
      <w:pPr>
        <w:jc w:val="both"/>
        <w:rPr>
          <w:color w:val="000000" w:themeColor="text1"/>
          <w:sz w:val="20"/>
          <w:szCs w:val="20"/>
        </w:rPr>
      </w:pPr>
    </w:p>
    <w:p w14:paraId="3FAA086B" w14:textId="67600214" w:rsidR="008B1368" w:rsidRPr="00CE22C0" w:rsidRDefault="00E65CE9" w:rsidP="00C1402B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The commercial TAM opportunity, valued at $17B, is even more fragmented than the residential market according to management. </w:t>
      </w:r>
      <w:r w:rsidR="00BE4D64">
        <w:rPr>
          <w:color w:val="000000" w:themeColor="text1"/>
          <w:sz w:val="20"/>
          <w:szCs w:val="20"/>
        </w:rPr>
        <w:t>Floor and Décor entered the market with the acquisition of Spartan Surfaces</w:t>
      </w:r>
      <w:r w:rsidR="00D270C7">
        <w:rPr>
          <w:color w:val="000000" w:themeColor="text1"/>
          <w:sz w:val="20"/>
          <w:szCs w:val="20"/>
        </w:rPr>
        <w:t xml:space="preserve">. 60% of the commercial market is </w:t>
      </w:r>
      <w:r w:rsidR="00035E88">
        <w:rPr>
          <w:color w:val="000000" w:themeColor="text1"/>
          <w:sz w:val="20"/>
          <w:szCs w:val="20"/>
        </w:rPr>
        <w:t xml:space="preserve">driven by architecture &amp; designer (A&amp;D) firms, general </w:t>
      </w:r>
      <w:r w:rsidR="00461BEF">
        <w:rPr>
          <w:color w:val="000000" w:themeColor="text1"/>
          <w:sz w:val="20"/>
          <w:szCs w:val="20"/>
        </w:rPr>
        <w:t>contractors</w:t>
      </w:r>
      <w:r w:rsidR="00035E88">
        <w:rPr>
          <w:color w:val="000000" w:themeColor="text1"/>
          <w:sz w:val="20"/>
          <w:szCs w:val="20"/>
        </w:rPr>
        <w:t xml:space="preserve">, building owners and developers. The </w:t>
      </w:r>
      <w:r w:rsidR="007331A7">
        <w:rPr>
          <w:color w:val="000000" w:themeColor="text1"/>
          <w:sz w:val="20"/>
          <w:szCs w:val="20"/>
        </w:rPr>
        <w:t xml:space="preserve">remaining 40% is “Main Street”- small business owners, builders, downstream pros, and contractors. </w:t>
      </w:r>
      <w:r>
        <w:rPr>
          <w:color w:val="000000" w:themeColor="text1"/>
          <w:sz w:val="20"/>
          <w:szCs w:val="20"/>
        </w:rPr>
        <w:t xml:space="preserve"> </w:t>
      </w:r>
      <w:r w:rsidR="00FF2810">
        <w:rPr>
          <w:color w:val="000000" w:themeColor="text1"/>
          <w:sz w:val="20"/>
          <w:szCs w:val="20"/>
        </w:rPr>
        <w:t>The top 60%</w:t>
      </w:r>
      <w:r w:rsidR="008427E1">
        <w:rPr>
          <w:color w:val="000000" w:themeColor="text1"/>
          <w:sz w:val="20"/>
          <w:szCs w:val="20"/>
        </w:rPr>
        <w:t xml:space="preserve"> request a “hard specifier”, where an architecture designer</w:t>
      </w:r>
      <w:r w:rsidR="005E5064">
        <w:rPr>
          <w:color w:val="000000" w:themeColor="text1"/>
          <w:sz w:val="20"/>
          <w:szCs w:val="20"/>
        </w:rPr>
        <w:t xml:space="preserve"> has specific requirements t</w:t>
      </w:r>
      <w:r w:rsidR="00C11A69">
        <w:rPr>
          <w:color w:val="000000" w:themeColor="text1"/>
          <w:sz w:val="20"/>
          <w:szCs w:val="20"/>
        </w:rPr>
        <w:t xml:space="preserve">hat Spartan would bring a flooring solution for. </w:t>
      </w:r>
      <w:r w:rsidR="00CE64CA">
        <w:rPr>
          <w:color w:val="000000" w:themeColor="text1"/>
          <w:sz w:val="20"/>
          <w:szCs w:val="20"/>
        </w:rPr>
        <w:t xml:space="preserve">The remaining 40% are not as strict and management expects </w:t>
      </w:r>
      <w:r w:rsidR="00077456">
        <w:rPr>
          <w:color w:val="000000" w:themeColor="text1"/>
          <w:sz w:val="20"/>
          <w:szCs w:val="20"/>
        </w:rPr>
        <w:t xml:space="preserve">them to be able to flip the customer to a Floor &amp; Décor product. Spartan </w:t>
      </w:r>
      <w:r w:rsidR="00CF60EC">
        <w:rPr>
          <w:color w:val="000000" w:themeColor="text1"/>
          <w:sz w:val="20"/>
          <w:szCs w:val="20"/>
        </w:rPr>
        <w:t>will leverage Floor and Décor’s DC</w:t>
      </w:r>
      <w:r w:rsidR="00386D9A">
        <w:rPr>
          <w:color w:val="000000" w:themeColor="text1"/>
          <w:sz w:val="20"/>
          <w:szCs w:val="20"/>
        </w:rPr>
        <w:t xml:space="preserve">, product, supply chain, and supply agreements (Floor and Décor has negotiated much lower rates than Spartan) which will allow FND to expand Spartan’s tile and insulation materials. </w:t>
      </w:r>
      <w:r w:rsidR="0003196C">
        <w:rPr>
          <w:color w:val="000000" w:themeColor="text1"/>
          <w:sz w:val="20"/>
          <w:szCs w:val="20"/>
        </w:rPr>
        <w:t xml:space="preserve">Management has indicated it will continue to roll-up adjacent companies in the space. </w:t>
      </w:r>
    </w:p>
    <w:p w14:paraId="3B976E69" w14:textId="10BACA46" w:rsidR="008B1368" w:rsidRDefault="008B1368" w:rsidP="00C1402B">
      <w:pPr>
        <w:jc w:val="both"/>
        <w:rPr>
          <w:b/>
          <w:bCs/>
          <w:color w:val="000000" w:themeColor="text1"/>
          <w:sz w:val="20"/>
          <w:szCs w:val="20"/>
        </w:rPr>
      </w:pPr>
    </w:p>
    <w:p w14:paraId="21E8B294" w14:textId="22E75D8F" w:rsidR="0080318E" w:rsidRDefault="0080318E" w:rsidP="0080318E">
      <w:pPr>
        <w:tabs>
          <w:tab w:val="left" w:pos="5103"/>
        </w:tabs>
        <w:jc w:val="both"/>
        <w:rPr>
          <w:color w:val="000000" w:themeColor="text1"/>
          <w:sz w:val="20"/>
          <w:szCs w:val="20"/>
        </w:rPr>
      </w:pPr>
      <w:r w:rsidRPr="0080318E">
        <w:rPr>
          <w:b/>
          <w:bCs/>
          <w:color w:val="000000" w:themeColor="text1"/>
          <w:sz w:val="20"/>
          <w:szCs w:val="20"/>
        </w:rPr>
        <w:t xml:space="preserve">Inflation and supply chain issues are beneficiary to FND. </w:t>
      </w:r>
      <w:r>
        <w:rPr>
          <w:color w:val="000000" w:themeColor="text1"/>
          <w:sz w:val="20"/>
          <w:szCs w:val="20"/>
        </w:rPr>
        <w:t xml:space="preserve">FND has shown a willingness to raise prices dollar-for-dollar with cost increases. With a 2 cent increase in cost, FND will raise the associated product by 2 cents as well. This is not a proportional increase, which means gross margins will decline in FY’22. FND is the cost-leader in its category, with the largest scale and access to manufacturers. It is adequately stocked with 90% of SKUs (of 340) in stock. It carries inventory in stores and can service most sales out of existing stores in the suburbs. It has a faster fulfillment time versus smaller competitors (3-4 weeks vs 6-8 weeks), crucial when costs are increasing day-by-day. Independents will lose on market share as Pros seek retailers with inventory on-hand. If supply chain constraints ease, GMs will increase as the dollar-for-dollar passthrough reverses. </w:t>
      </w:r>
    </w:p>
    <w:p w14:paraId="68EE881D" w14:textId="77777777" w:rsidR="0080318E" w:rsidRPr="00E476CE" w:rsidRDefault="0080318E" w:rsidP="00C1402B">
      <w:pPr>
        <w:jc w:val="both"/>
        <w:rPr>
          <w:b/>
          <w:bCs/>
          <w:color w:val="000000" w:themeColor="text1"/>
          <w:sz w:val="20"/>
          <w:szCs w:val="20"/>
        </w:rPr>
      </w:pPr>
    </w:p>
    <w:p w14:paraId="0C2A873F" w14:textId="77777777" w:rsidR="00C1402B" w:rsidRPr="002D455F" w:rsidRDefault="00C1402B" w:rsidP="00C1402B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Risks</w:t>
      </w:r>
    </w:p>
    <w:p w14:paraId="58663092" w14:textId="7208267D" w:rsidR="00CE22C0" w:rsidRPr="00894AB0" w:rsidRDefault="004817AD" w:rsidP="004817AD">
      <w:pPr>
        <w:jc w:val="both"/>
        <w:rPr>
          <w:b/>
          <w:bCs/>
          <w:color w:val="000000" w:themeColor="text1"/>
          <w:sz w:val="20"/>
          <w:szCs w:val="20"/>
        </w:rPr>
      </w:pPr>
      <w:r w:rsidRPr="00894AB0">
        <w:rPr>
          <w:b/>
          <w:bCs/>
          <w:color w:val="000000" w:themeColor="text1"/>
          <w:sz w:val="20"/>
          <w:szCs w:val="20"/>
        </w:rPr>
        <w:t>Higher Interest Rates</w:t>
      </w:r>
    </w:p>
    <w:p w14:paraId="0357E97B" w14:textId="079A8869" w:rsidR="00894AB0" w:rsidRPr="00640EC6" w:rsidRDefault="002D330C" w:rsidP="004817AD">
      <w:pPr>
        <w:jc w:val="both"/>
        <w:rPr>
          <w:color w:val="000000" w:themeColor="text1"/>
          <w:sz w:val="20"/>
          <w:szCs w:val="20"/>
        </w:rPr>
      </w:pPr>
      <w:r w:rsidRPr="00894AB0">
        <w:rPr>
          <w:color w:val="000000" w:themeColor="text1"/>
          <w:sz w:val="20"/>
          <w:szCs w:val="20"/>
        </w:rPr>
        <w:t xml:space="preserve">Higher mortgage rates have decreased housing affordability as mortgage payments become a larger share of income in households. </w:t>
      </w:r>
      <w:r w:rsidR="00D25267" w:rsidRPr="00894AB0">
        <w:rPr>
          <w:color w:val="000000" w:themeColor="text1"/>
          <w:sz w:val="20"/>
          <w:szCs w:val="20"/>
        </w:rPr>
        <w:t>Revenue growth rates have slowed during the last hiking cycle and multiples have compressed</w:t>
      </w:r>
      <w:r w:rsidR="00271E2E" w:rsidRPr="00894AB0">
        <w:rPr>
          <w:color w:val="000000" w:themeColor="text1"/>
          <w:sz w:val="20"/>
          <w:szCs w:val="20"/>
        </w:rPr>
        <w:t xml:space="preserve">. In the next month, you could see further downside as investors adjust for </w:t>
      </w:r>
      <w:r w:rsidR="002059AE" w:rsidRPr="00894AB0">
        <w:rPr>
          <w:color w:val="000000" w:themeColor="text1"/>
          <w:sz w:val="20"/>
          <w:szCs w:val="20"/>
        </w:rPr>
        <w:t>rising rates. However, homeowner wealth will still be materially higher than in 2019</w:t>
      </w:r>
      <w:r w:rsidR="008F5513" w:rsidRPr="00894AB0">
        <w:rPr>
          <w:color w:val="000000" w:themeColor="text1"/>
          <w:sz w:val="20"/>
          <w:szCs w:val="20"/>
        </w:rPr>
        <w:t xml:space="preserve">, and FND believes that should act as a buffer for sales. </w:t>
      </w:r>
      <w:r w:rsidR="00894AB0">
        <w:rPr>
          <w:color w:val="000000" w:themeColor="text1"/>
          <w:sz w:val="20"/>
          <w:szCs w:val="20"/>
        </w:rPr>
        <w:t xml:space="preserve">Mortgage rates are generally tied to the </w:t>
      </w:r>
      <w:r w:rsidR="00D13DAD">
        <w:rPr>
          <w:color w:val="000000" w:themeColor="text1"/>
          <w:sz w:val="20"/>
          <w:szCs w:val="20"/>
        </w:rPr>
        <w:t>interest rates</w:t>
      </w:r>
      <w:r w:rsidR="00894AB0">
        <w:rPr>
          <w:color w:val="000000" w:themeColor="text1"/>
          <w:sz w:val="20"/>
          <w:szCs w:val="20"/>
        </w:rPr>
        <w:t xml:space="preserve">. </w:t>
      </w:r>
      <w:r w:rsidR="00602911">
        <w:rPr>
          <w:color w:val="000000" w:themeColor="text1"/>
          <w:sz w:val="20"/>
          <w:szCs w:val="20"/>
        </w:rPr>
        <w:t xml:space="preserve">While the fed has signalled it will continue to raise interest rates, benchmark bonds have done most of the heavy lifting. The 2-year </w:t>
      </w:r>
      <w:r w:rsidR="00781BF4">
        <w:rPr>
          <w:color w:val="000000" w:themeColor="text1"/>
          <w:sz w:val="20"/>
          <w:szCs w:val="20"/>
        </w:rPr>
        <w:t>T-Bill</w:t>
      </w:r>
      <w:r w:rsidR="00602911">
        <w:rPr>
          <w:color w:val="000000" w:themeColor="text1"/>
          <w:sz w:val="20"/>
          <w:szCs w:val="20"/>
        </w:rPr>
        <w:t xml:space="preserve"> has the wides</w:t>
      </w:r>
      <w:r w:rsidR="00EE1E19">
        <w:rPr>
          <w:color w:val="000000" w:themeColor="text1"/>
          <w:sz w:val="20"/>
          <w:szCs w:val="20"/>
        </w:rPr>
        <w:t xml:space="preserve">t </w:t>
      </w:r>
      <w:r w:rsidR="00F96C6E">
        <w:rPr>
          <w:color w:val="000000" w:themeColor="text1"/>
          <w:sz w:val="20"/>
          <w:szCs w:val="20"/>
        </w:rPr>
        <w:t xml:space="preserve">divergence from the fed funds rate </w:t>
      </w:r>
      <w:r w:rsidR="00221702">
        <w:rPr>
          <w:i/>
          <w:iCs/>
          <w:color w:val="000000" w:themeColor="text1"/>
          <w:sz w:val="20"/>
          <w:szCs w:val="20"/>
        </w:rPr>
        <w:t xml:space="preserve">ever </w:t>
      </w:r>
      <w:r w:rsidR="00781BF4">
        <w:rPr>
          <w:color w:val="000000" w:themeColor="text1"/>
          <w:sz w:val="20"/>
          <w:szCs w:val="20"/>
        </w:rPr>
        <w:t xml:space="preserve">as a result of forward guidance. However, </w:t>
      </w:r>
      <w:r w:rsidR="00D676F1">
        <w:rPr>
          <w:color w:val="000000" w:themeColor="text1"/>
          <w:sz w:val="20"/>
          <w:szCs w:val="20"/>
        </w:rPr>
        <w:t xml:space="preserve">with high gas prices, low consumer confidence, </w:t>
      </w:r>
      <w:r w:rsidR="000B163B">
        <w:rPr>
          <w:color w:val="000000" w:themeColor="text1"/>
          <w:sz w:val="20"/>
          <w:szCs w:val="20"/>
        </w:rPr>
        <w:t xml:space="preserve">a </w:t>
      </w:r>
      <w:r w:rsidR="00D676F1">
        <w:rPr>
          <w:color w:val="000000" w:themeColor="text1"/>
          <w:sz w:val="20"/>
          <w:szCs w:val="20"/>
        </w:rPr>
        <w:t>declining savings rate,</w:t>
      </w:r>
      <w:r w:rsidR="000B163B">
        <w:rPr>
          <w:color w:val="000000" w:themeColor="text1"/>
          <w:sz w:val="20"/>
          <w:szCs w:val="20"/>
        </w:rPr>
        <w:t xml:space="preserve"> lower-than-expected ISM PMIs, and </w:t>
      </w:r>
      <w:r w:rsidR="00E14E71">
        <w:rPr>
          <w:color w:val="000000" w:themeColor="text1"/>
          <w:sz w:val="20"/>
          <w:szCs w:val="20"/>
        </w:rPr>
        <w:t>fiscal stimulus rolling off</w:t>
      </w:r>
      <w:r w:rsidR="00DC79D5">
        <w:rPr>
          <w:color w:val="000000" w:themeColor="text1"/>
          <w:sz w:val="20"/>
          <w:szCs w:val="20"/>
        </w:rPr>
        <w:t>, it’s possible the fed may reverse course, which it indicated it may do in its last FOMC meeting. Moreover, QT results in</w:t>
      </w:r>
      <w:r w:rsidR="00640EC6">
        <w:rPr>
          <w:color w:val="000000" w:themeColor="text1"/>
          <w:sz w:val="20"/>
          <w:szCs w:val="20"/>
        </w:rPr>
        <w:t xml:space="preserve"> 10-year</w:t>
      </w:r>
      <w:r w:rsidR="00DC79D5">
        <w:rPr>
          <w:color w:val="000000" w:themeColor="text1"/>
          <w:sz w:val="20"/>
          <w:szCs w:val="20"/>
        </w:rPr>
        <w:t xml:space="preserve"> </w:t>
      </w:r>
      <w:r w:rsidR="00640EC6">
        <w:rPr>
          <w:color w:val="000000" w:themeColor="text1"/>
          <w:sz w:val="20"/>
          <w:szCs w:val="20"/>
        </w:rPr>
        <w:t xml:space="preserve">yields </w:t>
      </w:r>
      <w:r w:rsidR="00640EC6">
        <w:rPr>
          <w:i/>
          <w:iCs/>
          <w:color w:val="000000" w:themeColor="text1"/>
          <w:sz w:val="20"/>
          <w:szCs w:val="20"/>
        </w:rPr>
        <w:t>declining</w:t>
      </w:r>
      <w:r w:rsidR="00640EC6">
        <w:rPr>
          <w:color w:val="000000" w:themeColor="text1"/>
          <w:sz w:val="20"/>
          <w:szCs w:val="20"/>
        </w:rPr>
        <w:t xml:space="preserve">, likely because of a reduction in long-term growth prospect. Should the fed begin QT in May as it hinted, we may see a much lower 10-year treasury yield as they sell their assets. </w:t>
      </w:r>
      <w:r w:rsidR="006414A7">
        <w:rPr>
          <w:color w:val="000000" w:themeColor="text1"/>
          <w:sz w:val="20"/>
          <w:szCs w:val="20"/>
        </w:rPr>
        <w:t>By extension, I expect mortgage rates to be much lower and refinance activity to pick back u</w:t>
      </w:r>
      <w:r w:rsidR="00036E10">
        <w:rPr>
          <w:color w:val="000000" w:themeColor="text1"/>
          <w:sz w:val="20"/>
          <w:szCs w:val="20"/>
        </w:rPr>
        <w:t xml:space="preserve">p as </w:t>
      </w:r>
      <w:r w:rsidR="00E13412">
        <w:rPr>
          <w:color w:val="000000" w:themeColor="text1"/>
          <w:sz w:val="20"/>
          <w:szCs w:val="20"/>
        </w:rPr>
        <w:t xml:space="preserve">yields </w:t>
      </w:r>
      <w:r w:rsidR="00036E10">
        <w:rPr>
          <w:color w:val="000000" w:themeColor="text1"/>
          <w:sz w:val="20"/>
          <w:szCs w:val="20"/>
        </w:rPr>
        <w:t>reverse</w:t>
      </w:r>
      <w:r w:rsidR="00E13412">
        <w:rPr>
          <w:color w:val="000000" w:themeColor="text1"/>
          <w:sz w:val="20"/>
          <w:szCs w:val="20"/>
        </w:rPr>
        <w:t xml:space="preserve"> </w:t>
      </w:r>
      <w:r w:rsidR="00036E10">
        <w:rPr>
          <w:color w:val="000000" w:themeColor="text1"/>
          <w:sz w:val="20"/>
          <w:szCs w:val="20"/>
        </w:rPr>
        <w:t>course.</w:t>
      </w:r>
    </w:p>
    <w:p w14:paraId="114E844E" w14:textId="77777777" w:rsidR="00CE22C0" w:rsidRPr="00CA627F" w:rsidRDefault="00CE22C0" w:rsidP="004817AD">
      <w:pPr>
        <w:jc w:val="both"/>
        <w:rPr>
          <w:b/>
          <w:bCs/>
          <w:color w:val="000000" w:themeColor="text1"/>
          <w:sz w:val="20"/>
          <w:szCs w:val="20"/>
          <w:highlight w:val="yellow"/>
        </w:rPr>
      </w:pPr>
    </w:p>
    <w:p w14:paraId="6BBC242E" w14:textId="0C448D6B" w:rsidR="00A81139" w:rsidRPr="00C25966" w:rsidRDefault="008F5513" w:rsidP="00A81139">
      <w:pPr>
        <w:jc w:val="both"/>
        <w:rPr>
          <w:b/>
          <w:bCs/>
          <w:color w:val="000000" w:themeColor="text1"/>
          <w:sz w:val="20"/>
          <w:szCs w:val="20"/>
        </w:rPr>
      </w:pPr>
      <w:r w:rsidRPr="00C25966">
        <w:rPr>
          <w:b/>
          <w:bCs/>
          <w:color w:val="000000" w:themeColor="text1"/>
          <w:sz w:val="20"/>
          <w:szCs w:val="20"/>
        </w:rPr>
        <w:t>Store expansion execution</w:t>
      </w:r>
    </w:p>
    <w:p w14:paraId="3CF1F041" w14:textId="4CDA9ADD" w:rsidR="00A81139" w:rsidRDefault="00B060C4" w:rsidP="00A81139">
      <w:pPr>
        <w:jc w:val="both"/>
        <w:rPr>
          <w:color w:val="000000" w:themeColor="text1"/>
          <w:sz w:val="20"/>
          <w:szCs w:val="20"/>
        </w:rPr>
      </w:pPr>
      <w:r w:rsidRPr="00C25966">
        <w:rPr>
          <w:color w:val="000000" w:themeColor="text1"/>
          <w:sz w:val="20"/>
          <w:szCs w:val="20"/>
        </w:rPr>
        <w:t xml:space="preserve">While peers have raised prices by 8%, FND has kept prices much lower to increase market share. </w:t>
      </w:r>
      <w:r w:rsidR="00CA30F9" w:rsidRPr="00C25966">
        <w:rPr>
          <w:color w:val="000000" w:themeColor="text1"/>
          <w:sz w:val="20"/>
          <w:szCs w:val="20"/>
        </w:rPr>
        <w:t>By matching industry price hikes, FND could have a high-teens EBITDA margin business</w:t>
      </w:r>
      <w:r w:rsidR="00D65962" w:rsidRPr="00C25966">
        <w:rPr>
          <w:color w:val="000000" w:themeColor="text1"/>
          <w:sz w:val="20"/>
          <w:szCs w:val="20"/>
        </w:rPr>
        <w:t xml:space="preserve">, but management wants to keep prices suppressed to capture market share. </w:t>
      </w:r>
      <w:r w:rsidR="00183365" w:rsidRPr="00C25966">
        <w:rPr>
          <w:color w:val="000000" w:themeColor="text1"/>
          <w:sz w:val="20"/>
          <w:szCs w:val="20"/>
        </w:rPr>
        <w:t xml:space="preserve">FND faces execution risk should lower margins </w:t>
      </w:r>
      <w:r w:rsidR="00CA627F" w:rsidRPr="00C25966">
        <w:rPr>
          <w:color w:val="000000" w:themeColor="text1"/>
          <w:sz w:val="20"/>
          <w:szCs w:val="20"/>
        </w:rPr>
        <w:t>do not result</w:t>
      </w:r>
      <w:r w:rsidR="00183365" w:rsidRPr="00C25966">
        <w:rPr>
          <w:color w:val="000000" w:themeColor="text1"/>
          <w:sz w:val="20"/>
          <w:szCs w:val="20"/>
        </w:rPr>
        <w:t xml:space="preserve"> in increased market share and customer retention.</w:t>
      </w:r>
      <w:r w:rsidR="00183365">
        <w:rPr>
          <w:color w:val="000000" w:themeColor="text1"/>
          <w:sz w:val="20"/>
          <w:szCs w:val="20"/>
        </w:rPr>
        <w:t xml:space="preserve"> </w:t>
      </w:r>
      <w:r w:rsidR="00C25966">
        <w:rPr>
          <w:color w:val="000000" w:themeColor="text1"/>
          <w:sz w:val="20"/>
          <w:szCs w:val="20"/>
        </w:rPr>
        <w:t xml:space="preserve">However, management has consistently captured market share through their low-cost, best experience strategy. </w:t>
      </w:r>
    </w:p>
    <w:p w14:paraId="7973F8A9" w14:textId="711751AB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26A50B14" w14:textId="24A6BEC8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2BF1C132" w14:textId="748D5A07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6DC3A797" w14:textId="06013F2D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78E14370" w14:textId="74E51253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12FCF710" w14:textId="0D9ECC80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2017FA02" w14:textId="52DED858" w:rsidR="00F0229A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4A1E9BF5" w14:textId="77777777" w:rsidR="00F0229A" w:rsidRPr="00A81139" w:rsidRDefault="00F0229A" w:rsidP="00A81139">
      <w:pPr>
        <w:jc w:val="both"/>
        <w:rPr>
          <w:color w:val="000000" w:themeColor="text1"/>
          <w:sz w:val="20"/>
          <w:szCs w:val="20"/>
        </w:rPr>
      </w:pPr>
    </w:p>
    <w:p w14:paraId="2D93AA6D" w14:textId="5C8B6C07" w:rsidR="002D455F" w:rsidRPr="002D455F" w:rsidRDefault="00E4613F" w:rsidP="002D455F">
      <w:pPr>
        <w:pBdr>
          <w:bottom w:val="single" w:sz="4" w:space="1" w:color="auto"/>
        </w:pBdr>
        <w:spacing w:before="160" w:after="12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Valuation</w:t>
      </w:r>
    </w:p>
    <w:p w14:paraId="480DA73E" w14:textId="0895ABD0" w:rsidR="00F0229A" w:rsidRPr="00F0229A" w:rsidRDefault="00F0229A" w:rsidP="00952826">
      <w:pPr>
        <w:tabs>
          <w:tab w:val="left" w:pos="510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FND is currently trading at a premium to peers… but it has </w:t>
      </w:r>
      <w:r>
        <w:rPr>
          <w:i/>
          <w:iCs/>
          <w:sz w:val="20"/>
          <w:szCs w:val="20"/>
        </w:rPr>
        <w:t xml:space="preserve">always </w:t>
      </w:r>
      <w:r>
        <w:rPr>
          <w:sz w:val="20"/>
          <w:szCs w:val="20"/>
        </w:rPr>
        <w:t>traded at a premium</w:t>
      </w:r>
      <w:r w:rsidR="00E82412">
        <w:rPr>
          <w:sz w:val="20"/>
          <w:szCs w:val="20"/>
        </w:rPr>
        <w:t xml:space="preserve">, especially </w:t>
      </w:r>
      <w:r w:rsidR="00863685">
        <w:rPr>
          <w:sz w:val="20"/>
          <w:szCs w:val="20"/>
        </w:rPr>
        <w:t>since it’s store count is comping at 20% YoY vs &gt;1% for the home improvement stores.</w:t>
      </w:r>
      <w:r w:rsidR="00E258A9">
        <w:rPr>
          <w:sz w:val="20"/>
          <w:szCs w:val="20"/>
        </w:rPr>
        <w:t xml:space="preserve"> </w:t>
      </w:r>
      <w:r w:rsidR="00DC2E65">
        <w:rPr>
          <w:sz w:val="20"/>
          <w:szCs w:val="20"/>
        </w:rPr>
        <w:t xml:space="preserve">Its </w:t>
      </w:r>
      <w:r w:rsidR="00155D9A">
        <w:rPr>
          <w:sz w:val="20"/>
          <w:szCs w:val="20"/>
        </w:rPr>
        <w:t xml:space="preserve">2023 </w:t>
      </w:r>
      <w:r w:rsidR="00DC2E65">
        <w:rPr>
          <w:sz w:val="20"/>
          <w:szCs w:val="20"/>
        </w:rPr>
        <w:t xml:space="preserve">Adjusted PEGY </w:t>
      </w:r>
      <w:r w:rsidR="00155D9A">
        <w:rPr>
          <w:sz w:val="20"/>
          <w:szCs w:val="20"/>
        </w:rPr>
        <w:t>is $103.95 representing a 27.2% upside</w:t>
      </w:r>
      <w:r w:rsidR="00FE0E0E">
        <w:rPr>
          <w:sz w:val="20"/>
          <w:szCs w:val="20"/>
        </w:rPr>
        <w:t xml:space="preserve"> from closing prices</w:t>
      </w:r>
      <w:r w:rsidR="00155D9A">
        <w:rPr>
          <w:sz w:val="20"/>
          <w:szCs w:val="20"/>
        </w:rPr>
        <w:t xml:space="preserve">, and I believe this is more representative of </w:t>
      </w:r>
      <w:r w:rsidR="00FE0E0E">
        <w:rPr>
          <w:sz w:val="20"/>
          <w:szCs w:val="20"/>
        </w:rPr>
        <w:t>the market’s misunderstanding of FND’s true earning potential.</w:t>
      </w:r>
      <w:r w:rsidR="0089532E">
        <w:rPr>
          <w:sz w:val="20"/>
          <w:szCs w:val="20"/>
        </w:rPr>
        <w:t xml:space="preserve"> </w:t>
      </w:r>
    </w:p>
    <w:p w14:paraId="7C1C2D78" w14:textId="77777777" w:rsidR="00F0229A" w:rsidRDefault="00F0229A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621ADB70" w14:textId="77777777" w:rsidR="00F0229A" w:rsidRDefault="00F0229A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4C720BB2" w14:textId="60095BFD" w:rsidR="00952826" w:rsidRDefault="00AB0B9C" w:rsidP="00952826">
      <w:pPr>
        <w:tabs>
          <w:tab w:val="left" w:pos="5103"/>
        </w:tabs>
        <w:jc w:val="both"/>
        <w:rPr>
          <w:sz w:val="20"/>
          <w:szCs w:val="20"/>
        </w:rPr>
      </w:pPr>
      <w:r w:rsidRPr="00AB0B9C">
        <w:rPr>
          <w:noProof/>
          <w:color w:val="000000" w:themeColor="text1"/>
          <w:sz w:val="20"/>
          <w:szCs w:val="20"/>
        </w:rPr>
        <w:drawing>
          <wp:inline distT="0" distB="0" distL="0" distR="0" wp14:anchorId="58400A2A" wp14:editId="60F06247">
            <wp:extent cx="6675120" cy="223583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853" w14:textId="03D865AC" w:rsidR="0044714A" w:rsidRDefault="0044714A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3CA1C8EA" w14:textId="4BA0003A" w:rsidR="0044714A" w:rsidRDefault="00C0545A" w:rsidP="00952826">
      <w:pPr>
        <w:tabs>
          <w:tab w:val="left" w:pos="5103"/>
        </w:tabs>
        <w:jc w:val="both"/>
        <w:rPr>
          <w:sz w:val="20"/>
          <w:szCs w:val="20"/>
        </w:rPr>
      </w:pPr>
      <w:r w:rsidRPr="00C0545A">
        <w:rPr>
          <w:noProof/>
          <w:sz w:val="20"/>
          <w:szCs w:val="20"/>
        </w:rPr>
        <w:drawing>
          <wp:inline distT="0" distB="0" distL="0" distR="0" wp14:anchorId="543593E6" wp14:editId="2FF36A34">
            <wp:extent cx="6675120" cy="217233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E5B9" w14:textId="77777777" w:rsidR="00C0545A" w:rsidRDefault="00C0545A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7CADE360" w14:textId="70776858" w:rsidR="00E82412" w:rsidRDefault="00E82412" w:rsidP="00E8292E">
      <w:pPr>
        <w:pBdr>
          <w:bottom w:val="single" w:sz="4" w:space="1" w:color="auto"/>
        </w:pBdr>
        <w:tabs>
          <w:tab w:val="left" w:pos="5103"/>
        </w:tabs>
        <w:jc w:val="both"/>
        <w:rPr>
          <w:b/>
          <w:color w:val="000000" w:themeColor="text1"/>
          <w:sz w:val="20"/>
          <w:szCs w:val="20"/>
        </w:rPr>
      </w:pPr>
      <w:r w:rsidRPr="00E82412">
        <w:rPr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FEAD8ED" wp14:editId="4D875999">
            <wp:extent cx="4610100" cy="3140500"/>
            <wp:effectExtent l="0" t="0" r="0" b="317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805" cy="31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15A3" w14:textId="77777777" w:rsidR="00E82412" w:rsidRDefault="00E82412" w:rsidP="00E8292E">
      <w:pPr>
        <w:pBdr>
          <w:bottom w:val="single" w:sz="4" w:space="1" w:color="auto"/>
        </w:pBdr>
        <w:tabs>
          <w:tab w:val="left" w:pos="5103"/>
        </w:tabs>
        <w:jc w:val="both"/>
        <w:rPr>
          <w:b/>
          <w:color w:val="000000" w:themeColor="text1"/>
          <w:sz w:val="20"/>
          <w:szCs w:val="20"/>
        </w:rPr>
      </w:pPr>
    </w:p>
    <w:p w14:paraId="1B94A944" w14:textId="35F8CF4A" w:rsidR="00E8292E" w:rsidRDefault="00E8292E" w:rsidP="00E8292E">
      <w:pPr>
        <w:pBdr>
          <w:bottom w:val="single" w:sz="4" w:space="1" w:color="auto"/>
        </w:pBdr>
        <w:tabs>
          <w:tab w:val="left" w:pos="5103"/>
        </w:tabs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Conclusion</w:t>
      </w:r>
    </w:p>
    <w:p w14:paraId="65F66C59" w14:textId="67DF0E15" w:rsidR="00334478" w:rsidRDefault="00AE683A" w:rsidP="00952826">
      <w:pPr>
        <w:tabs>
          <w:tab w:val="left" w:pos="510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While I believe FND is undervalued, there may be further downside risk due to increasing mortgage rates. I recommend </w:t>
      </w:r>
      <w:r w:rsidR="000C5F79">
        <w:rPr>
          <w:sz w:val="20"/>
          <w:szCs w:val="20"/>
        </w:rPr>
        <w:t>purchase at or above</w:t>
      </w:r>
      <w:r>
        <w:rPr>
          <w:sz w:val="20"/>
          <w:szCs w:val="20"/>
        </w:rPr>
        <w:t xml:space="preserve"> </w:t>
      </w:r>
      <w:r w:rsidR="001B40A9">
        <w:rPr>
          <w:sz w:val="20"/>
          <w:szCs w:val="20"/>
        </w:rPr>
        <w:t>FND</w:t>
      </w:r>
      <w:r w:rsidR="00494C4F">
        <w:rPr>
          <w:sz w:val="20"/>
          <w:szCs w:val="20"/>
        </w:rPr>
        <w:t xml:space="preserve"> LTM</w:t>
      </w:r>
      <w:r w:rsidR="001B40A9">
        <w:rPr>
          <w:sz w:val="20"/>
          <w:szCs w:val="20"/>
        </w:rPr>
        <w:t xml:space="preserve"> P/E and EV/EBITDA reflect 2018’s valuation</w:t>
      </w:r>
      <w:r w:rsidR="00494C4F">
        <w:rPr>
          <w:sz w:val="20"/>
          <w:szCs w:val="20"/>
        </w:rPr>
        <w:t>s</w:t>
      </w:r>
      <w:r w:rsidR="001B40A9">
        <w:rPr>
          <w:sz w:val="20"/>
          <w:szCs w:val="20"/>
        </w:rPr>
        <w:t xml:space="preserve"> at </w:t>
      </w:r>
      <w:r w:rsidR="00494C4F">
        <w:rPr>
          <w:sz w:val="20"/>
          <w:szCs w:val="20"/>
        </w:rPr>
        <w:t>~20</w:t>
      </w:r>
      <w:r w:rsidR="00A968C9">
        <w:rPr>
          <w:sz w:val="20"/>
          <w:szCs w:val="20"/>
        </w:rPr>
        <w:t>-25</w:t>
      </w:r>
      <w:r w:rsidR="00494C4F">
        <w:rPr>
          <w:sz w:val="20"/>
          <w:szCs w:val="20"/>
        </w:rPr>
        <w:t>x P/E and ~15</w:t>
      </w:r>
      <w:r w:rsidR="00A968C9">
        <w:rPr>
          <w:sz w:val="20"/>
          <w:szCs w:val="20"/>
        </w:rPr>
        <w:t>-20</w:t>
      </w:r>
      <w:r w:rsidR="00494C4F">
        <w:rPr>
          <w:sz w:val="20"/>
          <w:szCs w:val="20"/>
        </w:rPr>
        <w:t>x EV/EBTIDA.</w:t>
      </w:r>
      <w:r w:rsidR="0089532E">
        <w:rPr>
          <w:sz w:val="20"/>
          <w:szCs w:val="20"/>
        </w:rPr>
        <w:t xml:space="preserve"> </w:t>
      </w:r>
      <w:r w:rsidR="00494C4F">
        <w:rPr>
          <w:sz w:val="20"/>
          <w:szCs w:val="20"/>
        </w:rPr>
        <w:t>I would put in 100 BPS as these valuation levels</w:t>
      </w:r>
      <w:r w:rsidR="0024017F">
        <w:rPr>
          <w:sz w:val="20"/>
          <w:szCs w:val="20"/>
        </w:rPr>
        <w:t xml:space="preserve"> (treating them as a floor)</w:t>
      </w:r>
      <w:r w:rsidR="00494C4F">
        <w:rPr>
          <w:sz w:val="20"/>
          <w:szCs w:val="20"/>
        </w:rPr>
        <w:t xml:space="preserve"> </w:t>
      </w:r>
      <w:r w:rsidR="009A4D37">
        <w:rPr>
          <w:sz w:val="20"/>
          <w:szCs w:val="20"/>
        </w:rPr>
        <w:t xml:space="preserve">and continue to do so as the long-term story is very compelling. </w:t>
      </w:r>
    </w:p>
    <w:p w14:paraId="0B9DBE21" w14:textId="3D93B967" w:rsidR="00F0229A" w:rsidRDefault="00F0229A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6BB06ED2" w14:textId="77777777" w:rsidR="00334478" w:rsidRDefault="00334478" w:rsidP="00952826">
      <w:pPr>
        <w:tabs>
          <w:tab w:val="left" w:pos="5103"/>
        </w:tabs>
        <w:jc w:val="both"/>
        <w:rPr>
          <w:sz w:val="20"/>
          <w:szCs w:val="20"/>
        </w:rPr>
      </w:pPr>
    </w:p>
    <w:p w14:paraId="65ED5EA7" w14:textId="25C5EE44" w:rsidR="00D64844" w:rsidRDefault="006414A7" w:rsidP="00D64844">
      <w:pPr>
        <w:pBdr>
          <w:bottom w:val="single" w:sz="4" w:space="1" w:color="auto"/>
        </w:pBdr>
        <w:tabs>
          <w:tab w:val="left" w:pos="5103"/>
        </w:tabs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Appendix</w:t>
      </w:r>
    </w:p>
    <w:p w14:paraId="2C09CC5E" w14:textId="77777777" w:rsidR="006414A7" w:rsidRDefault="006414A7" w:rsidP="00D64844">
      <w:pPr>
        <w:tabs>
          <w:tab w:val="left" w:pos="5103"/>
        </w:tabs>
        <w:jc w:val="both"/>
        <w:rPr>
          <w:sz w:val="20"/>
          <w:szCs w:val="20"/>
        </w:rPr>
      </w:pPr>
    </w:p>
    <w:p w14:paraId="75B7669B" w14:textId="37A68032" w:rsidR="006414A7" w:rsidRDefault="006414A7" w:rsidP="00D64844">
      <w:pPr>
        <w:tabs>
          <w:tab w:val="left" w:pos="5103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0C0DB" wp14:editId="5E11464B">
                <wp:simplePos x="0" y="0"/>
                <wp:positionH relativeFrom="column">
                  <wp:posOffset>6318885</wp:posOffset>
                </wp:positionH>
                <wp:positionV relativeFrom="paragraph">
                  <wp:posOffset>1052195</wp:posOffset>
                </wp:positionV>
                <wp:extent cx="333375" cy="1343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43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14C3D" id="Oval 6" o:spid="_x0000_s1026" style="position:absolute;margin-left:497.55pt;margin-top:82.85pt;width:26.25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" filled="f" strokecolor="red" strokeweight="2pt"/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1C717A5B" wp14:editId="6DD28FB2">
            <wp:extent cx="6675120" cy="2571750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E27" w14:textId="43B01B36" w:rsidR="00E8292E" w:rsidRDefault="006414A7" w:rsidP="00D64844">
      <w:pPr>
        <w:tabs>
          <w:tab w:val="left" w:pos="5103"/>
        </w:tabs>
        <w:jc w:val="both"/>
        <w:rPr>
          <w:sz w:val="20"/>
          <w:szCs w:val="20"/>
        </w:rPr>
      </w:pPr>
      <w:r w:rsidRPr="006414A7">
        <w:rPr>
          <w:noProof/>
          <w:sz w:val="20"/>
          <w:szCs w:val="20"/>
        </w:rPr>
        <w:lastRenderedPageBreak/>
        <w:drawing>
          <wp:inline distT="0" distB="0" distL="0" distR="0" wp14:anchorId="0D9830F9" wp14:editId="76B86A9B">
            <wp:extent cx="3714750" cy="3702116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996" cy="37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78A" w14:textId="64108FEA" w:rsidR="0044714A" w:rsidRPr="001B0341" w:rsidRDefault="0044714A" w:rsidP="00D64844">
      <w:pPr>
        <w:tabs>
          <w:tab w:val="left" w:pos="5103"/>
        </w:tabs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6865660" wp14:editId="32D2A52C">
            <wp:extent cx="6562725" cy="260274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8410" cy="26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49F">
        <w:rPr>
          <w:sz w:val="20"/>
          <w:szCs w:val="20"/>
        </w:rPr>
        <w:t>re</w:t>
      </w:r>
    </w:p>
    <w:sectPr w:rsidR="0044714A" w:rsidRPr="001B0341" w:rsidSect="000C60D6">
      <w:pgSz w:w="12240" w:h="15840" w:code="1"/>
      <w:pgMar w:top="993" w:right="864" w:bottom="1134" w:left="864" w:header="446" w:footer="1051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398E" w14:textId="77777777" w:rsidR="00731C37" w:rsidRDefault="00731C37">
      <w:r>
        <w:separator/>
      </w:r>
    </w:p>
  </w:endnote>
  <w:endnote w:type="continuationSeparator" w:id="0">
    <w:p w14:paraId="1AF2FE29" w14:textId="77777777" w:rsidR="00731C37" w:rsidRDefault="0073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CCFA" w14:textId="77777777" w:rsidR="00731C37" w:rsidRDefault="00731C37">
      <w:r>
        <w:separator/>
      </w:r>
    </w:p>
  </w:footnote>
  <w:footnote w:type="continuationSeparator" w:id="0">
    <w:p w14:paraId="7AB5113B" w14:textId="77777777" w:rsidR="00731C37" w:rsidRDefault="0073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515"/>
    <w:multiLevelType w:val="hybridMultilevel"/>
    <w:tmpl w:val="3AF08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5CDA"/>
    <w:multiLevelType w:val="hybridMultilevel"/>
    <w:tmpl w:val="D4C08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224"/>
    <w:multiLevelType w:val="hybridMultilevel"/>
    <w:tmpl w:val="4964FE4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8BA06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91E08"/>
    <w:multiLevelType w:val="hybridMultilevel"/>
    <w:tmpl w:val="90D25C04"/>
    <w:lvl w:ilvl="0" w:tplc="1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" w15:restartNumberingAfterBreak="0">
    <w:nsid w:val="33AC1B64"/>
    <w:multiLevelType w:val="hybridMultilevel"/>
    <w:tmpl w:val="F53C7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E7332"/>
    <w:multiLevelType w:val="hybridMultilevel"/>
    <w:tmpl w:val="23B8D226"/>
    <w:lvl w:ilvl="0" w:tplc="824C3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4262"/>
    <w:multiLevelType w:val="hybridMultilevel"/>
    <w:tmpl w:val="31F870FC"/>
    <w:lvl w:ilvl="0" w:tplc="E612C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90C42"/>
    <w:multiLevelType w:val="hybridMultilevel"/>
    <w:tmpl w:val="C9600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B5125"/>
    <w:multiLevelType w:val="hybridMultilevel"/>
    <w:tmpl w:val="76A64C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575F3"/>
    <w:multiLevelType w:val="hybridMultilevel"/>
    <w:tmpl w:val="98CC3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6383A"/>
    <w:multiLevelType w:val="hybridMultilevel"/>
    <w:tmpl w:val="4EE2A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4583"/>
    <w:multiLevelType w:val="hybridMultilevel"/>
    <w:tmpl w:val="F69C6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72368"/>
    <w:multiLevelType w:val="hybridMultilevel"/>
    <w:tmpl w:val="0DDC1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15101">
    <w:abstractNumId w:val="2"/>
  </w:num>
  <w:num w:numId="2" w16cid:durableId="893658955">
    <w:abstractNumId w:val="10"/>
  </w:num>
  <w:num w:numId="3" w16cid:durableId="1469056174">
    <w:abstractNumId w:val="3"/>
  </w:num>
  <w:num w:numId="4" w16cid:durableId="445544661">
    <w:abstractNumId w:val="7"/>
  </w:num>
  <w:num w:numId="5" w16cid:durableId="252786922">
    <w:abstractNumId w:val="9"/>
  </w:num>
  <w:num w:numId="6" w16cid:durableId="810051788">
    <w:abstractNumId w:val="0"/>
  </w:num>
  <w:num w:numId="7" w16cid:durableId="1390106059">
    <w:abstractNumId w:val="8"/>
  </w:num>
  <w:num w:numId="8" w16cid:durableId="1398087280">
    <w:abstractNumId w:val="11"/>
  </w:num>
  <w:num w:numId="9" w16cid:durableId="1569339080">
    <w:abstractNumId w:val="1"/>
  </w:num>
  <w:num w:numId="10" w16cid:durableId="1110666858">
    <w:abstractNumId w:val="12"/>
  </w:num>
  <w:num w:numId="11" w16cid:durableId="1038358577">
    <w:abstractNumId w:val="5"/>
  </w:num>
  <w:num w:numId="12" w16cid:durableId="1096511561">
    <w:abstractNumId w:val="4"/>
  </w:num>
  <w:num w:numId="13" w16cid:durableId="449907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7W0NDY3MDMztrRQ0lEKTi0uzszPAykwrAUAgwuekSwAAAA="/>
    <w:docVar w:name="APWAFNeedToUniquify" w:val="false"/>
    <w:docVar w:name="APWAFVersion" w:val="5.0"/>
  </w:docVars>
  <w:rsids>
    <w:rsidRoot w:val="00DF0C06"/>
    <w:rsid w:val="00000EFC"/>
    <w:rsid w:val="0000162C"/>
    <w:rsid w:val="00007882"/>
    <w:rsid w:val="000117B9"/>
    <w:rsid w:val="00015128"/>
    <w:rsid w:val="0001550C"/>
    <w:rsid w:val="00015817"/>
    <w:rsid w:val="00026426"/>
    <w:rsid w:val="000306B5"/>
    <w:rsid w:val="0003196C"/>
    <w:rsid w:val="00031E3D"/>
    <w:rsid w:val="00033A01"/>
    <w:rsid w:val="0003495B"/>
    <w:rsid w:val="00035E88"/>
    <w:rsid w:val="00036E10"/>
    <w:rsid w:val="00040321"/>
    <w:rsid w:val="000407F9"/>
    <w:rsid w:val="000514B8"/>
    <w:rsid w:val="00052D9E"/>
    <w:rsid w:val="00052E93"/>
    <w:rsid w:val="000531B2"/>
    <w:rsid w:val="00055C8E"/>
    <w:rsid w:val="00055DC4"/>
    <w:rsid w:val="000608E9"/>
    <w:rsid w:val="00061CC7"/>
    <w:rsid w:val="000635B2"/>
    <w:rsid w:val="000640C0"/>
    <w:rsid w:val="00066A5F"/>
    <w:rsid w:val="000757A3"/>
    <w:rsid w:val="00077456"/>
    <w:rsid w:val="00081CF3"/>
    <w:rsid w:val="00083903"/>
    <w:rsid w:val="00085E68"/>
    <w:rsid w:val="00086ED1"/>
    <w:rsid w:val="00087B2D"/>
    <w:rsid w:val="00091136"/>
    <w:rsid w:val="000935CB"/>
    <w:rsid w:val="00095FD5"/>
    <w:rsid w:val="000A145C"/>
    <w:rsid w:val="000A2BED"/>
    <w:rsid w:val="000A36F1"/>
    <w:rsid w:val="000A661F"/>
    <w:rsid w:val="000A6C72"/>
    <w:rsid w:val="000A7799"/>
    <w:rsid w:val="000B0A04"/>
    <w:rsid w:val="000B163B"/>
    <w:rsid w:val="000B740A"/>
    <w:rsid w:val="000B792E"/>
    <w:rsid w:val="000C011D"/>
    <w:rsid w:val="000C1D61"/>
    <w:rsid w:val="000C4F5C"/>
    <w:rsid w:val="000C5511"/>
    <w:rsid w:val="000C5A28"/>
    <w:rsid w:val="000C5F79"/>
    <w:rsid w:val="000C60D6"/>
    <w:rsid w:val="000C6DAB"/>
    <w:rsid w:val="000D0CF6"/>
    <w:rsid w:val="000D38F9"/>
    <w:rsid w:val="000D419F"/>
    <w:rsid w:val="000D69F5"/>
    <w:rsid w:val="000D732D"/>
    <w:rsid w:val="000D7CDE"/>
    <w:rsid w:val="000E06D7"/>
    <w:rsid w:val="000E30D7"/>
    <w:rsid w:val="000E43EB"/>
    <w:rsid w:val="000E6A13"/>
    <w:rsid w:val="000E77CD"/>
    <w:rsid w:val="000F0F06"/>
    <w:rsid w:val="000F1130"/>
    <w:rsid w:val="000F3348"/>
    <w:rsid w:val="000F4327"/>
    <w:rsid w:val="000F4B66"/>
    <w:rsid w:val="000F66D9"/>
    <w:rsid w:val="0010204C"/>
    <w:rsid w:val="001130D3"/>
    <w:rsid w:val="00115514"/>
    <w:rsid w:val="00116182"/>
    <w:rsid w:val="00116FA9"/>
    <w:rsid w:val="00117BC6"/>
    <w:rsid w:val="00117C0C"/>
    <w:rsid w:val="00120FBE"/>
    <w:rsid w:val="00130A0E"/>
    <w:rsid w:val="00132C9E"/>
    <w:rsid w:val="0013386A"/>
    <w:rsid w:val="0013487F"/>
    <w:rsid w:val="0013681C"/>
    <w:rsid w:val="001377F4"/>
    <w:rsid w:val="00141518"/>
    <w:rsid w:val="00141B0B"/>
    <w:rsid w:val="00144ADA"/>
    <w:rsid w:val="00145420"/>
    <w:rsid w:val="001465BD"/>
    <w:rsid w:val="00150A57"/>
    <w:rsid w:val="00153AA6"/>
    <w:rsid w:val="0015432B"/>
    <w:rsid w:val="00154D42"/>
    <w:rsid w:val="00155D9A"/>
    <w:rsid w:val="00161A39"/>
    <w:rsid w:val="00162D26"/>
    <w:rsid w:val="00164CCE"/>
    <w:rsid w:val="00167B24"/>
    <w:rsid w:val="001742C6"/>
    <w:rsid w:val="00180D2C"/>
    <w:rsid w:val="001814CF"/>
    <w:rsid w:val="00183365"/>
    <w:rsid w:val="00183782"/>
    <w:rsid w:val="001840D2"/>
    <w:rsid w:val="0019150C"/>
    <w:rsid w:val="00193852"/>
    <w:rsid w:val="0019454F"/>
    <w:rsid w:val="001A0E37"/>
    <w:rsid w:val="001A3538"/>
    <w:rsid w:val="001A7D1D"/>
    <w:rsid w:val="001B0341"/>
    <w:rsid w:val="001B1C10"/>
    <w:rsid w:val="001B2530"/>
    <w:rsid w:val="001B26A3"/>
    <w:rsid w:val="001B2C26"/>
    <w:rsid w:val="001B40A9"/>
    <w:rsid w:val="001B5691"/>
    <w:rsid w:val="001C0825"/>
    <w:rsid w:val="001C2870"/>
    <w:rsid w:val="001C778C"/>
    <w:rsid w:val="001D249E"/>
    <w:rsid w:val="001D34B7"/>
    <w:rsid w:val="001D3F42"/>
    <w:rsid w:val="001D417E"/>
    <w:rsid w:val="001D738B"/>
    <w:rsid w:val="001E1E30"/>
    <w:rsid w:val="001E3042"/>
    <w:rsid w:val="001E6766"/>
    <w:rsid w:val="001F464C"/>
    <w:rsid w:val="001F4A0A"/>
    <w:rsid w:val="001F5D2A"/>
    <w:rsid w:val="00200245"/>
    <w:rsid w:val="00203AE7"/>
    <w:rsid w:val="00203FED"/>
    <w:rsid w:val="00204D0C"/>
    <w:rsid w:val="00204FDC"/>
    <w:rsid w:val="002059AE"/>
    <w:rsid w:val="00205A78"/>
    <w:rsid w:val="0020793C"/>
    <w:rsid w:val="00213FA5"/>
    <w:rsid w:val="0021767A"/>
    <w:rsid w:val="00221702"/>
    <w:rsid w:val="0022467D"/>
    <w:rsid w:val="002312C7"/>
    <w:rsid w:val="00233B24"/>
    <w:rsid w:val="0023553C"/>
    <w:rsid w:val="00236057"/>
    <w:rsid w:val="0024017F"/>
    <w:rsid w:val="00240ACA"/>
    <w:rsid w:val="00241B4F"/>
    <w:rsid w:val="00241E1B"/>
    <w:rsid w:val="002437BA"/>
    <w:rsid w:val="0024405B"/>
    <w:rsid w:val="00245856"/>
    <w:rsid w:val="00246270"/>
    <w:rsid w:val="0024771E"/>
    <w:rsid w:val="002522D6"/>
    <w:rsid w:val="002561FD"/>
    <w:rsid w:val="002626CE"/>
    <w:rsid w:val="00266174"/>
    <w:rsid w:val="00271E2E"/>
    <w:rsid w:val="00272A1A"/>
    <w:rsid w:val="002733D1"/>
    <w:rsid w:val="002736D2"/>
    <w:rsid w:val="00274123"/>
    <w:rsid w:val="002756D1"/>
    <w:rsid w:val="00276DA5"/>
    <w:rsid w:val="00283A1A"/>
    <w:rsid w:val="00283CF5"/>
    <w:rsid w:val="00284013"/>
    <w:rsid w:val="00285955"/>
    <w:rsid w:val="00287964"/>
    <w:rsid w:val="00294C82"/>
    <w:rsid w:val="00295331"/>
    <w:rsid w:val="002A3D55"/>
    <w:rsid w:val="002A4630"/>
    <w:rsid w:val="002A5785"/>
    <w:rsid w:val="002A6F05"/>
    <w:rsid w:val="002B4FE4"/>
    <w:rsid w:val="002B6DC0"/>
    <w:rsid w:val="002B72CD"/>
    <w:rsid w:val="002B7CD6"/>
    <w:rsid w:val="002C1697"/>
    <w:rsid w:val="002C1852"/>
    <w:rsid w:val="002C18B8"/>
    <w:rsid w:val="002C53A3"/>
    <w:rsid w:val="002D01F3"/>
    <w:rsid w:val="002D07C3"/>
    <w:rsid w:val="002D330C"/>
    <w:rsid w:val="002D455F"/>
    <w:rsid w:val="002E259D"/>
    <w:rsid w:val="002E2B89"/>
    <w:rsid w:val="002E4F87"/>
    <w:rsid w:val="002E501F"/>
    <w:rsid w:val="002E6D29"/>
    <w:rsid w:val="002F2D1B"/>
    <w:rsid w:val="002F4A5A"/>
    <w:rsid w:val="002F64E7"/>
    <w:rsid w:val="002F67A4"/>
    <w:rsid w:val="002F6F13"/>
    <w:rsid w:val="00304615"/>
    <w:rsid w:val="00305C45"/>
    <w:rsid w:val="00312BDA"/>
    <w:rsid w:val="0031646F"/>
    <w:rsid w:val="00320785"/>
    <w:rsid w:val="00321FA4"/>
    <w:rsid w:val="00322FC3"/>
    <w:rsid w:val="00326C4D"/>
    <w:rsid w:val="00331ED6"/>
    <w:rsid w:val="00334478"/>
    <w:rsid w:val="003431BC"/>
    <w:rsid w:val="0034381A"/>
    <w:rsid w:val="00347111"/>
    <w:rsid w:val="00347828"/>
    <w:rsid w:val="003523D0"/>
    <w:rsid w:val="003543EE"/>
    <w:rsid w:val="00360024"/>
    <w:rsid w:val="003617A5"/>
    <w:rsid w:val="0036407F"/>
    <w:rsid w:val="003642C6"/>
    <w:rsid w:val="00364A4F"/>
    <w:rsid w:val="00365C36"/>
    <w:rsid w:val="003715F8"/>
    <w:rsid w:val="0037164E"/>
    <w:rsid w:val="003729CB"/>
    <w:rsid w:val="00375242"/>
    <w:rsid w:val="00375F7E"/>
    <w:rsid w:val="003842C3"/>
    <w:rsid w:val="00386D9A"/>
    <w:rsid w:val="00392905"/>
    <w:rsid w:val="00395C97"/>
    <w:rsid w:val="003972C5"/>
    <w:rsid w:val="003A0028"/>
    <w:rsid w:val="003A4171"/>
    <w:rsid w:val="003A62C5"/>
    <w:rsid w:val="003B04AD"/>
    <w:rsid w:val="003B3605"/>
    <w:rsid w:val="003B3ADE"/>
    <w:rsid w:val="003B3D21"/>
    <w:rsid w:val="003C097B"/>
    <w:rsid w:val="003C12C5"/>
    <w:rsid w:val="003C1C34"/>
    <w:rsid w:val="003C3ABA"/>
    <w:rsid w:val="003C40FA"/>
    <w:rsid w:val="003C4563"/>
    <w:rsid w:val="003C6328"/>
    <w:rsid w:val="003C6931"/>
    <w:rsid w:val="003C7B7A"/>
    <w:rsid w:val="003D0ABA"/>
    <w:rsid w:val="003D39F2"/>
    <w:rsid w:val="003E4895"/>
    <w:rsid w:val="003E5953"/>
    <w:rsid w:val="003E6006"/>
    <w:rsid w:val="003F397F"/>
    <w:rsid w:val="003F66BD"/>
    <w:rsid w:val="00403B16"/>
    <w:rsid w:val="004056A3"/>
    <w:rsid w:val="0041153E"/>
    <w:rsid w:val="0041189B"/>
    <w:rsid w:val="00411E9C"/>
    <w:rsid w:val="00413480"/>
    <w:rsid w:val="00414674"/>
    <w:rsid w:val="00414E14"/>
    <w:rsid w:val="00416337"/>
    <w:rsid w:val="00416B85"/>
    <w:rsid w:val="00421E15"/>
    <w:rsid w:val="00426B0F"/>
    <w:rsid w:val="00427F2D"/>
    <w:rsid w:val="00427F54"/>
    <w:rsid w:val="00431136"/>
    <w:rsid w:val="00431E7A"/>
    <w:rsid w:val="00432731"/>
    <w:rsid w:val="004327F5"/>
    <w:rsid w:val="004333F8"/>
    <w:rsid w:val="0043422C"/>
    <w:rsid w:val="00434CAC"/>
    <w:rsid w:val="0043739C"/>
    <w:rsid w:val="00441104"/>
    <w:rsid w:val="00441569"/>
    <w:rsid w:val="00444BEA"/>
    <w:rsid w:val="004468E6"/>
    <w:rsid w:val="00446B18"/>
    <w:rsid w:val="0044714A"/>
    <w:rsid w:val="0045067B"/>
    <w:rsid w:val="004515A1"/>
    <w:rsid w:val="0045212C"/>
    <w:rsid w:val="00453106"/>
    <w:rsid w:val="004535D6"/>
    <w:rsid w:val="00453A85"/>
    <w:rsid w:val="004540A9"/>
    <w:rsid w:val="00461BEF"/>
    <w:rsid w:val="0046796A"/>
    <w:rsid w:val="0047005A"/>
    <w:rsid w:val="00470CAE"/>
    <w:rsid w:val="0047160F"/>
    <w:rsid w:val="00474ACF"/>
    <w:rsid w:val="00475043"/>
    <w:rsid w:val="00477057"/>
    <w:rsid w:val="004817AD"/>
    <w:rsid w:val="00483A8C"/>
    <w:rsid w:val="00492360"/>
    <w:rsid w:val="00494C4F"/>
    <w:rsid w:val="0049508A"/>
    <w:rsid w:val="004A0534"/>
    <w:rsid w:val="004A3491"/>
    <w:rsid w:val="004B09DD"/>
    <w:rsid w:val="004B4D7E"/>
    <w:rsid w:val="004B6E6F"/>
    <w:rsid w:val="004C1655"/>
    <w:rsid w:val="004C1DBB"/>
    <w:rsid w:val="004C21E1"/>
    <w:rsid w:val="004C4397"/>
    <w:rsid w:val="004C510A"/>
    <w:rsid w:val="004D00A0"/>
    <w:rsid w:val="004D170D"/>
    <w:rsid w:val="004D1731"/>
    <w:rsid w:val="004D5173"/>
    <w:rsid w:val="004D749B"/>
    <w:rsid w:val="004E294F"/>
    <w:rsid w:val="004E58AB"/>
    <w:rsid w:val="004E6442"/>
    <w:rsid w:val="004F3194"/>
    <w:rsid w:val="004F4A08"/>
    <w:rsid w:val="004F5B3B"/>
    <w:rsid w:val="004F7BCF"/>
    <w:rsid w:val="005029A1"/>
    <w:rsid w:val="00506799"/>
    <w:rsid w:val="00511E4C"/>
    <w:rsid w:val="00512862"/>
    <w:rsid w:val="005134A3"/>
    <w:rsid w:val="005134BB"/>
    <w:rsid w:val="005143DC"/>
    <w:rsid w:val="00517CB6"/>
    <w:rsid w:val="00522860"/>
    <w:rsid w:val="00523370"/>
    <w:rsid w:val="005236A1"/>
    <w:rsid w:val="00524F3E"/>
    <w:rsid w:val="00525032"/>
    <w:rsid w:val="00525A8B"/>
    <w:rsid w:val="005336BE"/>
    <w:rsid w:val="005338A3"/>
    <w:rsid w:val="00534FB8"/>
    <w:rsid w:val="005365F7"/>
    <w:rsid w:val="005402E7"/>
    <w:rsid w:val="00543178"/>
    <w:rsid w:val="00554399"/>
    <w:rsid w:val="0055686D"/>
    <w:rsid w:val="005577A3"/>
    <w:rsid w:val="00557E6C"/>
    <w:rsid w:val="00563DA8"/>
    <w:rsid w:val="00573798"/>
    <w:rsid w:val="00574EDB"/>
    <w:rsid w:val="00576A13"/>
    <w:rsid w:val="00577E1C"/>
    <w:rsid w:val="00584456"/>
    <w:rsid w:val="00584597"/>
    <w:rsid w:val="005855A6"/>
    <w:rsid w:val="00585F36"/>
    <w:rsid w:val="005878B0"/>
    <w:rsid w:val="005915A1"/>
    <w:rsid w:val="005935BA"/>
    <w:rsid w:val="005948CE"/>
    <w:rsid w:val="005950DB"/>
    <w:rsid w:val="00597DD5"/>
    <w:rsid w:val="005A0410"/>
    <w:rsid w:val="005A076C"/>
    <w:rsid w:val="005A4B66"/>
    <w:rsid w:val="005A53F1"/>
    <w:rsid w:val="005A67FC"/>
    <w:rsid w:val="005A6939"/>
    <w:rsid w:val="005B08CE"/>
    <w:rsid w:val="005B0BF6"/>
    <w:rsid w:val="005B15E9"/>
    <w:rsid w:val="005B24FE"/>
    <w:rsid w:val="005B3364"/>
    <w:rsid w:val="005B538F"/>
    <w:rsid w:val="005C1E94"/>
    <w:rsid w:val="005C2E53"/>
    <w:rsid w:val="005C6A57"/>
    <w:rsid w:val="005D0E0B"/>
    <w:rsid w:val="005D460F"/>
    <w:rsid w:val="005D627F"/>
    <w:rsid w:val="005D6CEB"/>
    <w:rsid w:val="005E18A8"/>
    <w:rsid w:val="005E39B7"/>
    <w:rsid w:val="005E5064"/>
    <w:rsid w:val="005E6AFF"/>
    <w:rsid w:val="005E79E2"/>
    <w:rsid w:val="005F064B"/>
    <w:rsid w:val="005F1795"/>
    <w:rsid w:val="005F3519"/>
    <w:rsid w:val="005F351D"/>
    <w:rsid w:val="005F38B4"/>
    <w:rsid w:val="005F4E42"/>
    <w:rsid w:val="00601D3D"/>
    <w:rsid w:val="00602911"/>
    <w:rsid w:val="00603F3A"/>
    <w:rsid w:val="0060720B"/>
    <w:rsid w:val="00613B92"/>
    <w:rsid w:val="00614222"/>
    <w:rsid w:val="0061450F"/>
    <w:rsid w:val="00614F9B"/>
    <w:rsid w:val="00615BCE"/>
    <w:rsid w:val="00615F2A"/>
    <w:rsid w:val="0061655C"/>
    <w:rsid w:val="00621A6D"/>
    <w:rsid w:val="006266D6"/>
    <w:rsid w:val="00627440"/>
    <w:rsid w:val="00631679"/>
    <w:rsid w:val="00632490"/>
    <w:rsid w:val="00637A3B"/>
    <w:rsid w:val="00640EC6"/>
    <w:rsid w:val="006414A7"/>
    <w:rsid w:val="00644BDC"/>
    <w:rsid w:val="00645745"/>
    <w:rsid w:val="00652AE7"/>
    <w:rsid w:val="00652DA1"/>
    <w:rsid w:val="00653F37"/>
    <w:rsid w:val="00655CB3"/>
    <w:rsid w:val="00660ECC"/>
    <w:rsid w:val="0066133E"/>
    <w:rsid w:val="006701EC"/>
    <w:rsid w:val="0067336F"/>
    <w:rsid w:val="00674454"/>
    <w:rsid w:val="006754BB"/>
    <w:rsid w:val="006763B4"/>
    <w:rsid w:val="006774DE"/>
    <w:rsid w:val="006807F9"/>
    <w:rsid w:val="00681DFF"/>
    <w:rsid w:val="006864B0"/>
    <w:rsid w:val="00696035"/>
    <w:rsid w:val="006967F8"/>
    <w:rsid w:val="006A091C"/>
    <w:rsid w:val="006A1362"/>
    <w:rsid w:val="006A2436"/>
    <w:rsid w:val="006A6A30"/>
    <w:rsid w:val="006A7A79"/>
    <w:rsid w:val="006B068E"/>
    <w:rsid w:val="006B0AEC"/>
    <w:rsid w:val="006B3433"/>
    <w:rsid w:val="006B3789"/>
    <w:rsid w:val="006B3D90"/>
    <w:rsid w:val="006B69AA"/>
    <w:rsid w:val="006C0A04"/>
    <w:rsid w:val="006C20A8"/>
    <w:rsid w:val="006C57E4"/>
    <w:rsid w:val="006C675E"/>
    <w:rsid w:val="006C6DCC"/>
    <w:rsid w:val="006D04AC"/>
    <w:rsid w:val="006D08CB"/>
    <w:rsid w:val="006D1C33"/>
    <w:rsid w:val="006D2EED"/>
    <w:rsid w:val="006D5A38"/>
    <w:rsid w:val="006E4153"/>
    <w:rsid w:val="006E4652"/>
    <w:rsid w:val="006E5D4B"/>
    <w:rsid w:val="006E74FF"/>
    <w:rsid w:val="006E7F7E"/>
    <w:rsid w:val="006F04B4"/>
    <w:rsid w:val="006F1E74"/>
    <w:rsid w:val="006F28F8"/>
    <w:rsid w:val="006F555A"/>
    <w:rsid w:val="006F6A91"/>
    <w:rsid w:val="006F7E1D"/>
    <w:rsid w:val="00705533"/>
    <w:rsid w:val="00711314"/>
    <w:rsid w:val="00713E55"/>
    <w:rsid w:val="007157C9"/>
    <w:rsid w:val="007173F2"/>
    <w:rsid w:val="007177E7"/>
    <w:rsid w:val="00721269"/>
    <w:rsid w:val="00724FE3"/>
    <w:rsid w:val="00730F51"/>
    <w:rsid w:val="00731C37"/>
    <w:rsid w:val="007331A7"/>
    <w:rsid w:val="00735EEB"/>
    <w:rsid w:val="007374DE"/>
    <w:rsid w:val="00746144"/>
    <w:rsid w:val="00751FE0"/>
    <w:rsid w:val="00752C11"/>
    <w:rsid w:val="0075308A"/>
    <w:rsid w:val="00753DBD"/>
    <w:rsid w:val="0075567B"/>
    <w:rsid w:val="0075685B"/>
    <w:rsid w:val="00761206"/>
    <w:rsid w:val="007613EB"/>
    <w:rsid w:val="0076229E"/>
    <w:rsid w:val="00762740"/>
    <w:rsid w:val="00762863"/>
    <w:rsid w:val="00763892"/>
    <w:rsid w:val="0076783D"/>
    <w:rsid w:val="0077131D"/>
    <w:rsid w:val="00772270"/>
    <w:rsid w:val="00773D6E"/>
    <w:rsid w:val="00775AFF"/>
    <w:rsid w:val="007771EE"/>
    <w:rsid w:val="00777A5C"/>
    <w:rsid w:val="00780AED"/>
    <w:rsid w:val="0078137F"/>
    <w:rsid w:val="00781BF4"/>
    <w:rsid w:val="00785995"/>
    <w:rsid w:val="00791E67"/>
    <w:rsid w:val="007927E9"/>
    <w:rsid w:val="00795459"/>
    <w:rsid w:val="007956F7"/>
    <w:rsid w:val="00795BF5"/>
    <w:rsid w:val="00795DAB"/>
    <w:rsid w:val="007A0F81"/>
    <w:rsid w:val="007A1003"/>
    <w:rsid w:val="007A4EB1"/>
    <w:rsid w:val="007A6F2B"/>
    <w:rsid w:val="007A7162"/>
    <w:rsid w:val="007A7241"/>
    <w:rsid w:val="007A7EF8"/>
    <w:rsid w:val="007B052A"/>
    <w:rsid w:val="007B3175"/>
    <w:rsid w:val="007B36FD"/>
    <w:rsid w:val="007B4210"/>
    <w:rsid w:val="007C0681"/>
    <w:rsid w:val="007C18A7"/>
    <w:rsid w:val="007C2E9F"/>
    <w:rsid w:val="007C325A"/>
    <w:rsid w:val="007C3306"/>
    <w:rsid w:val="007C4D98"/>
    <w:rsid w:val="007C776F"/>
    <w:rsid w:val="007D011F"/>
    <w:rsid w:val="007D0648"/>
    <w:rsid w:val="007D1CFA"/>
    <w:rsid w:val="007D2BDF"/>
    <w:rsid w:val="007D7F8E"/>
    <w:rsid w:val="007E14A9"/>
    <w:rsid w:val="007E2D3F"/>
    <w:rsid w:val="007E405A"/>
    <w:rsid w:val="007E4A36"/>
    <w:rsid w:val="007E4C5C"/>
    <w:rsid w:val="007E794C"/>
    <w:rsid w:val="007F0397"/>
    <w:rsid w:val="007F07AE"/>
    <w:rsid w:val="007F0BEE"/>
    <w:rsid w:val="007F1D93"/>
    <w:rsid w:val="007F4B16"/>
    <w:rsid w:val="007F4D67"/>
    <w:rsid w:val="007F5E99"/>
    <w:rsid w:val="00800286"/>
    <w:rsid w:val="00801BC1"/>
    <w:rsid w:val="008023D9"/>
    <w:rsid w:val="00802469"/>
    <w:rsid w:val="0080318E"/>
    <w:rsid w:val="00803EE5"/>
    <w:rsid w:val="00805259"/>
    <w:rsid w:val="0080678D"/>
    <w:rsid w:val="0081354E"/>
    <w:rsid w:val="008162FB"/>
    <w:rsid w:val="00816966"/>
    <w:rsid w:val="008171E3"/>
    <w:rsid w:val="00817CE7"/>
    <w:rsid w:val="0082038C"/>
    <w:rsid w:val="008221BC"/>
    <w:rsid w:val="0082442E"/>
    <w:rsid w:val="008250A0"/>
    <w:rsid w:val="00825E2B"/>
    <w:rsid w:val="00825FE2"/>
    <w:rsid w:val="00827377"/>
    <w:rsid w:val="00827C87"/>
    <w:rsid w:val="00827F2C"/>
    <w:rsid w:val="008310AC"/>
    <w:rsid w:val="0083494C"/>
    <w:rsid w:val="00834E05"/>
    <w:rsid w:val="00836CAA"/>
    <w:rsid w:val="00837F60"/>
    <w:rsid w:val="008427E1"/>
    <w:rsid w:val="00842897"/>
    <w:rsid w:val="008444F5"/>
    <w:rsid w:val="00847711"/>
    <w:rsid w:val="008526EE"/>
    <w:rsid w:val="00855D57"/>
    <w:rsid w:val="00862A9D"/>
    <w:rsid w:val="00863685"/>
    <w:rsid w:val="00863A04"/>
    <w:rsid w:val="00864405"/>
    <w:rsid w:val="00865EDE"/>
    <w:rsid w:val="00866089"/>
    <w:rsid w:val="00866B6F"/>
    <w:rsid w:val="00867151"/>
    <w:rsid w:val="008709FB"/>
    <w:rsid w:val="008710B0"/>
    <w:rsid w:val="0087461C"/>
    <w:rsid w:val="008757E1"/>
    <w:rsid w:val="0087582A"/>
    <w:rsid w:val="00880731"/>
    <w:rsid w:val="00883C3D"/>
    <w:rsid w:val="00886417"/>
    <w:rsid w:val="00886674"/>
    <w:rsid w:val="00890A09"/>
    <w:rsid w:val="0089174A"/>
    <w:rsid w:val="00892342"/>
    <w:rsid w:val="00893377"/>
    <w:rsid w:val="00894AB0"/>
    <w:rsid w:val="008951D2"/>
    <w:rsid w:val="0089532E"/>
    <w:rsid w:val="008977E8"/>
    <w:rsid w:val="008A480C"/>
    <w:rsid w:val="008A4D41"/>
    <w:rsid w:val="008A6BB6"/>
    <w:rsid w:val="008B1368"/>
    <w:rsid w:val="008B361B"/>
    <w:rsid w:val="008B41CE"/>
    <w:rsid w:val="008B542F"/>
    <w:rsid w:val="008B70BA"/>
    <w:rsid w:val="008B72F6"/>
    <w:rsid w:val="008B73C7"/>
    <w:rsid w:val="008B7F57"/>
    <w:rsid w:val="008C1663"/>
    <w:rsid w:val="008C1996"/>
    <w:rsid w:val="008C1C18"/>
    <w:rsid w:val="008C34E2"/>
    <w:rsid w:val="008C381C"/>
    <w:rsid w:val="008C3996"/>
    <w:rsid w:val="008C4B93"/>
    <w:rsid w:val="008C7547"/>
    <w:rsid w:val="008D4C63"/>
    <w:rsid w:val="008E4750"/>
    <w:rsid w:val="008E53E8"/>
    <w:rsid w:val="008E7F9C"/>
    <w:rsid w:val="008F0373"/>
    <w:rsid w:val="008F0DC3"/>
    <w:rsid w:val="008F36DC"/>
    <w:rsid w:val="008F5513"/>
    <w:rsid w:val="008F74F8"/>
    <w:rsid w:val="008F760C"/>
    <w:rsid w:val="00900101"/>
    <w:rsid w:val="0090326D"/>
    <w:rsid w:val="00904D23"/>
    <w:rsid w:val="0090663D"/>
    <w:rsid w:val="00906841"/>
    <w:rsid w:val="00906E95"/>
    <w:rsid w:val="009114CE"/>
    <w:rsid w:val="00911DEA"/>
    <w:rsid w:val="00912F1C"/>
    <w:rsid w:val="0092301A"/>
    <w:rsid w:val="00925A98"/>
    <w:rsid w:val="009266E2"/>
    <w:rsid w:val="00926BCA"/>
    <w:rsid w:val="00930690"/>
    <w:rsid w:val="009312D6"/>
    <w:rsid w:val="0093344B"/>
    <w:rsid w:val="009337F1"/>
    <w:rsid w:val="00933A55"/>
    <w:rsid w:val="00936007"/>
    <w:rsid w:val="009414DE"/>
    <w:rsid w:val="0094279F"/>
    <w:rsid w:val="00952826"/>
    <w:rsid w:val="00953B7B"/>
    <w:rsid w:val="0095498F"/>
    <w:rsid w:val="00955519"/>
    <w:rsid w:val="009624E7"/>
    <w:rsid w:val="009640FD"/>
    <w:rsid w:val="009662AF"/>
    <w:rsid w:val="009700CC"/>
    <w:rsid w:val="00970D0C"/>
    <w:rsid w:val="00976EAE"/>
    <w:rsid w:val="00986D94"/>
    <w:rsid w:val="0099106E"/>
    <w:rsid w:val="00992F81"/>
    <w:rsid w:val="00994234"/>
    <w:rsid w:val="00997D14"/>
    <w:rsid w:val="00997D63"/>
    <w:rsid w:val="009A1F02"/>
    <w:rsid w:val="009A2ECC"/>
    <w:rsid w:val="009A4D37"/>
    <w:rsid w:val="009A65BE"/>
    <w:rsid w:val="009A702D"/>
    <w:rsid w:val="009B000A"/>
    <w:rsid w:val="009B10EE"/>
    <w:rsid w:val="009B1947"/>
    <w:rsid w:val="009B369E"/>
    <w:rsid w:val="009C032A"/>
    <w:rsid w:val="009C0495"/>
    <w:rsid w:val="009C04CA"/>
    <w:rsid w:val="009C2A5C"/>
    <w:rsid w:val="009C52B0"/>
    <w:rsid w:val="009C6F45"/>
    <w:rsid w:val="009D08DF"/>
    <w:rsid w:val="009D2381"/>
    <w:rsid w:val="009D4A71"/>
    <w:rsid w:val="009D5280"/>
    <w:rsid w:val="009E055D"/>
    <w:rsid w:val="009E3231"/>
    <w:rsid w:val="009E53B8"/>
    <w:rsid w:val="009E7CD9"/>
    <w:rsid w:val="009F07A0"/>
    <w:rsid w:val="009F211D"/>
    <w:rsid w:val="009F290E"/>
    <w:rsid w:val="009F3996"/>
    <w:rsid w:val="009F3CFD"/>
    <w:rsid w:val="00A01E23"/>
    <w:rsid w:val="00A0350A"/>
    <w:rsid w:val="00A04BB2"/>
    <w:rsid w:val="00A04D82"/>
    <w:rsid w:val="00A05ABE"/>
    <w:rsid w:val="00A076EF"/>
    <w:rsid w:val="00A10023"/>
    <w:rsid w:val="00A120AA"/>
    <w:rsid w:val="00A12757"/>
    <w:rsid w:val="00A20DBF"/>
    <w:rsid w:val="00A22DDB"/>
    <w:rsid w:val="00A2399B"/>
    <w:rsid w:val="00A23F9A"/>
    <w:rsid w:val="00A247F8"/>
    <w:rsid w:val="00A248CE"/>
    <w:rsid w:val="00A26789"/>
    <w:rsid w:val="00A30694"/>
    <w:rsid w:val="00A33EF4"/>
    <w:rsid w:val="00A3534F"/>
    <w:rsid w:val="00A37D64"/>
    <w:rsid w:val="00A41789"/>
    <w:rsid w:val="00A41F47"/>
    <w:rsid w:val="00A4370F"/>
    <w:rsid w:val="00A44903"/>
    <w:rsid w:val="00A4708F"/>
    <w:rsid w:val="00A5017C"/>
    <w:rsid w:val="00A50E00"/>
    <w:rsid w:val="00A5243F"/>
    <w:rsid w:val="00A542C6"/>
    <w:rsid w:val="00A54E11"/>
    <w:rsid w:val="00A55A43"/>
    <w:rsid w:val="00A5784C"/>
    <w:rsid w:val="00A57A42"/>
    <w:rsid w:val="00A57A89"/>
    <w:rsid w:val="00A63057"/>
    <w:rsid w:val="00A6433F"/>
    <w:rsid w:val="00A6611F"/>
    <w:rsid w:val="00A70DF0"/>
    <w:rsid w:val="00A733AF"/>
    <w:rsid w:val="00A80548"/>
    <w:rsid w:val="00A81139"/>
    <w:rsid w:val="00A82A36"/>
    <w:rsid w:val="00A84026"/>
    <w:rsid w:val="00A901BD"/>
    <w:rsid w:val="00A91D25"/>
    <w:rsid w:val="00A968C9"/>
    <w:rsid w:val="00A96FCD"/>
    <w:rsid w:val="00AA4C24"/>
    <w:rsid w:val="00AA68E0"/>
    <w:rsid w:val="00AB0B9C"/>
    <w:rsid w:val="00AB1790"/>
    <w:rsid w:val="00AB59B4"/>
    <w:rsid w:val="00AC1FCD"/>
    <w:rsid w:val="00AC299C"/>
    <w:rsid w:val="00AC2ABB"/>
    <w:rsid w:val="00AC7AC4"/>
    <w:rsid w:val="00AD023F"/>
    <w:rsid w:val="00AD04A1"/>
    <w:rsid w:val="00AD05FB"/>
    <w:rsid w:val="00AD21C5"/>
    <w:rsid w:val="00AD4C4C"/>
    <w:rsid w:val="00AD4C7C"/>
    <w:rsid w:val="00AD5D9F"/>
    <w:rsid w:val="00AD6AA5"/>
    <w:rsid w:val="00AD7493"/>
    <w:rsid w:val="00AE0297"/>
    <w:rsid w:val="00AE0FA1"/>
    <w:rsid w:val="00AE1716"/>
    <w:rsid w:val="00AE2344"/>
    <w:rsid w:val="00AE30A0"/>
    <w:rsid w:val="00AE3BC5"/>
    <w:rsid w:val="00AE4191"/>
    <w:rsid w:val="00AE54B5"/>
    <w:rsid w:val="00AE5A7C"/>
    <w:rsid w:val="00AE5CEB"/>
    <w:rsid w:val="00AE6450"/>
    <w:rsid w:val="00AE683A"/>
    <w:rsid w:val="00AE7F02"/>
    <w:rsid w:val="00AF7C2A"/>
    <w:rsid w:val="00B0150F"/>
    <w:rsid w:val="00B024E7"/>
    <w:rsid w:val="00B039D1"/>
    <w:rsid w:val="00B060C4"/>
    <w:rsid w:val="00B06552"/>
    <w:rsid w:val="00B13D04"/>
    <w:rsid w:val="00B1476D"/>
    <w:rsid w:val="00B16BB8"/>
    <w:rsid w:val="00B171F2"/>
    <w:rsid w:val="00B2030A"/>
    <w:rsid w:val="00B21BDF"/>
    <w:rsid w:val="00B22240"/>
    <w:rsid w:val="00B224EA"/>
    <w:rsid w:val="00B22B84"/>
    <w:rsid w:val="00B24456"/>
    <w:rsid w:val="00B246F6"/>
    <w:rsid w:val="00B25546"/>
    <w:rsid w:val="00B2786F"/>
    <w:rsid w:val="00B33481"/>
    <w:rsid w:val="00B33CCA"/>
    <w:rsid w:val="00B33F20"/>
    <w:rsid w:val="00B340B4"/>
    <w:rsid w:val="00B34692"/>
    <w:rsid w:val="00B34881"/>
    <w:rsid w:val="00B45571"/>
    <w:rsid w:val="00B526C7"/>
    <w:rsid w:val="00B54280"/>
    <w:rsid w:val="00B54485"/>
    <w:rsid w:val="00B54A2B"/>
    <w:rsid w:val="00B555F5"/>
    <w:rsid w:val="00B565AC"/>
    <w:rsid w:val="00B577F7"/>
    <w:rsid w:val="00B65796"/>
    <w:rsid w:val="00B66617"/>
    <w:rsid w:val="00B67435"/>
    <w:rsid w:val="00B7109C"/>
    <w:rsid w:val="00B75DE1"/>
    <w:rsid w:val="00B775A8"/>
    <w:rsid w:val="00B80591"/>
    <w:rsid w:val="00B807EB"/>
    <w:rsid w:val="00B83B86"/>
    <w:rsid w:val="00B83E3C"/>
    <w:rsid w:val="00B847BE"/>
    <w:rsid w:val="00B869B3"/>
    <w:rsid w:val="00B8769A"/>
    <w:rsid w:val="00B913F4"/>
    <w:rsid w:val="00B93BD9"/>
    <w:rsid w:val="00B96408"/>
    <w:rsid w:val="00BA1A6B"/>
    <w:rsid w:val="00BA2136"/>
    <w:rsid w:val="00BA23BB"/>
    <w:rsid w:val="00BA284A"/>
    <w:rsid w:val="00BA304A"/>
    <w:rsid w:val="00BA38BC"/>
    <w:rsid w:val="00BA5180"/>
    <w:rsid w:val="00BA6C33"/>
    <w:rsid w:val="00BA7919"/>
    <w:rsid w:val="00BB1312"/>
    <w:rsid w:val="00BB74D8"/>
    <w:rsid w:val="00BC03C7"/>
    <w:rsid w:val="00BC1012"/>
    <w:rsid w:val="00BC21C1"/>
    <w:rsid w:val="00BC38A4"/>
    <w:rsid w:val="00BC3C7B"/>
    <w:rsid w:val="00BC4ABC"/>
    <w:rsid w:val="00BC60E7"/>
    <w:rsid w:val="00BC6E38"/>
    <w:rsid w:val="00BD0801"/>
    <w:rsid w:val="00BD45F7"/>
    <w:rsid w:val="00BD473C"/>
    <w:rsid w:val="00BD7927"/>
    <w:rsid w:val="00BE3145"/>
    <w:rsid w:val="00BE3D7F"/>
    <w:rsid w:val="00BE481A"/>
    <w:rsid w:val="00BE4D64"/>
    <w:rsid w:val="00BE7F76"/>
    <w:rsid w:val="00BF5083"/>
    <w:rsid w:val="00C03463"/>
    <w:rsid w:val="00C0545A"/>
    <w:rsid w:val="00C05A63"/>
    <w:rsid w:val="00C05ED9"/>
    <w:rsid w:val="00C06C01"/>
    <w:rsid w:val="00C11A69"/>
    <w:rsid w:val="00C13075"/>
    <w:rsid w:val="00C1402B"/>
    <w:rsid w:val="00C1444B"/>
    <w:rsid w:val="00C16835"/>
    <w:rsid w:val="00C2029B"/>
    <w:rsid w:val="00C2132A"/>
    <w:rsid w:val="00C22192"/>
    <w:rsid w:val="00C25966"/>
    <w:rsid w:val="00C33174"/>
    <w:rsid w:val="00C331A8"/>
    <w:rsid w:val="00C361F6"/>
    <w:rsid w:val="00C36DC2"/>
    <w:rsid w:val="00C4078A"/>
    <w:rsid w:val="00C4568D"/>
    <w:rsid w:val="00C47AC3"/>
    <w:rsid w:val="00C50006"/>
    <w:rsid w:val="00C50D32"/>
    <w:rsid w:val="00C5116B"/>
    <w:rsid w:val="00C5117A"/>
    <w:rsid w:val="00C53E00"/>
    <w:rsid w:val="00C54F26"/>
    <w:rsid w:val="00C56D64"/>
    <w:rsid w:val="00C57C33"/>
    <w:rsid w:val="00C6243E"/>
    <w:rsid w:val="00C62AE8"/>
    <w:rsid w:val="00C62D4D"/>
    <w:rsid w:val="00C703E4"/>
    <w:rsid w:val="00C739EA"/>
    <w:rsid w:val="00C74B46"/>
    <w:rsid w:val="00C76856"/>
    <w:rsid w:val="00CA2BBE"/>
    <w:rsid w:val="00CA30F9"/>
    <w:rsid w:val="00CA3AD0"/>
    <w:rsid w:val="00CA627F"/>
    <w:rsid w:val="00CB3BE0"/>
    <w:rsid w:val="00CB6091"/>
    <w:rsid w:val="00CB7E91"/>
    <w:rsid w:val="00CC15F6"/>
    <w:rsid w:val="00CC216D"/>
    <w:rsid w:val="00CC3FD9"/>
    <w:rsid w:val="00CC549F"/>
    <w:rsid w:val="00CD1002"/>
    <w:rsid w:val="00CD5D51"/>
    <w:rsid w:val="00CE1505"/>
    <w:rsid w:val="00CE1979"/>
    <w:rsid w:val="00CE22C0"/>
    <w:rsid w:val="00CE4176"/>
    <w:rsid w:val="00CE4B39"/>
    <w:rsid w:val="00CE64CA"/>
    <w:rsid w:val="00CE658D"/>
    <w:rsid w:val="00CF1483"/>
    <w:rsid w:val="00CF2F9B"/>
    <w:rsid w:val="00CF33AA"/>
    <w:rsid w:val="00CF5551"/>
    <w:rsid w:val="00CF5C76"/>
    <w:rsid w:val="00CF60EC"/>
    <w:rsid w:val="00D013F4"/>
    <w:rsid w:val="00D01AB3"/>
    <w:rsid w:val="00D0734C"/>
    <w:rsid w:val="00D114F9"/>
    <w:rsid w:val="00D13DAD"/>
    <w:rsid w:val="00D172BC"/>
    <w:rsid w:val="00D2429A"/>
    <w:rsid w:val="00D25267"/>
    <w:rsid w:val="00D26B5B"/>
    <w:rsid w:val="00D270C7"/>
    <w:rsid w:val="00D313F4"/>
    <w:rsid w:val="00D341FF"/>
    <w:rsid w:val="00D3508A"/>
    <w:rsid w:val="00D425A8"/>
    <w:rsid w:val="00D457EC"/>
    <w:rsid w:val="00D46DCC"/>
    <w:rsid w:val="00D534AF"/>
    <w:rsid w:val="00D5574A"/>
    <w:rsid w:val="00D56310"/>
    <w:rsid w:val="00D5699E"/>
    <w:rsid w:val="00D56A53"/>
    <w:rsid w:val="00D601EA"/>
    <w:rsid w:val="00D64844"/>
    <w:rsid w:val="00D656B6"/>
    <w:rsid w:val="00D65962"/>
    <w:rsid w:val="00D65B2E"/>
    <w:rsid w:val="00D663D2"/>
    <w:rsid w:val="00D676F1"/>
    <w:rsid w:val="00D70565"/>
    <w:rsid w:val="00D758DC"/>
    <w:rsid w:val="00D762FD"/>
    <w:rsid w:val="00D858EE"/>
    <w:rsid w:val="00D86D2A"/>
    <w:rsid w:val="00D90D50"/>
    <w:rsid w:val="00D942AA"/>
    <w:rsid w:val="00D96400"/>
    <w:rsid w:val="00DB13F5"/>
    <w:rsid w:val="00DB14F9"/>
    <w:rsid w:val="00DB3278"/>
    <w:rsid w:val="00DB691D"/>
    <w:rsid w:val="00DC19D4"/>
    <w:rsid w:val="00DC2E65"/>
    <w:rsid w:val="00DC6991"/>
    <w:rsid w:val="00DC738A"/>
    <w:rsid w:val="00DC79D5"/>
    <w:rsid w:val="00DD0525"/>
    <w:rsid w:val="00DD22FB"/>
    <w:rsid w:val="00DD2D6F"/>
    <w:rsid w:val="00DD6F08"/>
    <w:rsid w:val="00DD7B89"/>
    <w:rsid w:val="00DE0897"/>
    <w:rsid w:val="00DE2579"/>
    <w:rsid w:val="00DE4D19"/>
    <w:rsid w:val="00DE68B5"/>
    <w:rsid w:val="00DE6FA2"/>
    <w:rsid w:val="00DF0C06"/>
    <w:rsid w:val="00DF156E"/>
    <w:rsid w:val="00DF1EC7"/>
    <w:rsid w:val="00DF3331"/>
    <w:rsid w:val="00DF42BF"/>
    <w:rsid w:val="00DF7664"/>
    <w:rsid w:val="00E02B99"/>
    <w:rsid w:val="00E03BA9"/>
    <w:rsid w:val="00E13412"/>
    <w:rsid w:val="00E14E71"/>
    <w:rsid w:val="00E2163B"/>
    <w:rsid w:val="00E2247C"/>
    <w:rsid w:val="00E2435F"/>
    <w:rsid w:val="00E258A9"/>
    <w:rsid w:val="00E26D84"/>
    <w:rsid w:val="00E30471"/>
    <w:rsid w:val="00E31303"/>
    <w:rsid w:val="00E317C7"/>
    <w:rsid w:val="00E334AE"/>
    <w:rsid w:val="00E36E9E"/>
    <w:rsid w:val="00E376DA"/>
    <w:rsid w:val="00E42456"/>
    <w:rsid w:val="00E4613F"/>
    <w:rsid w:val="00E476CE"/>
    <w:rsid w:val="00E47A14"/>
    <w:rsid w:val="00E52244"/>
    <w:rsid w:val="00E5508B"/>
    <w:rsid w:val="00E55889"/>
    <w:rsid w:val="00E55F79"/>
    <w:rsid w:val="00E605C6"/>
    <w:rsid w:val="00E65CE9"/>
    <w:rsid w:val="00E6775A"/>
    <w:rsid w:val="00E7085C"/>
    <w:rsid w:val="00E709EF"/>
    <w:rsid w:val="00E75DF8"/>
    <w:rsid w:val="00E7631D"/>
    <w:rsid w:val="00E810DF"/>
    <w:rsid w:val="00E82412"/>
    <w:rsid w:val="00E8292E"/>
    <w:rsid w:val="00E834D8"/>
    <w:rsid w:val="00E841E4"/>
    <w:rsid w:val="00E85E52"/>
    <w:rsid w:val="00E94D20"/>
    <w:rsid w:val="00EA0768"/>
    <w:rsid w:val="00EA3065"/>
    <w:rsid w:val="00EA72D3"/>
    <w:rsid w:val="00EB07EB"/>
    <w:rsid w:val="00EB24C9"/>
    <w:rsid w:val="00EB2BDB"/>
    <w:rsid w:val="00EB3A8E"/>
    <w:rsid w:val="00EB5736"/>
    <w:rsid w:val="00EB5AE1"/>
    <w:rsid w:val="00EC05B9"/>
    <w:rsid w:val="00EC3296"/>
    <w:rsid w:val="00EC35BD"/>
    <w:rsid w:val="00EC6FAA"/>
    <w:rsid w:val="00ED451E"/>
    <w:rsid w:val="00ED5B66"/>
    <w:rsid w:val="00ED622A"/>
    <w:rsid w:val="00EE0311"/>
    <w:rsid w:val="00EE0F23"/>
    <w:rsid w:val="00EE0F4D"/>
    <w:rsid w:val="00EE1A93"/>
    <w:rsid w:val="00EE1E19"/>
    <w:rsid w:val="00EE6092"/>
    <w:rsid w:val="00EE6581"/>
    <w:rsid w:val="00EF0D62"/>
    <w:rsid w:val="00EF71E9"/>
    <w:rsid w:val="00EF75AB"/>
    <w:rsid w:val="00EF7924"/>
    <w:rsid w:val="00F000B6"/>
    <w:rsid w:val="00F0229A"/>
    <w:rsid w:val="00F054E2"/>
    <w:rsid w:val="00F10B18"/>
    <w:rsid w:val="00F126E7"/>
    <w:rsid w:val="00F20314"/>
    <w:rsid w:val="00F21A1D"/>
    <w:rsid w:val="00F2464B"/>
    <w:rsid w:val="00F325FB"/>
    <w:rsid w:val="00F34590"/>
    <w:rsid w:val="00F40948"/>
    <w:rsid w:val="00F42663"/>
    <w:rsid w:val="00F453EC"/>
    <w:rsid w:val="00F52305"/>
    <w:rsid w:val="00F56B35"/>
    <w:rsid w:val="00F57737"/>
    <w:rsid w:val="00F60314"/>
    <w:rsid w:val="00F625C2"/>
    <w:rsid w:val="00F62AEE"/>
    <w:rsid w:val="00F63C5E"/>
    <w:rsid w:val="00F65C92"/>
    <w:rsid w:val="00F6685F"/>
    <w:rsid w:val="00F7297C"/>
    <w:rsid w:val="00F74409"/>
    <w:rsid w:val="00F77B4D"/>
    <w:rsid w:val="00F77C8F"/>
    <w:rsid w:val="00F80EB4"/>
    <w:rsid w:val="00F817EF"/>
    <w:rsid w:val="00F81E1C"/>
    <w:rsid w:val="00F83827"/>
    <w:rsid w:val="00F87739"/>
    <w:rsid w:val="00F91273"/>
    <w:rsid w:val="00F9159C"/>
    <w:rsid w:val="00F91BAA"/>
    <w:rsid w:val="00F920E8"/>
    <w:rsid w:val="00F9322A"/>
    <w:rsid w:val="00F93FA3"/>
    <w:rsid w:val="00F96C6E"/>
    <w:rsid w:val="00FA373D"/>
    <w:rsid w:val="00FA55C3"/>
    <w:rsid w:val="00FA6C09"/>
    <w:rsid w:val="00FB0107"/>
    <w:rsid w:val="00FB02BF"/>
    <w:rsid w:val="00FB09C8"/>
    <w:rsid w:val="00FB2E0F"/>
    <w:rsid w:val="00FB3F46"/>
    <w:rsid w:val="00FB4E72"/>
    <w:rsid w:val="00FB790C"/>
    <w:rsid w:val="00FC1CE9"/>
    <w:rsid w:val="00FC24A9"/>
    <w:rsid w:val="00FC2CD8"/>
    <w:rsid w:val="00FC32F3"/>
    <w:rsid w:val="00FC5EFB"/>
    <w:rsid w:val="00FC74AE"/>
    <w:rsid w:val="00FD2A15"/>
    <w:rsid w:val="00FD30C5"/>
    <w:rsid w:val="00FD6617"/>
    <w:rsid w:val="00FE0B9E"/>
    <w:rsid w:val="00FE0E0E"/>
    <w:rsid w:val="00FE2946"/>
    <w:rsid w:val="00FE3211"/>
    <w:rsid w:val="00FE7B67"/>
    <w:rsid w:val="00FE7D7A"/>
    <w:rsid w:val="00FF1DE9"/>
    <w:rsid w:val="00FF2810"/>
    <w:rsid w:val="00FF325A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1660E"/>
  <w15:docId w15:val="{5BE1998C-C69F-4103-8872-5C276860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06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99106E"/>
    <w:pPr>
      <w:ind w:left="835" w:right="-360"/>
    </w:pPr>
    <w:rPr>
      <w:sz w:val="20"/>
      <w:szCs w:val="20"/>
      <w:lang w:val="en-US"/>
    </w:rPr>
  </w:style>
  <w:style w:type="paragraph" w:styleId="Header">
    <w:name w:val="header"/>
    <w:basedOn w:val="Normal"/>
    <w:rsid w:val="00F409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09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024E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62AE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365C36"/>
  </w:style>
  <w:style w:type="paragraph" w:styleId="NormalWeb">
    <w:name w:val="Normal (Web)"/>
    <w:basedOn w:val="Normal"/>
    <w:uiPriority w:val="99"/>
    <w:unhideWhenUsed/>
    <w:rsid w:val="005D6CEB"/>
    <w:pPr>
      <w:spacing w:before="100" w:beforeAutospacing="1" w:after="100" w:afterAutospacing="1"/>
    </w:pPr>
    <w:rPr>
      <w:lang w:eastAsia="en-CA"/>
    </w:rPr>
  </w:style>
  <w:style w:type="character" w:customStyle="1" w:styleId="apple-converted-space">
    <w:name w:val="apple-converted-space"/>
    <w:basedOn w:val="DefaultParagraphFont"/>
    <w:rsid w:val="00D114F9"/>
  </w:style>
  <w:style w:type="character" w:styleId="Hyperlink">
    <w:name w:val="Hyperlink"/>
    <w:basedOn w:val="DefaultParagraphFont"/>
    <w:uiPriority w:val="99"/>
    <w:unhideWhenUsed/>
    <w:rsid w:val="00D114F9"/>
    <w:rPr>
      <w:color w:val="0000FF"/>
      <w:u w:val="single"/>
    </w:rPr>
  </w:style>
  <w:style w:type="table" w:styleId="TableGrid">
    <w:name w:val="Table Grid"/>
    <w:basedOn w:val="TableNormal"/>
    <w:rsid w:val="007F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07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7461C"/>
    <w:rPr>
      <w:sz w:val="24"/>
      <w:szCs w:val="24"/>
      <w:lang w:eastAsia="en-US"/>
    </w:rPr>
  </w:style>
  <w:style w:type="paragraph" w:customStyle="1" w:styleId="Default">
    <w:name w:val="Default"/>
    <w:rsid w:val="0036002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AE5CE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89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8445A-FBDD-4351-8B26-8809888F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6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Galliant Capital Management Inc</vt:lpstr>
    </vt:vector>
  </TitlesOfParts>
  <Company>Sheiner Group</Company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Galliant Capital Management Inc</dc:title>
  <dc:creator>Christine Daigle</dc:creator>
  <cp:lastModifiedBy>Eric Almon</cp:lastModifiedBy>
  <cp:revision>368</cp:revision>
  <cp:lastPrinted>2018-06-15T19:54:00Z</cp:lastPrinted>
  <dcterms:created xsi:type="dcterms:W3CDTF">2018-07-03T12:58:00Z</dcterms:created>
  <dcterms:modified xsi:type="dcterms:W3CDTF">2022-04-11T21:10:00Z</dcterms:modified>
</cp:coreProperties>
</file>