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C662" w14:textId="77777777" w:rsidR="00BF389C" w:rsidRPr="00BF389C" w:rsidRDefault="00BF389C" w:rsidP="00BF389C">
      <w:pPr>
        <w:spacing w:after="100" w:afterAutospacing="1" w:line="240" w:lineRule="auto"/>
        <w:outlineLvl w:val="0"/>
        <w:rPr>
          <w:rFonts w:asciiTheme="majorHAnsi" w:eastAsia="Times New Roman" w:hAnsiTheme="majorHAnsi" w:cstheme="majorHAnsi"/>
          <w:kern w:val="36"/>
          <w:sz w:val="44"/>
          <w:szCs w:val="44"/>
          <w14:ligatures w14:val="none"/>
        </w:rPr>
      </w:pPr>
      <w:r w:rsidRPr="00BF389C">
        <w:rPr>
          <w:rFonts w:asciiTheme="majorHAnsi" w:eastAsia="Times New Roman" w:hAnsiTheme="majorHAnsi" w:cstheme="majorHAnsi"/>
          <w:kern w:val="36"/>
          <w:sz w:val="44"/>
          <w:szCs w:val="44"/>
          <w14:ligatures w14:val="none"/>
        </w:rPr>
        <w:t>Module 2 - Lab 1 Assessing the App and Environment for Containers</w:t>
      </w:r>
    </w:p>
    <w:p w14:paraId="13509304" w14:textId="77777777" w:rsidR="00BF389C" w:rsidRPr="008F3CE0" w:rsidRDefault="00BF389C" w:rsidP="00BF389C">
      <w:pPr>
        <w:spacing w:after="48" w:line="240" w:lineRule="auto"/>
        <w:outlineLvl w:val="1"/>
        <w:rPr>
          <w:rFonts w:asciiTheme="majorHAnsi" w:eastAsia="Times New Roman" w:hAnsiTheme="majorHAnsi" w:cstheme="majorHAnsi"/>
          <w:kern w:val="0"/>
          <w:sz w:val="36"/>
          <w:szCs w:val="36"/>
          <w14:ligatures w14:val="none"/>
        </w:rPr>
      </w:pPr>
      <w:r w:rsidRPr="00BF389C">
        <w:rPr>
          <w:rFonts w:asciiTheme="majorHAnsi" w:eastAsia="Times New Roman" w:hAnsiTheme="majorHAnsi" w:cstheme="majorHAnsi"/>
          <w:kern w:val="0"/>
          <w:sz w:val="36"/>
          <w:szCs w:val="36"/>
          <w14:ligatures w14:val="none"/>
        </w:rPr>
        <w:t>Lab Worksheet</w:t>
      </w:r>
    </w:p>
    <w:p w14:paraId="12752360" w14:textId="77777777" w:rsidR="006C497D" w:rsidRPr="00BF389C" w:rsidRDefault="006C497D" w:rsidP="00BF389C">
      <w:pPr>
        <w:spacing w:after="48" w:line="240" w:lineRule="auto"/>
        <w:outlineLvl w:val="1"/>
        <w:rPr>
          <w:rFonts w:ascii="Segoe UI" w:eastAsia="Times New Roman" w:hAnsi="Segoe UI" w:cs="Segoe UI"/>
          <w:kern w:val="0"/>
          <w:sz w:val="36"/>
          <w:szCs w:val="36"/>
          <w14:ligatures w14:val="none"/>
        </w:rPr>
      </w:pPr>
    </w:p>
    <w:p w14:paraId="1524CC22" w14:textId="77777777" w:rsidR="00BF389C" w:rsidRPr="00BF389C" w:rsidRDefault="00BF389C" w:rsidP="00BF389C">
      <w:pPr>
        <w:spacing w:after="168" w:line="240" w:lineRule="auto"/>
        <w:rPr>
          <w:rFonts w:eastAsia="Times New Roman" w:cstheme="minorHAnsi"/>
          <w:kern w:val="0"/>
          <w:szCs w:val="24"/>
          <w14:ligatures w14:val="none"/>
        </w:rPr>
      </w:pPr>
      <w:r w:rsidRPr="00BF389C">
        <w:rPr>
          <w:rFonts w:eastAsia="Times New Roman" w:cstheme="minorHAnsi"/>
          <w:kern w:val="0"/>
          <w:szCs w:val="24"/>
          <w14:ligatures w14:val="none"/>
        </w:rPr>
        <w:t xml:space="preserve">In this exercise, you will evaluate </w:t>
      </w:r>
      <w:proofErr w:type="spellStart"/>
      <w:r w:rsidRPr="00BF389C">
        <w:rPr>
          <w:rFonts w:eastAsia="Times New Roman" w:cstheme="minorHAnsi"/>
          <w:kern w:val="0"/>
          <w:szCs w:val="24"/>
          <w14:ligatures w14:val="none"/>
        </w:rPr>
        <w:t>BioGuide</w:t>
      </w:r>
      <w:proofErr w:type="spellEnd"/>
      <w:r w:rsidRPr="00BF389C">
        <w:rPr>
          <w:rFonts w:eastAsia="Times New Roman" w:cstheme="minorHAnsi"/>
          <w:kern w:val="0"/>
          <w:szCs w:val="24"/>
          <w14:ligatures w14:val="none"/>
        </w:rPr>
        <w:t xml:space="preserve"> and the environment in which </w:t>
      </w:r>
      <w:proofErr w:type="spellStart"/>
      <w:r w:rsidRPr="00BF389C">
        <w:rPr>
          <w:rFonts w:eastAsia="Times New Roman" w:cstheme="minorHAnsi"/>
          <w:kern w:val="0"/>
          <w:szCs w:val="24"/>
          <w14:ligatures w14:val="none"/>
        </w:rPr>
        <w:t>BioGuide</w:t>
      </w:r>
      <w:proofErr w:type="spellEnd"/>
      <w:r w:rsidRPr="00BF389C">
        <w:rPr>
          <w:rFonts w:eastAsia="Times New Roman" w:cstheme="minorHAnsi"/>
          <w:kern w:val="0"/>
          <w:szCs w:val="24"/>
          <w14:ligatures w14:val="none"/>
        </w:rPr>
        <w:t xml:space="preserve"> currently operates to determine your path to containerizing the workload and deploying it to your existing Kubernetes environment. Using the lab guide, complete this worksheet.</w:t>
      </w:r>
    </w:p>
    <w:p w14:paraId="3FB7F95C" w14:textId="35E9B7AC" w:rsidR="00BF389C" w:rsidRPr="00BF389C" w:rsidRDefault="00BF389C" w:rsidP="00BF389C">
      <w:pPr>
        <w:spacing w:after="48" w:line="240" w:lineRule="auto"/>
        <w:outlineLvl w:val="2"/>
        <w:rPr>
          <w:rFonts w:asciiTheme="majorHAnsi" w:eastAsia="Times New Roman" w:hAnsiTheme="majorHAnsi" w:cstheme="majorHAnsi"/>
          <w:kern w:val="0"/>
          <w:szCs w:val="24"/>
          <w14:ligatures w14:val="none"/>
        </w:rPr>
      </w:pPr>
      <w:r w:rsidRPr="008F3CE0">
        <w:rPr>
          <w:rFonts w:asciiTheme="majorHAnsi" w:eastAsia="Times New Roman" w:hAnsiTheme="majorHAnsi" w:cstheme="majorHAnsi"/>
          <w:kern w:val="0"/>
          <w:sz w:val="32"/>
          <w:szCs w:val="32"/>
          <w14:ligatures w14:val="none"/>
        </w:rPr>
        <w:t>Understanding</w:t>
      </w:r>
      <w:r w:rsidRPr="00BF389C">
        <w:rPr>
          <w:rFonts w:asciiTheme="majorHAnsi" w:eastAsia="Times New Roman" w:hAnsiTheme="majorHAnsi" w:cstheme="majorHAnsi"/>
          <w:kern w:val="0"/>
          <w:sz w:val="32"/>
          <w:szCs w:val="32"/>
          <w14:ligatures w14:val="none"/>
        </w:rPr>
        <w:t xml:space="preserve"> the Goal</w:t>
      </w:r>
    </w:p>
    <w:p w14:paraId="0FE6236E" w14:textId="77777777" w:rsidR="00BF389C" w:rsidRPr="00BF389C"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Why is the application being migrated?</w:t>
      </w:r>
    </w:p>
    <w:p w14:paraId="1FF493AE"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DB6D00B"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7F847785"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A5686F3" w14:textId="77777777" w:rsidR="00BF389C" w:rsidRPr="00BF389C" w:rsidRDefault="00BF389C" w:rsidP="00BF389C">
      <w:pPr>
        <w:tabs>
          <w:tab w:val="num" w:pos="360"/>
        </w:tabs>
        <w:spacing w:after="168" w:line="240" w:lineRule="auto"/>
        <w:ind w:left="360" w:hanging="360"/>
        <w:rPr>
          <w:rFonts w:eastAsia="Times New Roman" w:cstheme="minorHAnsi"/>
          <w:kern w:val="0"/>
          <w:szCs w:val="24"/>
          <w14:ligatures w14:val="none"/>
        </w:rPr>
      </w:pPr>
    </w:p>
    <w:p w14:paraId="495FB230" w14:textId="32F333A3" w:rsidR="00BF389C" w:rsidRPr="008F3CE0"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Can the behavior of the application be modified? If not, can the cloud environment</w:t>
      </w:r>
      <w:r w:rsidR="006C497D" w:rsidRPr="008F3CE0">
        <w:rPr>
          <w:rFonts w:eastAsia="Times New Roman" w:cstheme="minorHAnsi"/>
          <w:kern w:val="0"/>
          <w:szCs w:val="24"/>
          <w14:ligatures w14:val="none"/>
        </w:rPr>
        <w:t xml:space="preserve"> </w:t>
      </w:r>
      <w:r w:rsidRPr="00BF389C">
        <w:rPr>
          <w:rFonts w:eastAsia="Times New Roman" w:cstheme="minorHAnsi"/>
          <w:kern w:val="0"/>
          <w:szCs w:val="24"/>
          <w14:ligatures w14:val="none"/>
        </w:rPr>
        <w:t xml:space="preserve">be modified to </w:t>
      </w:r>
      <w:r w:rsidRPr="008F3CE0">
        <w:rPr>
          <w:rFonts w:eastAsia="Times New Roman" w:cstheme="minorHAnsi"/>
          <w:kern w:val="0"/>
          <w:szCs w:val="24"/>
          <w14:ligatures w14:val="none"/>
        </w:rPr>
        <w:t>accommodate</w:t>
      </w:r>
      <w:r w:rsidRPr="00BF389C">
        <w:rPr>
          <w:rFonts w:eastAsia="Times New Roman" w:cstheme="minorHAnsi"/>
          <w:kern w:val="0"/>
          <w:szCs w:val="24"/>
          <w14:ligatures w14:val="none"/>
        </w:rPr>
        <w:t xml:space="preserve"> the application?</w:t>
      </w:r>
    </w:p>
    <w:p w14:paraId="44FA192D" w14:textId="77777777" w:rsidR="00BF389C" w:rsidRPr="008F3CE0" w:rsidRDefault="00BF389C" w:rsidP="00BF389C">
      <w:pPr>
        <w:spacing w:after="168" w:line="240" w:lineRule="auto"/>
        <w:rPr>
          <w:rFonts w:eastAsia="Times New Roman" w:cstheme="minorHAnsi"/>
          <w:kern w:val="0"/>
          <w:szCs w:val="24"/>
          <w14:ligatures w14:val="none"/>
        </w:rPr>
      </w:pPr>
    </w:p>
    <w:p w14:paraId="4F5547EF" w14:textId="77777777" w:rsidR="00BF389C" w:rsidRPr="008F3CE0" w:rsidRDefault="00BF389C" w:rsidP="00BF389C">
      <w:pPr>
        <w:spacing w:after="168" w:line="240" w:lineRule="auto"/>
        <w:rPr>
          <w:rFonts w:eastAsia="Times New Roman" w:cstheme="minorHAnsi"/>
          <w:kern w:val="0"/>
          <w:szCs w:val="24"/>
          <w14:ligatures w14:val="none"/>
        </w:rPr>
      </w:pPr>
    </w:p>
    <w:p w14:paraId="6EC2FD2B" w14:textId="77777777" w:rsidR="00BF389C" w:rsidRPr="008F3CE0" w:rsidRDefault="00BF389C" w:rsidP="00BF389C">
      <w:pPr>
        <w:spacing w:after="168" w:line="240" w:lineRule="auto"/>
        <w:rPr>
          <w:rFonts w:eastAsia="Times New Roman" w:cstheme="minorHAnsi"/>
          <w:kern w:val="0"/>
          <w:szCs w:val="24"/>
          <w14:ligatures w14:val="none"/>
        </w:rPr>
      </w:pPr>
    </w:p>
    <w:p w14:paraId="7EF04FEB" w14:textId="77777777" w:rsidR="00BF389C" w:rsidRPr="008F3CE0" w:rsidRDefault="00BF389C" w:rsidP="00BF389C">
      <w:pPr>
        <w:spacing w:after="168" w:line="240" w:lineRule="auto"/>
        <w:rPr>
          <w:rFonts w:eastAsia="Times New Roman" w:cstheme="minorHAnsi"/>
          <w:kern w:val="0"/>
          <w:szCs w:val="24"/>
          <w14:ligatures w14:val="none"/>
        </w:rPr>
      </w:pPr>
    </w:p>
    <w:p w14:paraId="29B7FC64" w14:textId="54D1DBAA" w:rsidR="00BF389C" w:rsidRPr="008F3CE0" w:rsidRDefault="00BF389C" w:rsidP="00BF389C">
      <w:pPr>
        <w:spacing w:after="168" w:line="240" w:lineRule="auto"/>
        <w:rPr>
          <w:rFonts w:asciiTheme="majorHAnsi" w:eastAsia="Times New Roman" w:hAnsiTheme="majorHAnsi" w:cstheme="majorHAnsi"/>
          <w:kern w:val="0"/>
          <w:sz w:val="32"/>
          <w:szCs w:val="32"/>
          <w14:ligatures w14:val="none"/>
        </w:rPr>
      </w:pPr>
      <w:r w:rsidRPr="008F3CE0">
        <w:rPr>
          <w:rFonts w:asciiTheme="majorHAnsi" w:eastAsia="Times New Roman" w:hAnsiTheme="majorHAnsi" w:cstheme="majorHAnsi"/>
          <w:kern w:val="0"/>
          <w:sz w:val="32"/>
          <w:szCs w:val="32"/>
          <w14:ligatures w14:val="none"/>
        </w:rPr>
        <w:t>Gather Information about the Application</w:t>
      </w:r>
    </w:p>
    <w:p w14:paraId="7F9E4CCA" w14:textId="77777777" w:rsidR="006C497D" w:rsidRPr="008F3CE0" w:rsidRDefault="006C497D" w:rsidP="006C497D">
      <w:pPr>
        <w:tabs>
          <w:tab w:val="num" w:pos="360"/>
        </w:tabs>
        <w:ind w:left="360" w:hanging="360"/>
        <w:rPr>
          <w:rFonts w:asciiTheme="majorHAnsi" w:hAnsiTheme="majorHAnsi" w:cstheme="majorHAnsi"/>
          <w:sz w:val="28"/>
          <w:szCs w:val="28"/>
        </w:rPr>
      </w:pPr>
      <w:r w:rsidRPr="008F3CE0">
        <w:rPr>
          <w:rFonts w:asciiTheme="majorHAnsi" w:hAnsiTheme="majorHAnsi" w:cstheme="majorHAnsi"/>
          <w:sz w:val="28"/>
          <w:szCs w:val="28"/>
        </w:rPr>
        <w:t>Determine Network Interactions</w:t>
      </w:r>
    </w:p>
    <w:p w14:paraId="085383C2" w14:textId="6245DA5E" w:rsidR="006C497D" w:rsidRPr="008F3CE0" w:rsidRDefault="006C497D" w:rsidP="008F3CE0">
      <w:pPr>
        <w:rPr>
          <w:rFonts w:cstheme="minorHAnsi"/>
        </w:rPr>
      </w:pPr>
      <w:r w:rsidRPr="008F3CE0">
        <w:rPr>
          <w:rFonts w:cstheme="minorHAnsi"/>
        </w:rPr>
        <w:t xml:space="preserve">The network is by far the most common interface in modern applications. Consider both the outbound connections that the application initiates and the inbound connections that are initiated by other applications. These interfaces must be preserved during migration so that application </w:t>
      </w:r>
      <w:r w:rsidR="008F3CE0">
        <w:rPr>
          <w:rFonts w:cstheme="minorHAnsi"/>
        </w:rPr>
        <w:t xml:space="preserve">can function </w:t>
      </w:r>
      <w:proofErr w:type="gramStart"/>
      <w:r w:rsidR="008F3CE0">
        <w:rPr>
          <w:rFonts w:cstheme="minorHAnsi"/>
        </w:rPr>
        <w:t>properly</w:t>
      </w:r>
      <w:proofErr w:type="gramEnd"/>
      <w:r w:rsidR="004E2367">
        <w:rPr>
          <w:rFonts w:cstheme="minorHAnsi"/>
        </w:rPr>
        <w:t xml:space="preserve"> and users and other related applications and services are not impacted by the migration</w:t>
      </w:r>
      <w:r w:rsidR="008F3CE0">
        <w:rPr>
          <w:rFonts w:cstheme="minorHAnsi"/>
        </w:rPr>
        <w:t>.</w:t>
      </w:r>
    </w:p>
    <w:p w14:paraId="06F24F8B" w14:textId="31127078" w:rsidR="006C497D" w:rsidRPr="008F3CE0" w:rsidRDefault="006C497D" w:rsidP="008F3CE0">
      <w:pPr>
        <w:pStyle w:val="ListParagraph"/>
        <w:numPr>
          <w:ilvl w:val="0"/>
          <w:numId w:val="10"/>
        </w:numPr>
        <w:tabs>
          <w:tab w:val="num" w:pos="360"/>
        </w:tabs>
        <w:ind w:left="360"/>
        <w:rPr>
          <w:rFonts w:cstheme="minorHAnsi"/>
        </w:rPr>
      </w:pPr>
      <w:r w:rsidRPr="008F3CE0">
        <w:rPr>
          <w:rFonts w:cstheme="minorHAnsi"/>
        </w:rPr>
        <w:lastRenderedPageBreak/>
        <w:t xml:space="preserve">What must the </w:t>
      </w:r>
      <w:r w:rsidR="008F3CE0" w:rsidRPr="008F3CE0">
        <w:rPr>
          <w:rFonts w:cstheme="minorHAnsi"/>
        </w:rPr>
        <w:t>application</w:t>
      </w:r>
      <w:r w:rsidRPr="008F3CE0">
        <w:rPr>
          <w:rFonts w:cstheme="minorHAnsi"/>
        </w:rPr>
        <w:t xml:space="preserve"> connect to </w:t>
      </w:r>
      <w:proofErr w:type="gramStart"/>
      <w:r w:rsidRPr="008F3CE0">
        <w:rPr>
          <w:rFonts w:cstheme="minorHAnsi"/>
        </w:rPr>
        <w:t>in order to</w:t>
      </w:r>
      <w:proofErr w:type="gramEnd"/>
      <w:r w:rsidRPr="008F3CE0">
        <w:rPr>
          <w:rFonts w:cstheme="minorHAnsi"/>
        </w:rPr>
        <w:t xml:space="preserve"> function?</w:t>
      </w:r>
    </w:p>
    <w:tbl>
      <w:tblPr>
        <w:tblStyle w:val="GridTable4-Accent5"/>
        <w:tblW w:w="0" w:type="auto"/>
        <w:tblLook w:val="04A0" w:firstRow="1" w:lastRow="0" w:firstColumn="1" w:lastColumn="0" w:noHBand="0" w:noVBand="1"/>
      </w:tblPr>
      <w:tblGrid>
        <w:gridCol w:w="2875"/>
        <w:gridCol w:w="3960"/>
        <w:gridCol w:w="990"/>
        <w:gridCol w:w="1525"/>
      </w:tblGrid>
      <w:tr w:rsidR="008F3CE0" w14:paraId="66EBA8BF" w14:textId="09BB092C"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D0AFE1B" w14:textId="634F161D" w:rsidR="008F3CE0" w:rsidRDefault="008F3CE0" w:rsidP="0088681E">
            <w:pPr>
              <w:tabs>
                <w:tab w:val="num" w:pos="360"/>
              </w:tabs>
              <w:jc w:val="center"/>
              <w:rPr>
                <w:rFonts w:cstheme="minorHAnsi"/>
              </w:rPr>
            </w:pPr>
            <w:r>
              <w:rPr>
                <w:rFonts w:cstheme="minorHAnsi"/>
              </w:rPr>
              <w:t>Description</w:t>
            </w:r>
          </w:p>
        </w:tc>
        <w:tc>
          <w:tcPr>
            <w:tcW w:w="3960" w:type="dxa"/>
            <w:vAlign w:val="center"/>
          </w:tcPr>
          <w:p w14:paraId="59C33E61" w14:textId="7A9BB2C8"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URL or IP Address</w:t>
            </w:r>
          </w:p>
        </w:tc>
        <w:tc>
          <w:tcPr>
            <w:tcW w:w="990" w:type="dxa"/>
            <w:vAlign w:val="center"/>
          </w:tcPr>
          <w:p w14:paraId="323CF0B9" w14:textId="334A4F8F"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25" w:type="dxa"/>
            <w:vAlign w:val="center"/>
          </w:tcPr>
          <w:p w14:paraId="675B9DB8" w14:textId="5D17DB5F" w:rsidR="008F3CE0" w:rsidRDefault="005D2F91"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Internal</w:t>
            </w:r>
            <w:r w:rsidR="0088681E">
              <w:rPr>
                <w:rFonts w:cstheme="minorHAnsi"/>
              </w:rPr>
              <w:t xml:space="preserve"> or </w:t>
            </w:r>
            <w:r>
              <w:rPr>
                <w:rFonts w:cstheme="minorHAnsi"/>
              </w:rPr>
              <w:t>External</w:t>
            </w:r>
            <w:r w:rsidR="0088681E">
              <w:rPr>
                <w:rFonts w:cstheme="minorHAnsi"/>
              </w:rPr>
              <w:t xml:space="preserve"> </w:t>
            </w:r>
            <w:r>
              <w:rPr>
                <w:rFonts w:cstheme="minorHAnsi"/>
              </w:rPr>
              <w:t>to</w:t>
            </w:r>
            <w:r w:rsidR="0088681E">
              <w:rPr>
                <w:rFonts w:cstheme="minorHAnsi"/>
              </w:rPr>
              <w:t xml:space="preserve"> the Cluster</w:t>
            </w:r>
          </w:p>
        </w:tc>
      </w:tr>
      <w:tr w:rsidR="008F3CE0" w14:paraId="7346D4B7" w14:textId="40BE99A6"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B5826C" w14:textId="0F69EA1F" w:rsidR="008F3CE0" w:rsidRPr="003B0CA1" w:rsidRDefault="008F3CE0" w:rsidP="0088681E">
            <w:pPr>
              <w:tabs>
                <w:tab w:val="num" w:pos="360"/>
              </w:tabs>
              <w:rPr>
                <w:rFonts w:cstheme="minorHAnsi"/>
                <w:b w:val="0"/>
                <w:bCs w:val="0"/>
                <w:sz w:val="20"/>
                <w:szCs w:val="20"/>
              </w:rPr>
            </w:pPr>
          </w:p>
        </w:tc>
        <w:tc>
          <w:tcPr>
            <w:tcW w:w="3960" w:type="dxa"/>
            <w:vAlign w:val="center"/>
          </w:tcPr>
          <w:p w14:paraId="43595DAC" w14:textId="4F5E9899" w:rsidR="008F3CE0" w:rsidRPr="003B0CA1" w:rsidRDefault="008F3CE0"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566B73D0" w14:textId="7B1108EF"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6B194E2B" w14:textId="5790B37B"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8681E" w14:paraId="28A74FB4" w14:textId="77777777" w:rsidTr="003B0CA1">
        <w:tc>
          <w:tcPr>
            <w:cnfStyle w:val="001000000000" w:firstRow="0" w:lastRow="0" w:firstColumn="1" w:lastColumn="0" w:oddVBand="0" w:evenVBand="0" w:oddHBand="0" w:evenHBand="0" w:firstRowFirstColumn="0" w:firstRowLastColumn="0" w:lastRowFirstColumn="0" w:lastRowLastColumn="0"/>
            <w:tcW w:w="2875" w:type="dxa"/>
            <w:vAlign w:val="center"/>
          </w:tcPr>
          <w:p w14:paraId="071F329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2E43906" w14:textId="77777777" w:rsidR="0088681E" w:rsidRPr="003B0CA1" w:rsidRDefault="0088681E" w:rsidP="003B0CA1">
            <w:pPr>
              <w:tabs>
                <w:tab w:val="num" w:pos="360"/>
              </w:tabs>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86C6C2E"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25" w:type="dxa"/>
            <w:vAlign w:val="center"/>
          </w:tcPr>
          <w:p w14:paraId="127EE1C0"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59DFD0A2" w14:textId="77777777"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9389CE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BE7A86C" w14:textId="77777777" w:rsidR="0088681E" w:rsidRPr="003B0CA1" w:rsidRDefault="0088681E"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61353004"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50800229"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BB670CE" w14:textId="77777777" w:rsidR="008F3CE0" w:rsidRPr="008F3CE0" w:rsidRDefault="008F3CE0" w:rsidP="008F3CE0">
      <w:pPr>
        <w:tabs>
          <w:tab w:val="num" w:pos="360"/>
        </w:tabs>
        <w:rPr>
          <w:rFonts w:cstheme="minorHAnsi"/>
        </w:rPr>
      </w:pPr>
    </w:p>
    <w:p w14:paraId="65DB328F" w14:textId="28DB07F5" w:rsidR="0088681E" w:rsidRDefault="0088681E" w:rsidP="0088681E">
      <w:pPr>
        <w:pStyle w:val="ListParagraph"/>
        <w:numPr>
          <w:ilvl w:val="0"/>
          <w:numId w:val="10"/>
        </w:numPr>
        <w:ind w:left="360"/>
      </w:pPr>
      <w:r>
        <w:t>What services or users need access to the application?</w:t>
      </w:r>
    </w:p>
    <w:tbl>
      <w:tblPr>
        <w:tblStyle w:val="GridTable4-Accent5"/>
        <w:tblW w:w="9355" w:type="dxa"/>
        <w:tblLook w:val="04A0" w:firstRow="1" w:lastRow="0" w:firstColumn="1" w:lastColumn="0" w:noHBand="0" w:noVBand="1"/>
      </w:tblPr>
      <w:tblGrid>
        <w:gridCol w:w="5035"/>
        <w:gridCol w:w="1800"/>
        <w:gridCol w:w="990"/>
        <w:gridCol w:w="1530"/>
      </w:tblGrid>
      <w:tr w:rsidR="0088681E" w14:paraId="672F9B18" w14:textId="77777777"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6806A36" w14:textId="77777777" w:rsidR="0088681E" w:rsidRDefault="0088681E" w:rsidP="00B36354">
            <w:pPr>
              <w:tabs>
                <w:tab w:val="num" w:pos="360"/>
              </w:tabs>
              <w:jc w:val="center"/>
              <w:rPr>
                <w:rFonts w:cstheme="minorHAnsi"/>
              </w:rPr>
            </w:pPr>
            <w:r>
              <w:rPr>
                <w:rFonts w:cstheme="minorHAnsi"/>
              </w:rPr>
              <w:t>Description</w:t>
            </w:r>
          </w:p>
        </w:tc>
        <w:tc>
          <w:tcPr>
            <w:tcW w:w="1800" w:type="dxa"/>
            <w:vAlign w:val="center"/>
          </w:tcPr>
          <w:p w14:paraId="5D5734D0" w14:textId="0F138F8F" w:rsidR="0088681E" w:rsidRDefault="0088681E"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Protocol</w:t>
            </w:r>
          </w:p>
        </w:tc>
        <w:tc>
          <w:tcPr>
            <w:tcW w:w="990" w:type="dxa"/>
            <w:vAlign w:val="center"/>
          </w:tcPr>
          <w:p w14:paraId="2961E609" w14:textId="166C8C83"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30" w:type="dxa"/>
            <w:vAlign w:val="center"/>
          </w:tcPr>
          <w:p w14:paraId="2BC2B1E6" w14:textId="77777777"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Inside or Outside of the Cluster</w:t>
            </w:r>
          </w:p>
        </w:tc>
      </w:tr>
      <w:tr w:rsidR="0088681E" w14:paraId="38D644A0"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85DE00E" w14:textId="405F07C8" w:rsidR="0088681E" w:rsidRPr="003B0CA1" w:rsidRDefault="0088681E" w:rsidP="00B36354">
            <w:pPr>
              <w:tabs>
                <w:tab w:val="num" w:pos="360"/>
              </w:tabs>
              <w:rPr>
                <w:rFonts w:cstheme="minorHAnsi"/>
                <w:b w:val="0"/>
                <w:bCs w:val="0"/>
                <w:sz w:val="20"/>
                <w:szCs w:val="20"/>
              </w:rPr>
            </w:pPr>
          </w:p>
        </w:tc>
        <w:tc>
          <w:tcPr>
            <w:tcW w:w="1800" w:type="dxa"/>
          </w:tcPr>
          <w:p w14:paraId="7B1A7DF9" w14:textId="0FBF7E5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45FB72A7" w14:textId="63996B8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5A6A3DEB" w14:textId="6D474E72"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8681E" w14:paraId="64ACB4DC" w14:textId="77777777" w:rsidTr="0088681E">
        <w:tc>
          <w:tcPr>
            <w:cnfStyle w:val="001000000000" w:firstRow="0" w:lastRow="0" w:firstColumn="1" w:lastColumn="0" w:oddVBand="0" w:evenVBand="0" w:oddHBand="0" w:evenHBand="0" w:firstRowFirstColumn="0" w:firstRowLastColumn="0" w:lastRowFirstColumn="0" w:lastRowLastColumn="0"/>
            <w:tcW w:w="5035" w:type="dxa"/>
            <w:vAlign w:val="center"/>
          </w:tcPr>
          <w:p w14:paraId="0F138951" w14:textId="77777777" w:rsidR="0088681E" w:rsidRPr="003B0CA1" w:rsidRDefault="0088681E" w:rsidP="00B36354">
            <w:pPr>
              <w:tabs>
                <w:tab w:val="num" w:pos="360"/>
              </w:tabs>
              <w:rPr>
                <w:rFonts w:cstheme="minorHAnsi"/>
                <w:b w:val="0"/>
                <w:bCs w:val="0"/>
                <w:sz w:val="20"/>
                <w:szCs w:val="20"/>
              </w:rPr>
            </w:pPr>
          </w:p>
        </w:tc>
        <w:tc>
          <w:tcPr>
            <w:tcW w:w="1800" w:type="dxa"/>
          </w:tcPr>
          <w:p w14:paraId="6B45F274"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CC81AD8" w14:textId="425FAB93"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30" w:type="dxa"/>
            <w:vAlign w:val="center"/>
          </w:tcPr>
          <w:p w14:paraId="43BA7F26"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73C88124"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50A356E1" w14:textId="77777777" w:rsidR="0088681E" w:rsidRPr="003B0CA1" w:rsidRDefault="0088681E" w:rsidP="00B36354">
            <w:pPr>
              <w:tabs>
                <w:tab w:val="num" w:pos="360"/>
              </w:tabs>
              <w:rPr>
                <w:rFonts w:cstheme="minorHAnsi"/>
                <w:b w:val="0"/>
                <w:bCs w:val="0"/>
                <w:sz w:val="20"/>
                <w:szCs w:val="20"/>
              </w:rPr>
            </w:pPr>
          </w:p>
        </w:tc>
        <w:tc>
          <w:tcPr>
            <w:tcW w:w="1800" w:type="dxa"/>
          </w:tcPr>
          <w:p w14:paraId="5F9E67D2"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75BA8DA6" w14:textId="757333FD"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10D91A09"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536C5801" w14:textId="752507AE" w:rsidR="0088681E" w:rsidRDefault="0088681E" w:rsidP="0088681E"/>
    <w:p w14:paraId="22C1B179" w14:textId="51EDBEA7" w:rsidR="0088681E" w:rsidRDefault="00BA4DED" w:rsidP="0088681E">
      <w:r w:rsidRPr="008F3CE0">
        <w:rPr>
          <w:rFonts w:asciiTheme="majorHAnsi" w:hAnsiTheme="majorHAnsi" w:cstheme="majorHAnsi"/>
          <w:sz w:val="28"/>
          <w:szCs w:val="28"/>
        </w:rPr>
        <w:t xml:space="preserve">Determine </w:t>
      </w:r>
      <w:r>
        <w:rPr>
          <w:rFonts w:asciiTheme="majorHAnsi" w:hAnsiTheme="majorHAnsi" w:cstheme="majorHAnsi"/>
          <w:sz w:val="28"/>
          <w:szCs w:val="28"/>
        </w:rPr>
        <w:t>Filesystem</w:t>
      </w:r>
      <w:r w:rsidRPr="008F3CE0">
        <w:rPr>
          <w:rFonts w:asciiTheme="majorHAnsi" w:hAnsiTheme="majorHAnsi" w:cstheme="majorHAnsi"/>
          <w:sz w:val="28"/>
          <w:szCs w:val="28"/>
        </w:rPr>
        <w:t xml:space="preserve"> Interactions</w:t>
      </w:r>
    </w:p>
    <w:p w14:paraId="738DCE25" w14:textId="48D29D6F" w:rsidR="00BF389C" w:rsidRDefault="00BA4DED">
      <w:r w:rsidRPr="00BA4DED">
        <w:t>Modern applications use filesystems for storage of configuration, static data, and dynamic data. Historically, filesystems were also used as a mechanism for communication between applications and components. Although this practice has largely been replaced by network-based interaction</w:t>
      </w:r>
      <w:r w:rsidR="004E2367">
        <w:t>s</w:t>
      </w:r>
      <w:r w:rsidRPr="00BA4DED">
        <w:t xml:space="preserve">, it is still present in some domains and in legacy applications. </w:t>
      </w:r>
      <w:r w:rsidR="004E2367">
        <w:t>Therefore, any f</w:t>
      </w:r>
      <w:r w:rsidRPr="00BA4DED">
        <w:t>ilesystem interactions should be noted</w:t>
      </w:r>
      <w:r w:rsidR="004E2367">
        <w:t xml:space="preserve"> </w:t>
      </w:r>
      <w:r w:rsidRPr="00BA4DED">
        <w:t xml:space="preserve">because they are very important to </w:t>
      </w:r>
      <w:r w:rsidR="004E2367">
        <w:t xml:space="preserve">successful </w:t>
      </w:r>
      <w:r w:rsidRPr="00BA4DED">
        <w:t>migration</w:t>
      </w:r>
      <w:r w:rsidR="004E2367">
        <w:t xml:space="preserve"> of these </w:t>
      </w:r>
      <w:proofErr w:type="gramStart"/>
      <w:r w:rsidR="004E2367">
        <w:t>application</w:t>
      </w:r>
      <w:proofErr w:type="gramEnd"/>
      <w:r w:rsidRPr="00BA4DED">
        <w:t>.</w:t>
      </w:r>
    </w:p>
    <w:p w14:paraId="7EC53D67" w14:textId="77777777" w:rsidR="00BA4DED" w:rsidRDefault="00BA4DED" w:rsidP="00BA4DED">
      <w:pPr>
        <w:pStyle w:val="ListParagraph"/>
        <w:numPr>
          <w:ilvl w:val="0"/>
          <w:numId w:val="11"/>
        </w:numPr>
        <w:ind w:left="360"/>
      </w:pPr>
      <w:r>
        <w:t>What files and directories are read by the service?</w:t>
      </w:r>
    </w:p>
    <w:p w14:paraId="4E07F33D" w14:textId="0606EFEA" w:rsidR="00BF389C" w:rsidRDefault="00BA4DED" w:rsidP="00BA4DED">
      <w:r>
        <w:t>For each file or directory, determine whether the content is static, configuration, or dynamic (i.e., modified at runtime).</w:t>
      </w:r>
    </w:p>
    <w:tbl>
      <w:tblPr>
        <w:tblStyle w:val="GridTable4-Accent5"/>
        <w:tblW w:w="9355" w:type="dxa"/>
        <w:tblLook w:val="04A0" w:firstRow="1" w:lastRow="0" w:firstColumn="1" w:lastColumn="0" w:noHBand="0" w:noVBand="1"/>
      </w:tblPr>
      <w:tblGrid>
        <w:gridCol w:w="5035"/>
        <w:gridCol w:w="4320"/>
      </w:tblGrid>
      <w:tr w:rsidR="003144F7" w14:paraId="12BFE944" w14:textId="77777777" w:rsidTr="00314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4CBBEF54" w14:textId="0350E1FC" w:rsidR="003144F7" w:rsidRDefault="003144F7" w:rsidP="00B36354">
            <w:pPr>
              <w:tabs>
                <w:tab w:val="num" w:pos="360"/>
              </w:tabs>
              <w:jc w:val="center"/>
              <w:rPr>
                <w:rFonts w:cstheme="minorHAnsi"/>
              </w:rPr>
            </w:pPr>
            <w:r>
              <w:rPr>
                <w:rFonts w:cstheme="minorHAnsi"/>
              </w:rPr>
              <w:t>Directory/File</w:t>
            </w:r>
          </w:p>
        </w:tc>
        <w:tc>
          <w:tcPr>
            <w:tcW w:w="4320" w:type="dxa"/>
            <w:vAlign w:val="center"/>
          </w:tcPr>
          <w:p w14:paraId="60D94B12" w14:textId="7831E71C" w:rsidR="003144F7" w:rsidRDefault="003144F7"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Static/Configuration/Dynamic</w:t>
            </w:r>
          </w:p>
        </w:tc>
      </w:tr>
      <w:tr w:rsidR="003144F7" w14:paraId="64865DD4"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67648FFF" w14:textId="3D9985BA" w:rsidR="003144F7" w:rsidRPr="003B0CA1" w:rsidRDefault="003144F7" w:rsidP="00B36354">
            <w:pPr>
              <w:tabs>
                <w:tab w:val="num" w:pos="360"/>
              </w:tabs>
              <w:rPr>
                <w:rFonts w:cstheme="minorHAnsi"/>
                <w:b w:val="0"/>
                <w:bCs w:val="0"/>
                <w:sz w:val="20"/>
                <w:szCs w:val="20"/>
              </w:rPr>
            </w:pPr>
          </w:p>
        </w:tc>
        <w:tc>
          <w:tcPr>
            <w:tcW w:w="4320" w:type="dxa"/>
          </w:tcPr>
          <w:p w14:paraId="17F50F9E" w14:textId="18BA4944" w:rsidR="003144F7" w:rsidRPr="003B0CA1" w:rsidRDefault="003144F7"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144F7" w14:paraId="20444F8D" w14:textId="77777777" w:rsidTr="003144F7">
        <w:tc>
          <w:tcPr>
            <w:cnfStyle w:val="001000000000" w:firstRow="0" w:lastRow="0" w:firstColumn="1" w:lastColumn="0" w:oddVBand="0" w:evenVBand="0" w:oddHBand="0" w:evenHBand="0" w:firstRowFirstColumn="0" w:firstRowLastColumn="0" w:lastRowFirstColumn="0" w:lastRowLastColumn="0"/>
            <w:tcW w:w="5035" w:type="dxa"/>
            <w:vAlign w:val="center"/>
          </w:tcPr>
          <w:p w14:paraId="11CA8514" w14:textId="77777777" w:rsidR="003144F7" w:rsidRPr="003B0CA1" w:rsidRDefault="003144F7" w:rsidP="00B36354">
            <w:pPr>
              <w:tabs>
                <w:tab w:val="num" w:pos="360"/>
              </w:tabs>
              <w:rPr>
                <w:rFonts w:cstheme="minorHAnsi"/>
                <w:b w:val="0"/>
                <w:bCs w:val="0"/>
                <w:sz w:val="20"/>
                <w:szCs w:val="20"/>
              </w:rPr>
            </w:pPr>
          </w:p>
        </w:tc>
        <w:tc>
          <w:tcPr>
            <w:tcW w:w="4320" w:type="dxa"/>
          </w:tcPr>
          <w:p w14:paraId="21601BCC" w14:textId="77777777" w:rsidR="003144F7" w:rsidRPr="003B0CA1" w:rsidRDefault="003144F7"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144F7" w14:paraId="493283B9"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77AC9C00" w14:textId="77777777" w:rsidR="003144F7" w:rsidRPr="003B0CA1" w:rsidRDefault="003144F7" w:rsidP="00B36354">
            <w:pPr>
              <w:tabs>
                <w:tab w:val="num" w:pos="360"/>
              </w:tabs>
              <w:rPr>
                <w:rFonts w:cstheme="minorHAnsi"/>
                <w:b w:val="0"/>
                <w:bCs w:val="0"/>
                <w:sz w:val="20"/>
                <w:szCs w:val="20"/>
              </w:rPr>
            </w:pPr>
          </w:p>
        </w:tc>
        <w:tc>
          <w:tcPr>
            <w:tcW w:w="4320" w:type="dxa"/>
          </w:tcPr>
          <w:p w14:paraId="33E9ACA7" w14:textId="77777777" w:rsidR="003144F7" w:rsidRPr="003B0CA1" w:rsidRDefault="003144F7"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3EA13445" w14:textId="77777777" w:rsidR="003144F7" w:rsidRDefault="003144F7" w:rsidP="00BA4DED"/>
    <w:p w14:paraId="16B10A5C" w14:textId="15696838" w:rsidR="0063159A" w:rsidRDefault="0063159A" w:rsidP="00BA4DED">
      <w:pPr>
        <w:rPr>
          <w:rFonts w:asciiTheme="majorHAnsi" w:eastAsia="Times New Roman" w:hAnsiTheme="majorHAnsi" w:cstheme="majorHAnsi"/>
          <w:kern w:val="0"/>
          <w:sz w:val="32"/>
          <w:szCs w:val="32"/>
          <w14:ligatures w14:val="none"/>
        </w:rPr>
      </w:pPr>
      <w:r>
        <w:rPr>
          <w:rFonts w:asciiTheme="majorHAnsi" w:eastAsia="Times New Roman" w:hAnsiTheme="majorHAnsi" w:cstheme="majorHAnsi"/>
          <w:kern w:val="0"/>
          <w:sz w:val="32"/>
          <w:szCs w:val="32"/>
          <w14:ligatures w14:val="none"/>
        </w:rPr>
        <w:t xml:space="preserve">Use </w:t>
      </w:r>
      <w:r w:rsidRPr="008F3CE0">
        <w:rPr>
          <w:rFonts w:asciiTheme="majorHAnsi" w:eastAsia="Times New Roman" w:hAnsiTheme="majorHAnsi" w:cstheme="majorHAnsi"/>
          <w:kern w:val="0"/>
          <w:sz w:val="32"/>
          <w:szCs w:val="32"/>
          <w14:ligatures w14:val="none"/>
        </w:rPr>
        <w:t xml:space="preserve">the </w:t>
      </w:r>
      <w:r>
        <w:rPr>
          <w:rFonts w:asciiTheme="majorHAnsi" w:eastAsia="Times New Roman" w:hAnsiTheme="majorHAnsi" w:cstheme="majorHAnsi"/>
          <w:kern w:val="0"/>
          <w:sz w:val="32"/>
          <w:szCs w:val="32"/>
          <w14:ligatures w14:val="none"/>
        </w:rPr>
        <w:t>Collected Data to Plan the Migration</w:t>
      </w:r>
    </w:p>
    <w:p w14:paraId="5653F337" w14:textId="77777777" w:rsidR="0063159A" w:rsidRDefault="0063159A" w:rsidP="0063159A">
      <w:r>
        <w:t>If proceeding with the migration is still deemed valuable, the actual migration involves two steps:</w:t>
      </w:r>
    </w:p>
    <w:p w14:paraId="6DA6712D" w14:textId="77777777" w:rsidR="0063159A" w:rsidRDefault="0063159A" w:rsidP="0063159A"/>
    <w:p w14:paraId="21C2D274" w14:textId="317CF689" w:rsidR="0063159A" w:rsidRDefault="0063159A" w:rsidP="002F6B7E">
      <w:pPr>
        <w:pStyle w:val="ListParagraph"/>
        <w:numPr>
          <w:ilvl w:val="0"/>
          <w:numId w:val="12"/>
        </w:numPr>
      </w:pPr>
      <w:r>
        <w:t xml:space="preserve">Containerization of </w:t>
      </w:r>
      <w:r w:rsidR="008916BA">
        <w:t>all</w:t>
      </w:r>
      <w:r>
        <w:t xml:space="preserve"> processes that make up the application.</w:t>
      </w:r>
    </w:p>
    <w:p w14:paraId="2387610C" w14:textId="4D250722" w:rsidR="0063159A" w:rsidRDefault="0063159A" w:rsidP="002F6B7E">
      <w:pPr>
        <w:pStyle w:val="ListParagraph"/>
        <w:numPr>
          <w:ilvl w:val="0"/>
          <w:numId w:val="12"/>
        </w:numPr>
      </w:pPr>
      <w:r>
        <w:t>Selecting the Kubernetes objects that will make up the components of the application in the new environment.</w:t>
      </w:r>
    </w:p>
    <w:p w14:paraId="13CA5001" w14:textId="60027E2A" w:rsidR="0063159A" w:rsidRDefault="0063159A" w:rsidP="0063159A">
      <w:r>
        <w:t xml:space="preserve">Step 1 </w:t>
      </w:r>
      <w:r w:rsidR="008916BA">
        <w:t>will be covered later in this workshop</w:t>
      </w:r>
      <w:r>
        <w:t>. To proceed with step 2, here are some questions to help determine which Kubernetes objects are needed for migration</w:t>
      </w:r>
      <w:r w:rsidR="008916BA">
        <w:t xml:space="preserve"> of the application.</w:t>
      </w:r>
    </w:p>
    <w:p w14:paraId="616BC491" w14:textId="0E105841" w:rsidR="008916BA" w:rsidRDefault="008916BA" w:rsidP="008916BA">
      <w:pPr>
        <w:pStyle w:val="ListParagraph"/>
        <w:numPr>
          <w:ilvl w:val="0"/>
          <w:numId w:val="13"/>
        </w:numPr>
      </w:pPr>
      <w:r>
        <w:t>What controller should be used to manage the Pods?</w:t>
      </w:r>
    </w:p>
    <w:p w14:paraId="64D360C6" w14:textId="24167322" w:rsidR="008916BA" w:rsidRDefault="008916BA" w:rsidP="008916BA">
      <w:r>
        <w:t xml:space="preserve">Kubernetes has several built-in controllers for managing Pods, and each </w:t>
      </w:r>
      <w:proofErr w:type="gramStart"/>
      <w:r>
        <w:t>exhibits</w:t>
      </w:r>
      <w:proofErr w:type="gramEnd"/>
      <w:r>
        <w:t xml:space="preserve"> slightly different behavior.</w:t>
      </w:r>
    </w:p>
    <w:p w14:paraId="17D91A8A" w14:textId="51C5EE0E" w:rsidR="008916BA" w:rsidRPr="008916BA" w:rsidRDefault="008916BA" w:rsidP="008916BA">
      <w:proofErr w:type="spellStart"/>
      <w:r>
        <w:rPr>
          <w:b/>
          <w:bCs/>
        </w:rPr>
        <w:t>Replicaset</w:t>
      </w:r>
      <w:proofErr w:type="spellEnd"/>
      <w:r>
        <w:t xml:space="preserve"> --</w:t>
      </w:r>
      <w:r w:rsidR="00286B03">
        <w:t xml:space="preserve"> </w:t>
      </w:r>
      <w:r w:rsidR="00286B03" w:rsidRPr="00286B03">
        <w:t xml:space="preserve">A </w:t>
      </w:r>
      <w:proofErr w:type="spellStart"/>
      <w:r w:rsidR="00286B03" w:rsidRPr="00286B03">
        <w:t>Replicaset</w:t>
      </w:r>
      <w:proofErr w:type="spellEnd"/>
      <w:r w:rsidR="00286B03" w:rsidRPr="00286B03">
        <w:t xml:space="preserve"> ensures that a specified number of Pods is running at any point in time. If you define that there should be five Pods running, the </w:t>
      </w:r>
      <w:proofErr w:type="spellStart"/>
      <w:r w:rsidR="00286B03" w:rsidRPr="00286B03">
        <w:t>Replicaset</w:t>
      </w:r>
      <w:proofErr w:type="spellEnd"/>
      <w:r w:rsidR="00286B03" w:rsidRPr="00286B03">
        <w:t xml:space="preserve"> will make sure that this happens. If there are any excess Pods, they get deleted.</w:t>
      </w:r>
    </w:p>
    <w:p w14:paraId="1C3480BF" w14:textId="418DD255" w:rsidR="008916BA" w:rsidRDefault="008916BA" w:rsidP="008916BA">
      <w:r w:rsidRPr="008916BA">
        <w:rPr>
          <w:b/>
          <w:bCs/>
        </w:rPr>
        <w:t>Deployment</w:t>
      </w:r>
      <w:r>
        <w:t xml:space="preserve"> -- </w:t>
      </w:r>
      <w:r w:rsidR="00286B03" w:rsidRPr="00286B03">
        <w:t xml:space="preserve">A Deployment controller is used to run a Pod at a desired number of replicas. These Pods have no unique identities. The Deployment can specify the configuration over a standalone Pod and a </w:t>
      </w:r>
      <w:proofErr w:type="spellStart"/>
      <w:r w:rsidR="00286B03" w:rsidRPr="00286B03">
        <w:t>Replicaset</w:t>
      </w:r>
      <w:proofErr w:type="spellEnd"/>
      <w:r w:rsidR="00286B03" w:rsidRPr="00286B03">
        <w:t>, such as what deployment strategy to use. For example, if you are upgrading an application from v1 to v2, you might consider one of the following approaches:</w:t>
      </w:r>
    </w:p>
    <w:p w14:paraId="6F322146" w14:textId="77777777" w:rsidR="00286B03" w:rsidRDefault="00286B03" w:rsidP="00286B03">
      <w:pPr>
        <w:pStyle w:val="ListParagraph"/>
        <w:numPr>
          <w:ilvl w:val="0"/>
          <w:numId w:val="14"/>
        </w:numPr>
      </w:pPr>
      <w:r>
        <w:t>Upgrade with zero downtime</w:t>
      </w:r>
    </w:p>
    <w:p w14:paraId="71336726" w14:textId="77777777" w:rsidR="00286B03" w:rsidRDefault="00286B03" w:rsidP="00286B03">
      <w:pPr>
        <w:pStyle w:val="ListParagraph"/>
        <w:numPr>
          <w:ilvl w:val="0"/>
          <w:numId w:val="14"/>
        </w:numPr>
      </w:pPr>
      <w:r>
        <w:t>Upgrade sequentially one after the other</w:t>
      </w:r>
    </w:p>
    <w:p w14:paraId="5C090C39" w14:textId="77777777" w:rsidR="00286B03" w:rsidRDefault="00286B03" w:rsidP="00286B03">
      <w:pPr>
        <w:pStyle w:val="ListParagraph"/>
        <w:numPr>
          <w:ilvl w:val="0"/>
          <w:numId w:val="14"/>
        </w:numPr>
      </w:pPr>
      <w:r>
        <w:t xml:space="preserve">Pause and resume upgrade </w:t>
      </w:r>
      <w:proofErr w:type="gramStart"/>
      <w:r>
        <w:t>process</w:t>
      </w:r>
      <w:proofErr w:type="gramEnd"/>
    </w:p>
    <w:p w14:paraId="1B8BB3F7" w14:textId="6226C471" w:rsidR="00286B03" w:rsidRDefault="00286B03" w:rsidP="00286B03">
      <w:pPr>
        <w:pStyle w:val="ListParagraph"/>
        <w:numPr>
          <w:ilvl w:val="0"/>
          <w:numId w:val="14"/>
        </w:numPr>
      </w:pPr>
      <w:r>
        <w:t>Rollback upgrade to the previous stable release</w:t>
      </w:r>
    </w:p>
    <w:p w14:paraId="253BD9AF" w14:textId="5BD2059C" w:rsidR="008916BA" w:rsidRDefault="008916BA" w:rsidP="008916BA">
      <w:proofErr w:type="spellStart"/>
      <w:r w:rsidRPr="008916BA">
        <w:rPr>
          <w:b/>
          <w:bCs/>
        </w:rPr>
        <w:t>DaemonSet</w:t>
      </w:r>
      <w:proofErr w:type="spellEnd"/>
      <w:r>
        <w:t xml:space="preserve"> -- Like </w:t>
      </w:r>
      <w:r w:rsidR="00286B03">
        <w:t>D</w:t>
      </w:r>
      <w:r>
        <w:t>eployment, except the Pod will be started once on every node.</w:t>
      </w:r>
    </w:p>
    <w:p w14:paraId="041ACE31" w14:textId="3DEE6D33" w:rsidR="008916BA" w:rsidRDefault="008916BA" w:rsidP="008916BA">
      <w:proofErr w:type="spellStart"/>
      <w:r w:rsidRPr="008916BA">
        <w:rPr>
          <w:b/>
          <w:bCs/>
        </w:rPr>
        <w:t>StatefulSet</w:t>
      </w:r>
      <w:proofErr w:type="spellEnd"/>
      <w:r>
        <w:t xml:space="preserve"> </w:t>
      </w:r>
      <w:r w:rsidR="00286B03" w:rsidRPr="00286B03">
        <w:t xml:space="preserve">Deployment controllers are suitable for managing stateless applications. </w:t>
      </w:r>
      <w:proofErr w:type="spellStart"/>
      <w:r w:rsidR="00286B03" w:rsidRPr="00286B03">
        <w:t>Statefulsets</w:t>
      </w:r>
      <w:proofErr w:type="spellEnd"/>
      <w:r w:rsidR="00286B03" w:rsidRPr="00286B03">
        <w:t>, on the other hand, are useful when running workloads that require persistent storage. They keep unique identities for each Pod they manage and use the same identity when Pods need to be rescheduled.</w:t>
      </w:r>
    </w:p>
    <w:p w14:paraId="7626C03B" w14:textId="1D33A155" w:rsidR="00286B03" w:rsidRDefault="00286B03" w:rsidP="008916BA">
      <w:r w:rsidRPr="00286B03">
        <w:rPr>
          <w:b/>
          <w:bCs/>
        </w:rPr>
        <w:t>Job</w:t>
      </w:r>
      <w:r>
        <w:t xml:space="preserve"> -- </w:t>
      </w:r>
      <w:r w:rsidRPr="00286B03">
        <w:t>A Kubernetes Job is a controller that supervises Pods for carrying out certain tasks. They are primarily used for batch processing. As soon as you submit a Job manifest file to the API server, the Pod will kick in and execute a task. When the task is completed, it will shut down by itself.</w:t>
      </w:r>
    </w:p>
    <w:p w14:paraId="1364E972" w14:textId="591FA387" w:rsidR="008916BA" w:rsidRDefault="008916BA" w:rsidP="00286B03">
      <w:pPr>
        <w:pStyle w:val="ListParagraph"/>
        <w:numPr>
          <w:ilvl w:val="0"/>
          <w:numId w:val="13"/>
        </w:numPr>
      </w:pPr>
      <w:r>
        <w:t>How will persistent storage be achieved?</w:t>
      </w:r>
    </w:p>
    <w:p w14:paraId="215C845F" w14:textId="77777777" w:rsidR="008916BA" w:rsidRDefault="008916BA" w:rsidP="008916BA"/>
    <w:p w14:paraId="70284016" w14:textId="2E5E99FD" w:rsidR="008916BA" w:rsidRDefault="008916BA" w:rsidP="008916BA">
      <w:r>
        <w:t xml:space="preserve">If persistent storage is required for the application, then first consider the use of cloud-native storage options in your environment (e.g., </w:t>
      </w:r>
      <w:r w:rsidR="00E22BA2">
        <w:t xml:space="preserve">File or </w:t>
      </w:r>
      <w:r>
        <w:t xml:space="preserve">Blob </w:t>
      </w:r>
      <w:r w:rsidR="007D7A8C">
        <w:t xml:space="preserve">Storage </w:t>
      </w:r>
      <w:r>
        <w:t>in Azure). However, doing so will require changes to the application to support the use of these systems instead of the filesystem.</w:t>
      </w:r>
    </w:p>
    <w:p w14:paraId="6000047B" w14:textId="469983EB" w:rsidR="008916BA" w:rsidRDefault="008916BA" w:rsidP="008916BA">
      <w:r>
        <w:t xml:space="preserve">If it is not feasible to change the application, then a </w:t>
      </w:r>
      <w:proofErr w:type="spellStart"/>
      <w:r>
        <w:t>PersistentVolume</w:t>
      </w:r>
      <w:proofErr w:type="spellEnd"/>
      <w:r>
        <w:t xml:space="preserve"> is the way to go. If possibl</w:t>
      </w:r>
      <w:r w:rsidR="00E22BA2">
        <w:t>e</w:t>
      </w:r>
      <w:r>
        <w:t xml:space="preserve">, a </w:t>
      </w:r>
      <w:proofErr w:type="spellStart"/>
      <w:r>
        <w:t>LocalPersistentVolume</w:t>
      </w:r>
      <w:proofErr w:type="spellEnd"/>
      <w:r>
        <w:t xml:space="preserve"> is a good last-resort option if performance of network-attached storage is not sufficient.</w:t>
      </w:r>
    </w:p>
    <w:p w14:paraId="7C7AEBF0" w14:textId="5A2D4DF6" w:rsidR="008916BA" w:rsidRDefault="008916BA" w:rsidP="008916BA">
      <w:r>
        <w:t>3. How should configuration be injected?</w:t>
      </w:r>
    </w:p>
    <w:p w14:paraId="120F8663" w14:textId="70EB6C6D" w:rsidR="008916BA" w:rsidRDefault="00E22BA2" w:rsidP="008916BA">
      <w:r w:rsidRPr="00E22BA2">
        <w:t xml:space="preserve">Configuration should be injected into the Pods via a </w:t>
      </w:r>
      <w:proofErr w:type="spellStart"/>
      <w:r w:rsidRPr="00E22BA2">
        <w:t>ConfigMap</w:t>
      </w:r>
      <w:proofErr w:type="spellEnd"/>
      <w:r w:rsidRPr="00E22BA2">
        <w:t xml:space="preserve">. However, data such as certificates, passwords and other security keys should be injected via a Secret instead. Azure Key Vault is used to store these secrets and can be integrated with </w:t>
      </w:r>
      <w:proofErr w:type="gramStart"/>
      <w:r w:rsidRPr="00E22BA2">
        <w:t>AKS</w:t>
      </w:r>
      <w:proofErr w:type="gramEnd"/>
      <w:r w:rsidRPr="00E22BA2">
        <w:t xml:space="preserve"> so it is available to your application.</w:t>
      </w:r>
    </w:p>
    <w:p w14:paraId="2B1F3E5E" w14:textId="1C24BDB1" w:rsidR="008916BA" w:rsidRDefault="008916BA" w:rsidP="008916BA">
      <w:r>
        <w:t>4. How should static files, such as certificates, be managed?</w:t>
      </w:r>
    </w:p>
    <w:p w14:paraId="1F7E96B5" w14:textId="2BAC795C" w:rsidR="008916BA" w:rsidRDefault="008916BA" w:rsidP="008916BA">
      <w:r>
        <w:t>Static data should be compiled into the Docker image that makes up the Pods. Alternatively, it could be treated the same as persistent storage and loaded once before deployment.</w:t>
      </w:r>
    </w:p>
    <w:p w14:paraId="7EF4E894" w14:textId="12B88EAC" w:rsidR="008916BA" w:rsidRDefault="008916BA" w:rsidP="008916BA">
      <w:r>
        <w:t>5. How should communication between components via filesystems be handled?</w:t>
      </w:r>
    </w:p>
    <w:p w14:paraId="463C3133" w14:textId="50FB0562" w:rsidR="008916BA" w:rsidRDefault="008916BA" w:rsidP="008916BA">
      <w:r>
        <w:t xml:space="preserve">A </w:t>
      </w:r>
      <w:proofErr w:type="spellStart"/>
      <w:r>
        <w:t>PersistentVolume</w:t>
      </w:r>
      <w:proofErr w:type="spellEnd"/>
      <w:r>
        <w:t xml:space="preserve"> can usually be created with the necessary access permissions and mounted into the Pods that need to communicate. However, the </w:t>
      </w:r>
      <w:proofErr w:type="spellStart"/>
      <w:r>
        <w:t>PersistentVolume</w:t>
      </w:r>
      <w:proofErr w:type="spellEnd"/>
      <w:r>
        <w:t xml:space="preserve"> implementation that is used for a volume </w:t>
      </w:r>
      <w:r w:rsidR="00E22BA2">
        <w:t xml:space="preserve">will </w:t>
      </w:r>
      <w:r>
        <w:t>impact whether that volume can be used by multiple readers or writers simultaneously.</w:t>
      </w:r>
    </w:p>
    <w:p w14:paraId="2392E596" w14:textId="4FBFE32A" w:rsidR="008916BA" w:rsidRDefault="008916BA" w:rsidP="008916BA">
      <w:r>
        <w:t xml:space="preserve">The best way to solve this problem is to avoid it by restructuring the application to use network-based communication mechanisms. If restructuring the application is not possible (or not desirable) due to business constraints, then the processes that are communicating must be placed in the same Pod and communicate via an </w:t>
      </w:r>
      <w:proofErr w:type="spellStart"/>
      <w:r>
        <w:t>emptyDir</w:t>
      </w:r>
      <w:proofErr w:type="spellEnd"/>
      <w:r>
        <w:t xml:space="preserve"> volume.</w:t>
      </w:r>
    </w:p>
    <w:p w14:paraId="6E3EA88B" w14:textId="0F7AAB03" w:rsidR="008916BA" w:rsidRDefault="008916BA" w:rsidP="008916BA">
      <w:r>
        <w:t>6. How will log data be read from Pods?</w:t>
      </w:r>
    </w:p>
    <w:p w14:paraId="255FEDFC" w14:textId="6FFF4304" w:rsidR="008916BA" w:rsidRDefault="008916BA" w:rsidP="008916BA">
      <w:r>
        <w:t xml:space="preserve">Kubernetes expects all Pods to log everything worth logging </w:t>
      </w:r>
      <w:proofErr w:type="gramStart"/>
      <w:r>
        <w:t>to</w:t>
      </w:r>
      <w:proofErr w:type="gramEnd"/>
      <w:r>
        <w:t xml:space="preserve"> STDOUT and STDERR. If the application does not support the ability to modify logging options, then a sidecar container (e.g., </w:t>
      </w:r>
      <w:proofErr w:type="spellStart"/>
      <w:r>
        <w:t>fluentd</w:t>
      </w:r>
      <w:proofErr w:type="spellEnd"/>
      <w:r>
        <w:t xml:space="preserve"> or </w:t>
      </w:r>
      <w:proofErr w:type="spellStart"/>
      <w:r>
        <w:t>logstash</w:t>
      </w:r>
      <w:proofErr w:type="spellEnd"/>
      <w:r>
        <w:t>) can be used to read logs from a shared volume and transfer them into a log aggregation system.</w:t>
      </w:r>
    </w:p>
    <w:p w14:paraId="73C3B22B" w14:textId="41D2365F" w:rsidR="004F314C" w:rsidRDefault="00D84E0E" w:rsidP="008916BA">
      <w:r>
        <w:lastRenderedPageBreak/>
        <w:t xml:space="preserve">Microsoft Azure has </w:t>
      </w:r>
      <w:r w:rsidR="00E22BA2">
        <w:t xml:space="preserve">a service called </w:t>
      </w:r>
      <w:r>
        <w:t xml:space="preserve">Azure Monitor, </w:t>
      </w:r>
      <w:r w:rsidR="00E22BA2">
        <w:t xml:space="preserve">which is composed of </w:t>
      </w:r>
      <w:r>
        <w:t xml:space="preserve">a </w:t>
      </w:r>
      <w:r w:rsidR="008852F7">
        <w:t xml:space="preserve">set of </w:t>
      </w:r>
      <w:r>
        <w:t>logging and monitoring service</w:t>
      </w:r>
      <w:r w:rsidR="008852F7">
        <w:t>s</w:t>
      </w:r>
      <w:r w:rsidR="00E22BA2">
        <w:t>.</w:t>
      </w:r>
      <w:r>
        <w:t xml:space="preserve"> </w:t>
      </w:r>
      <w:r w:rsidR="00E22BA2">
        <w:t>Azure Monitor is available to all Azure services, including AKS, and can be enabled through configuration options in these services</w:t>
      </w:r>
      <w:r>
        <w:t xml:space="preserve">. </w:t>
      </w:r>
      <w:r w:rsidR="00702CC9">
        <w:t xml:space="preserve">Two of those </w:t>
      </w:r>
      <w:r w:rsidR="00C13EC8">
        <w:t xml:space="preserve">Azure Monitor </w:t>
      </w:r>
      <w:r w:rsidR="00702CC9">
        <w:t xml:space="preserve">services, </w:t>
      </w:r>
      <w:r w:rsidR="008852F7">
        <w:t xml:space="preserve">Application </w:t>
      </w:r>
      <w:r w:rsidR="00702CC9">
        <w:t xml:space="preserve">Insights and Container Insights, </w:t>
      </w:r>
      <w:r w:rsidR="00C13EC8">
        <w:t xml:space="preserve">will </w:t>
      </w:r>
      <w:r w:rsidR="00702CC9">
        <w:t xml:space="preserve">perform </w:t>
      </w:r>
      <w:r w:rsidR="00C13EC8">
        <w:t xml:space="preserve">logging and monitoring of containerized </w:t>
      </w:r>
      <w:r w:rsidR="00702CC9">
        <w:t>application</w:t>
      </w:r>
      <w:r w:rsidR="00C13EC8">
        <w:t>s</w:t>
      </w:r>
      <w:r w:rsidR="00702CC9">
        <w:t xml:space="preserve"> and </w:t>
      </w:r>
      <w:r w:rsidR="004F314C">
        <w:t>AKS cluster</w:t>
      </w:r>
      <w:r w:rsidR="00C13EC8">
        <w:t xml:space="preserve">s </w:t>
      </w:r>
      <w:r w:rsidR="00702CC9">
        <w:t>respectively</w:t>
      </w:r>
      <w:r w:rsidR="004F314C">
        <w:t xml:space="preserve">. </w:t>
      </w:r>
    </w:p>
    <w:p w14:paraId="7B8FD739" w14:textId="2EBAE1BF" w:rsidR="008916BA" w:rsidRDefault="008916BA" w:rsidP="008916BA">
      <w:r>
        <w:t>7. Does the Kubernetes environment support network policy?</w:t>
      </w:r>
    </w:p>
    <w:p w14:paraId="02265B97" w14:textId="759DFB88" w:rsidR="008916BA" w:rsidRDefault="00DB7F4A" w:rsidP="008916BA">
      <w:r w:rsidRPr="00DB7F4A">
        <w:t>If the Kubernetes environment supports network policy, then the host and port information gathered should be used to create network policies to control communication between the pods in your cluster to s</w:t>
      </w:r>
      <w:r>
        <w:t>e</w:t>
      </w:r>
      <w:r w:rsidRPr="00DB7F4A">
        <w:t>cure your application and allow it to communicate with only those services that are required</w:t>
      </w:r>
      <w:r>
        <w:t xml:space="preserve"> to function properly</w:t>
      </w:r>
      <w:r w:rsidRPr="00DB7F4A">
        <w:t>.</w:t>
      </w:r>
    </w:p>
    <w:sectPr w:rsidR="0089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75B"/>
    <w:multiLevelType w:val="multilevel"/>
    <w:tmpl w:val="C11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05A91"/>
    <w:multiLevelType w:val="hybridMultilevel"/>
    <w:tmpl w:val="26887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114E9B"/>
    <w:multiLevelType w:val="hybridMultilevel"/>
    <w:tmpl w:val="AB8232EA"/>
    <w:lvl w:ilvl="0" w:tplc="D5D6F524">
      <w:start w:val="1"/>
      <w:numFmt w:val="decimal"/>
      <w:pStyle w:val="BulletDash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87C25"/>
    <w:multiLevelType w:val="hybridMultilevel"/>
    <w:tmpl w:val="DC346D52"/>
    <w:lvl w:ilvl="0" w:tplc="37426550">
      <w:start w:val="1"/>
      <w:numFmt w:val="decimal"/>
      <w:pStyle w:val="Number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D478A"/>
    <w:multiLevelType w:val="multilevel"/>
    <w:tmpl w:val="5DB67898"/>
    <w:styleLink w:val="BulletList-Multi-Level"/>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216"/>
      </w:pPr>
      <w:rPr>
        <w:rFonts w:ascii="Calibri" w:hAnsi="Calibri" w:hint="default"/>
      </w:rPr>
    </w:lvl>
    <w:lvl w:ilvl="2">
      <w:start w:val="1"/>
      <w:numFmt w:val="bullet"/>
      <w:lvlText w:val=""/>
      <w:lvlJc w:val="left"/>
      <w:pPr>
        <w:ind w:left="1080"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8E7B91"/>
    <w:multiLevelType w:val="hybridMultilevel"/>
    <w:tmpl w:val="90E6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810DD"/>
    <w:multiLevelType w:val="hybridMultilevel"/>
    <w:tmpl w:val="2C122124"/>
    <w:lvl w:ilvl="0" w:tplc="F808ECFE">
      <w:start w:val="1"/>
      <w:numFmt w:val="bullet"/>
      <w:pStyle w:val="BulletList"/>
      <w:lvlText w:val=""/>
      <w:lvlJc w:val="left"/>
      <w:pPr>
        <w:ind w:left="36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27F0"/>
    <w:multiLevelType w:val="hybridMultilevel"/>
    <w:tmpl w:val="CB64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27367"/>
    <w:multiLevelType w:val="hybridMultilevel"/>
    <w:tmpl w:val="DF70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8F2DB8"/>
    <w:multiLevelType w:val="hybridMultilevel"/>
    <w:tmpl w:val="1C20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E305A"/>
    <w:multiLevelType w:val="hybridMultilevel"/>
    <w:tmpl w:val="1C205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1475767">
    <w:abstractNumId w:val="6"/>
  </w:num>
  <w:num w:numId="2" w16cid:durableId="194268372">
    <w:abstractNumId w:val="3"/>
  </w:num>
  <w:num w:numId="3" w16cid:durableId="1243029002">
    <w:abstractNumId w:val="2"/>
  </w:num>
  <w:num w:numId="4" w16cid:durableId="1173183660">
    <w:abstractNumId w:val="3"/>
  </w:num>
  <w:num w:numId="5" w16cid:durableId="357389011">
    <w:abstractNumId w:val="6"/>
  </w:num>
  <w:num w:numId="6" w16cid:durableId="365446375">
    <w:abstractNumId w:val="6"/>
  </w:num>
  <w:num w:numId="7" w16cid:durableId="995645617">
    <w:abstractNumId w:val="4"/>
  </w:num>
  <w:num w:numId="8" w16cid:durableId="1246181728">
    <w:abstractNumId w:val="0"/>
  </w:num>
  <w:num w:numId="9" w16cid:durableId="2068449958">
    <w:abstractNumId w:val="5"/>
  </w:num>
  <w:num w:numId="10" w16cid:durableId="965309295">
    <w:abstractNumId w:val="9"/>
  </w:num>
  <w:num w:numId="11" w16cid:durableId="538397041">
    <w:abstractNumId w:val="10"/>
  </w:num>
  <w:num w:numId="12" w16cid:durableId="863058520">
    <w:abstractNumId w:val="1"/>
  </w:num>
  <w:num w:numId="13" w16cid:durableId="2116905179">
    <w:abstractNumId w:val="8"/>
  </w:num>
  <w:num w:numId="14" w16cid:durableId="1111511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9C"/>
    <w:rsid w:val="00025188"/>
    <w:rsid w:val="001E670F"/>
    <w:rsid w:val="00286B03"/>
    <w:rsid w:val="003144F7"/>
    <w:rsid w:val="003B0CA1"/>
    <w:rsid w:val="0044070C"/>
    <w:rsid w:val="004E2367"/>
    <w:rsid w:val="004F314C"/>
    <w:rsid w:val="005D2F91"/>
    <w:rsid w:val="0063159A"/>
    <w:rsid w:val="006A46E2"/>
    <w:rsid w:val="006C497D"/>
    <w:rsid w:val="00702CC9"/>
    <w:rsid w:val="007D7A8C"/>
    <w:rsid w:val="008852F7"/>
    <w:rsid w:val="0088681E"/>
    <w:rsid w:val="008916BA"/>
    <w:rsid w:val="008F3CE0"/>
    <w:rsid w:val="00902BF8"/>
    <w:rsid w:val="00BA4DED"/>
    <w:rsid w:val="00BF389C"/>
    <w:rsid w:val="00C13EC8"/>
    <w:rsid w:val="00D84E0E"/>
    <w:rsid w:val="00DB7F4A"/>
    <w:rsid w:val="00E2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E51B"/>
  <w15:chartTrackingRefBased/>
  <w15:docId w15:val="{7C6F5742-AA55-45D5-AF2E-D6B2440D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F7"/>
    <w:rPr>
      <w:sz w:val="24"/>
    </w:rPr>
  </w:style>
  <w:style w:type="paragraph" w:styleId="Heading1">
    <w:name w:val="heading 1"/>
    <w:basedOn w:val="Normal"/>
    <w:next w:val="Normal"/>
    <w:link w:val="Heading1Char"/>
    <w:uiPriority w:val="9"/>
    <w:qFormat/>
    <w:rsid w:val="006A46E2"/>
    <w:pPr>
      <w:keepNext/>
      <w:keepLines/>
      <w:spacing w:before="24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A46E2"/>
    <w:pPr>
      <w:keepNext/>
      <w:keepLines/>
      <w:spacing w:before="240" w:after="120" w:line="240" w:lineRule="auto"/>
      <w:outlineLvl w:val="1"/>
    </w:pPr>
    <w:rPr>
      <w:rFonts w:ascii="Calibri" w:eastAsiaTheme="majorEastAsia" w:hAnsi="Calibri" w:cstheme="majorBidi"/>
      <w:b/>
      <w:color w:val="2F5496" w:themeColor="accent1" w:themeShade="BF"/>
      <w:sz w:val="32"/>
      <w:szCs w:val="26"/>
    </w:rPr>
  </w:style>
  <w:style w:type="paragraph" w:styleId="Heading3">
    <w:name w:val="heading 3"/>
    <w:basedOn w:val="Normal"/>
    <w:link w:val="Heading3Char"/>
    <w:uiPriority w:val="9"/>
    <w:qFormat/>
    <w:rsid w:val="00BF38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315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BF8"/>
    <w:pPr>
      <w:spacing w:after="0" w:line="240" w:lineRule="auto"/>
      <w:contextualSpacing/>
    </w:pPr>
    <w:rPr>
      <w:rFonts w:ascii="Calibri" w:eastAsiaTheme="majorEastAsia" w:hAnsi="Calibri" w:cstheme="majorBidi"/>
      <w:b/>
      <w:spacing w:val="-10"/>
      <w:kern w:val="28"/>
      <w:sz w:val="56"/>
      <w:szCs w:val="56"/>
    </w:rPr>
  </w:style>
  <w:style w:type="character" w:customStyle="1" w:styleId="TitleChar">
    <w:name w:val="Title Char"/>
    <w:basedOn w:val="DefaultParagraphFont"/>
    <w:link w:val="Title"/>
    <w:uiPriority w:val="10"/>
    <w:rsid w:val="00902BF8"/>
    <w:rPr>
      <w:rFonts w:ascii="Calibri" w:eastAsiaTheme="majorEastAsia" w:hAnsi="Calibri" w:cstheme="majorBidi"/>
      <w:b/>
      <w:spacing w:val="-10"/>
      <w:kern w:val="28"/>
      <w:sz w:val="56"/>
      <w:szCs w:val="56"/>
    </w:rPr>
  </w:style>
  <w:style w:type="character" w:customStyle="1" w:styleId="Heading1Char">
    <w:name w:val="Heading 1 Char"/>
    <w:basedOn w:val="DefaultParagraphFont"/>
    <w:link w:val="Heading1"/>
    <w:uiPriority w:val="9"/>
    <w:rsid w:val="006A46E2"/>
    <w:rPr>
      <w:rFonts w:eastAsiaTheme="majorEastAsia" w:cstheme="majorBidi"/>
      <w:b/>
      <w:color w:val="000000" w:themeColor="text1"/>
      <w:sz w:val="36"/>
      <w:szCs w:val="32"/>
    </w:rPr>
  </w:style>
  <w:style w:type="paragraph" w:customStyle="1" w:styleId="BulletDashList">
    <w:name w:val="Bullet Dash List"/>
    <w:basedOn w:val="Normal"/>
    <w:link w:val="BulletDashListChar"/>
    <w:qFormat/>
    <w:rsid w:val="00902BF8"/>
    <w:pPr>
      <w:numPr>
        <w:numId w:val="3"/>
      </w:numPr>
      <w:spacing w:line="240" w:lineRule="auto"/>
      <w:ind w:left="432"/>
      <w:contextualSpacing/>
    </w:pPr>
    <w:rPr>
      <w:sz w:val="20"/>
    </w:rPr>
  </w:style>
  <w:style w:type="character" w:customStyle="1" w:styleId="BulletDashListChar">
    <w:name w:val="Bullet Dash List Char"/>
    <w:basedOn w:val="DefaultParagraphFont"/>
    <w:link w:val="BulletDashList"/>
    <w:rsid w:val="00902BF8"/>
    <w:rPr>
      <w:sz w:val="20"/>
    </w:rPr>
  </w:style>
  <w:style w:type="paragraph" w:customStyle="1" w:styleId="BulletList">
    <w:name w:val="Bullet List"/>
    <w:basedOn w:val="Normal"/>
    <w:link w:val="BulletListChar"/>
    <w:qFormat/>
    <w:rsid w:val="006A46E2"/>
    <w:pPr>
      <w:numPr>
        <w:numId w:val="1"/>
      </w:numPr>
      <w:spacing w:line="240" w:lineRule="auto"/>
      <w:contextualSpacing/>
    </w:pPr>
  </w:style>
  <w:style w:type="character" w:customStyle="1" w:styleId="BulletListChar">
    <w:name w:val="Bullet List Char"/>
    <w:basedOn w:val="DefaultParagraphFont"/>
    <w:link w:val="BulletList"/>
    <w:rsid w:val="006A46E2"/>
    <w:rPr>
      <w:sz w:val="24"/>
    </w:rPr>
  </w:style>
  <w:style w:type="paragraph" w:customStyle="1" w:styleId="NumberList">
    <w:name w:val="Number List"/>
    <w:basedOn w:val="Normal"/>
    <w:link w:val="NumberListChar"/>
    <w:qFormat/>
    <w:rsid w:val="0044070C"/>
    <w:pPr>
      <w:numPr>
        <w:numId w:val="2"/>
      </w:numPr>
      <w:spacing w:line="240" w:lineRule="auto"/>
      <w:contextualSpacing/>
    </w:pPr>
  </w:style>
  <w:style w:type="character" w:customStyle="1" w:styleId="NumberListChar">
    <w:name w:val="Number List Char"/>
    <w:basedOn w:val="DefaultParagraphFont"/>
    <w:link w:val="NumberList"/>
    <w:rsid w:val="0044070C"/>
    <w:rPr>
      <w:sz w:val="24"/>
    </w:rPr>
  </w:style>
  <w:style w:type="paragraph" w:styleId="Subtitle">
    <w:name w:val="Subtitle"/>
    <w:basedOn w:val="Normal"/>
    <w:next w:val="Normal"/>
    <w:link w:val="SubtitleChar"/>
    <w:uiPriority w:val="11"/>
    <w:qFormat/>
    <w:rsid w:val="00902BF8"/>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902BF8"/>
    <w:rPr>
      <w:rFonts w:eastAsiaTheme="minorEastAsia"/>
      <w:color w:val="5A5A5A" w:themeColor="text1" w:themeTint="A5"/>
      <w:spacing w:val="15"/>
      <w:sz w:val="20"/>
    </w:rPr>
  </w:style>
  <w:style w:type="character" w:styleId="IntenseReference">
    <w:name w:val="Intense Reference"/>
    <w:basedOn w:val="DefaultParagraphFont"/>
    <w:uiPriority w:val="32"/>
    <w:qFormat/>
    <w:rsid w:val="00902BF8"/>
    <w:rPr>
      <w:rFonts w:asciiTheme="majorHAnsi" w:hAnsiTheme="majorHAnsi"/>
      <w:b/>
      <w:bCs/>
      <w:smallCaps/>
      <w:color w:val="4472C4" w:themeColor="accent1"/>
      <w:spacing w:val="5"/>
      <w:sz w:val="20"/>
    </w:rPr>
  </w:style>
  <w:style w:type="numbering" w:customStyle="1" w:styleId="BulletList-Multi-Level">
    <w:name w:val="Bullet List - Multi-Level"/>
    <w:uiPriority w:val="99"/>
    <w:rsid w:val="006A46E2"/>
    <w:pPr>
      <w:numPr>
        <w:numId w:val="7"/>
      </w:numPr>
    </w:pPr>
  </w:style>
  <w:style w:type="character" w:customStyle="1" w:styleId="Heading2Char">
    <w:name w:val="Heading 2 Char"/>
    <w:basedOn w:val="DefaultParagraphFont"/>
    <w:link w:val="Heading2"/>
    <w:uiPriority w:val="9"/>
    <w:rsid w:val="006A46E2"/>
    <w:rPr>
      <w:rFonts w:ascii="Calibri" w:eastAsiaTheme="majorEastAsia" w:hAnsi="Calibri" w:cstheme="majorBidi"/>
      <w:b/>
      <w:color w:val="2F5496" w:themeColor="accent1" w:themeShade="BF"/>
      <w:sz w:val="32"/>
      <w:szCs w:val="26"/>
    </w:rPr>
  </w:style>
  <w:style w:type="character" w:customStyle="1" w:styleId="Heading3Char">
    <w:name w:val="Heading 3 Char"/>
    <w:basedOn w:val="DefaultParagraphFont"/>
    <w:link w:val="Heading3"/>
    <w:uiPriority w:val="9"/>
    <w:rsid w:val="00BF389C"/>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BF389C"/>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BF389C"/>
    <w:pPr>
      <w:ind w:left="720"/>
      <w:contextualSpacing/>
    </w:pPr>
  </w:style>
  <w:style w:type="table" w:styleId="TableGrid">
    <w:name w:val="Table Grid"/>
    <w:basedOn w:val="TableNormal"/>
    <w:uiPriority w:val="39"/>
    <w:rsid w:val="008F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3C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63159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624">
      <w:bodyDiv w:val="1"/>
      <w:marLeft w:val="0"/>
      <w:marRight w:val="0"/>
      <w:marTop w:val="0"/>
      <w:marBottom w:val="0"/>
      <w:divBdr>
        <w:top w:val="none" w:sz="0" w:space="0" w:color="auto"/>
        <w:left w:val="none" w:sz="0" w:space="0" w:color="auto"/>
        <w:bottom w:val="none" w:sz="0" w:space="0" w:color="auto"/>
        <w:right w:val="none" w:sz="0" w:space="0" w:color="auto"/>
      </w:divBdr>
      <w:divsChild>
        <w:div w:id="657002951">
          <w:marLeft w:val="0"/>
          <w:marRight w:val="0"/>
          <w:marTop w:val="0"/>
          <w:marBottom w:val="0"/>
          <w:divBdr>
            <w:top w:val="none" w:sz="0" w:space="0" w:color="auto"/>
            <w:left w:val="none" w:sz="0" w:space="0" w:color="auto"/>
            <w:bottom w:val="none" w:sz="0" w:space="0" w:color="auto"/>
            <w:right w:val="none" w:sz="0" w:space="0" w:color="auto"/>
          </w:divBdr>
          <w:divsChild>
            <w:div w:id="507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055">
      <w:bodyDiv w:val="1"/>
      <w:marLeft w:val="0"/>
      <w:marRight w:val="0"/>
      <w:marTop w:val="0"/>
      <w:marBottom w:val="0"/>
      <w:divBdr>
        <w:top w:val="none" w:sz="0" w:space="0" w:color="auto"/>
        <w:left w:val="none" w:sz="0" w:space="0" w:color="auto"/>
        <w:bottom w:val="none" w:sz="0" w:space="0" w:color="auto"/>
        <w:right w:val="none" w:sz="0" w:space="0" w:color="auto"/>
      </w:divBdr>
    </w:div>
    <w:div w:id="986520544">
      <w:bodyDiv w:val="1"/>
      <w:marLeft w:val="0"/>
      <w:marRight w:val="0"/>
      <w:marTop w:val="0"/>
      <w:marBottom w:val="0"/>
      <w:divBdr>
        <w:top w:val="none" w:sz="0" w:space="0" w:color="auto"/>
        <w:left w:val="none" w:sz="0" w:space="0" w:color="auto"/>
        <w:bottom w:val="none" w:sz="0" w:space="0" w:color="auto"/>
        <w:right w:val="none" w:sz="0" w:space="0" w:color="auto"/>
      </w:divBdr>
    </w:div>
    <w:div w:id="1470443224">
      <w:bodyDiv w:val="1"/>
      <w:marLeft w:val="0"/>
      <w:marRight w:val="0"/>
      <w:marTop w:val="0"/>
      <w:marBottom w:val="0"/>
      <w:divBdr>
        <w:top w:val="none" w:sz="0" w:space="0" w:color="auto"/>
        <w:left w:val="none" w:sz="0" w:space="0" w:color="auto"/>
        <w:bottom w:val="none" w:sz="0" w:space="0" w:color="auto"/>
        <w:right w:val="none" w:sz="0" w:space="0" w:color="auto"/>
      </w:divBdr>
      <w:divsChild>
        <w:div w:id="1902981623">
          <w:marLeft w:val="0"/>
          <w:marRight w:val="0"/>
          <w:marTop w:val="0"/>
          <w:marBottom w:val="0"/>
          <w:divBdr>
            <w:top w:val="none" w:sz="0" w:space="0" w:color="auto"/>
            <w:left w:val="none" w:sz="0" w:space="0" w:color="auto"/>
            <w:bottom w:val="none" w:sz="0" w:space="0" w:color="auto"/>
            <w:right w:val="none" w:sz="0" w:space="0" w:color="auto"/>
          </w:divBdr>
          <w:divsChild>
            <w:div w:id="11407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2993">
      <w:bodyDiv w:val="1"/>
      <w:marLeft w:val="0"/>
      <w:marRight w:val="0"/>
      <w:marTop w:val="0"/>
      <w:marBottom w:val="0"/>
      <w:divBdr>
        <w:top w:val="none" w:sz="0" w:space="0" w:color="auto"/>
        <w:left w:val="none" w:sz="0" w:space="0" w:color="auto"/>
        <w:bottom w:val="none" w:sz="0" w:space="0" w:color="auto"/>
        <w:right w:val="none" w:sz="0" w:space="0" w:color="auto"/>
      </w:divBdr>
    </w:div>
    <w:div w:id="19830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433</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Blick</dc:creator>
  <cp:keywords/>
  <dc:description/>
  <cp:lastModifiedBy>Lou Blick</cp:lastModifiedBy>
  <cp:revision>8</cp:revision>
  <dcterms:created xsi:type="dcterms:W3CDTF">2023-06-12T19:45:00Z</dcterms:created>
  <dcterms:modified xsi:type="dcterms:W3CDTF">2023-06-14T14:13:00Z</dcterms:modified>
</cp:coreProperties>
</file>