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proofErr w:type="gramStart"/>
      <w:r w:rsidR="000D3DBA">
        <w:t>regulating</w:t>
      </w:r>
      <w:proofErr w:type="gramEnd"/>
      <w:r w:rsidR="000D3DBA">
        <w:t xml:space="preserve">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123A0D23"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Global Positioning System (GPS) technology (Cortus et al. 2011; De Laporte 2014). In developing countries, increasing human population pressures and climate change are also motivating land managers to convert wetlands to agricultural lands (Dixon and Wood 2003). However, few studies have focused on estimating </w:t>
      </w:r>
      <w:r w:rsidR="000A66B0">
        <w:t xml:space="preserve">all </w:t>
      </w:r>
      <w:r>
        <w:t>wetland values on agricultural landscapes</w:t>
      </w:r>
      <w:r w:rsidR="000A66B0">
        <w:t xml:space="preserve">, and so the </w:t>
      </w:r>
      <w:r w:rsidR="000A66B0">
        <w:lastRenderedPageBreak/>
        <w:t>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estimated the values (at the means) for flood control, water supply and nutrient recycling to be 6</w:t>
      </w:r>
      <w:r w:rsidR="009B14B2">
        <w:t>,</w:t>
      </w:r>
      <w:r w:rsidR="00563A21">
        <w:t>923 US$/ha/year, 3</w:t>
      </w:r>
      <w:r w:rsidR="009B14B2">
        <w:t>,</w:t>
      </w:r>
      <w:r w:rsidR="00563A21">
        <w:t>389 US$/ha/year, and 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lastRenderedPageBreak/>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r w:rsidR="007A7373" w:rsidRPr="00DC493A">
        <w:rPr>
          <w:rFonts w:ascii="Times New Roman" w:eastAsia="Times New Roman" w:hAnsi="Times New Roman" w:cs="Times New Roman"/>
          <w:color w:val="0E101A"/>
          <w:kern w:val="0"/>
          <w:sz w:val="24"/>
          <w:szCs w:val="24"/>
          <w:lang w:eastAsia="en-US" w:bidi="ar-SA"/>
        </w:rPr>
        <w:annotationRef/>
      </w:r>
    </w:p>
    <w:p w14:paraId="01C01E62" w14:textId="7699C911"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t>
      </w:r>
      <w:commentRangeStart w:id="0"/>
      <w:r w:rsidR="00E40CDF" w:rsidRPr="00DC493A">
        <w:rPr>
          <w:rFonts w:ascii="Times New Roman" w:eastAsia="Times New Roman" w:hAnsi="Times New Roman" w:cs="Times New Roman"/>
          <w:color w:val="0E101A"/>
          <w:kern w:val="0"/>
          <w:sz w:val="24"/>
          <w:szCs w:val="24"/>
          <w:lang w:eastAsia="en-US" w:bidi="ar-SA"/>
        </w:rPr>
        <w:t xml:space="preserve">which </w:t>
      </w:r>
      <w:r w:rsidR="00F45D56" w:rsidRPr="00DC493A">
        <w:rPr>
          <w:rFonts w:ascii="Times New Roman" w:eastAsia="Times New Roman" w:hAnsi="Times New Roman" w:cs="Times New Roman"/>
          <w:color w:val="0E101A"/>
          <w:kern w:val="0"/>
          <w:sz w:val="24"/>
          <w:szCs w:val="24"/>
          <w:lang w:eastAsia="en-US" w:bidi="ar-SA"/>
        </w:rPr>
        <w:t xml:space="preserve">52% were peer reviewed </w:t>
      </w:r>
      <w:commentRangeEnd w:id="0"/>
      <w:r w:rsidR="004758BE" w:rsidRPr="00DC493A">
        <w:rPr>
          <w:rStyle w:val="CommentReference"/>
        </w:rPr>
        <w:commentReference w:id="0"/>
      </w:r>
      <w:r w:rsidR="00F45D56" w:rsidRPr="00DC493A">
        <w:rPr>
          <w:rFonts w:ascii="Times New Roman" w:eastAsia="Times New Roman" w:hAnsi="Times New Roman" w:cs="Times New Roman"/>
          <w:color w:val="0E101A"/>
          <w:kern w:val="0"/>
          <w:sz w:val="24"/>
          <w:szCs w:val="24"/>
          <w:lang w:eastAsia="en-US" w:bidi="ar-SA"/>
        </w:rPr>
        <w:t xml:space="preserve">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not reported,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the method used to value ecosystem </w:t>
      </w:r>
      <w:r w:rsidR="00FB662C" w:rsidRPr="003B1DDE">
        <w:rPr>
          <w:rFonts w:ascii="Times New Roman" w:eastAsia="Times New Roman" w:hAnsi="Times New Roman" w:cs="Times New Roman"/>
          <w:color w:val="0E101A"/>
          <w:kern w:val="0"/>
          <w:sz w:val="24"/>
          <w:szCs w:val="24"/>
          <w:lang w:eastAsia="en-US" w:bidi="ar-SA"/>
        </w:rPr>
        <w:lastRenderedPageBreak/>
        <w:t>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w:t>
      </w:r>
      <w:proofErr w:type="gramStart"/>
      <w:r>
        <w:rPr>
          <w:color w:val="0E101A"/>
        </w:rPr>
        <w:t>provided</w:t>
      </w:r>
      <w:proofErr w:type="gramEnd"/>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estimated in kg N/ha of wetland, and the monetary value was estimated by averaging the values </w:t>
      </w:r>
      <w:r>
        <w:rPr>
          <w:color w:val="0E101A"/>
        </w:rPr>
        <w:lastRenderedPageBreak/>
        <w:t>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F6219EB" w:rsidR="00A43157" w:rsidRDefault="00A43157" w:rsidP="00CC4C62">
      <w:pPr>
        <w:rPr>
          <w:b/>
        </w:rPr>
      </w:pPr>
      <w:r>
        <w:rPr>
          <w:b/>
        </w:rPr>
        <w:lastRenderedPageBreak/>
        <w:t>Figure 1</w:t>
      </w:r>
      <w:r w:rsidR="00B87F09">
        <w:rPr>
          <w:b/>
        </w:rPr>
        <w:t xml:space="preserve">. </w:t>
      </w:r>
      <w:r>
        <w:rPr>
          <w:b/>
        </w:rPr>
        <w:t xml:space="preserve">Distribution of Study Sites for </w:t>
      </w:r>
      <w:r w:rsidR="00C1486E">
        <w:rPr>
          <w:b/>
        </w:rPr>
        <w:t>Provision</w:t>
      </w:r>
      <w:r w:rsidR="00B954F6">
        <w:rPr>
          <w:b/>
        </w:rPr>
        <w:t>ing</w:t>
      </w:r>
      <w:r>
        <w:rPr>
          <w:b/>
        </w:rPr>
        <w:t xml:space="preserve"> </w:t>
      </w:r>
      <w:r w:rsidR="00F45D56">
        <w:rPr>
          <w:b/>
        </w:rPr>
        <w:t xml:space="preserve">and Regulating </w:t>
      </w:r>
      <w:r>
        <w:rPr>
          <w:b/>
        </w:rPr>
        <w:t>Wetland Ecosystem Services</w:t>
      </w:r>
      <w:commentRangeStart w:id="1"/>
      <w:commentRangeStart w:id="2"/>
      <w:r w:rsidR="00765158">
        <w:rPr>
          <w:rStyle w:val="FootnoteReference"/>
          <w:b/>
        </w:rPr>
        <w:footnoteReference w:id="1"/>
      </w:r>
      <w:commentRangeEnd w:id="1"/>
      <w:r w:rsidR="00BF3944">
        <w:rPr>
          <w:rStyle w:val="CommentReference"/>
          <w:rFonts w:ascii="Liberation Serif" w:eastAsia="SimSun" w:hAnsi="Liberation Serif" w:cs="Mangal"/>
          <w:kern w:val="3"/>
          <w:lang w:eastAsia="zh-CN" w:bidi="hi-IN"/>
        </w:rPr>
        <w:commentReference w:id="1"/>
      </w:r>
      <w:commentRangeEnd w:id="2"/>
      <w:r w:rsidR="00102EDF">
        <w:rPr>
          <w:rStyle w:val="CommentReference"/>
          <w:rFonts w:ascii="Liberation Serif" w:eastAsia="SimSun" w:hAnsi="Liberation Serif" w:cs="Mangal"/>
          <w:kern w:val="3"/>
          <w:lang w:eastAsia="zh-CN" w:bidi="hi-IN"/>
        </w:rPr>
        <w:commentReference w:id="2"/>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586B63"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586B63"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586B63"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586B63"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ABF9216"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3"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3"/>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4021D3A" w:rsidR="003968AF" w:rsidRDefault="003968AF" w:rsidP="008C2D6F">
      <w:pPr>
        <w:spacing w:line="480" w:lineRule="auto"/>
        <w:ind w:firstLine="720"/>
        <w:rPr>
          <w:color w:val="0E101A"/>
        </w:rPr>
      </w:pPr>
      <w:r>
        <w:rPr>
          <w:color w:val="0E101A"/>
        </w:rPr>
        <w:t xml:space="preserve">The global species richness of birds </w:t>
      </w:r>
      <w:r w:rsidR="0066747A">
        <w:rPr>
          <w:color w:val="0E101A"/>
        </w:rPr>
        <w:t>was</w:t>
      </w:r>
      <w:r>
        <w:rPr>
          <w:color w:val="0E101A"/>
        </w:rPr>
        <w:t xml:space="preserve">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r>
        <w:rPr>
          <w:color w:val="0E101A"/>
        </w:rPr>
        <w:t>x</w:t>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w:t>
      </w:r>
      <w:r w:rsidR="00930655" w:rsidRPr="00232FD1">
        <w:t xml:space="preserve">International Union for Conservation of Nature </w:t>
      </w:r>
      <w:r>
        <w:rPr>
          <w:color w:val="0E101A"/>
        </w:rPr>
        <w:t xml:space="preserve">&amp; </w:t>
      </w:r>
      <w:r w:rsidR="00930655" w:rsidRPr="00232FD1">
        <w:t>Center for International Earth Science Information Network</w:t>
      </w:r>
      <w:r>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Pr>
          <w:color w:val="0E101A"/>
        </w:rPr>
        <w:t xml:space="preserve"> </w:t>
      </w:r>
    </w:p>
    <w:p w14:paraId="50281BC7" w14:textId="72E62E68" w:rsidR="00F45D56" w:rsidRDefault="00F45D56" w:rsidP="00930655">
      <w:pPr>
        <w:spacing w:line="480" w:lineRule="auto"/>
        <w:rPr>
          <w:color w:val="0E101A"/>
        </w:rPr>
      </w:pPr>
    </w:p>
    <w:p w14:paraId="038F3728" w14:textId="77777777" w:rsidR="00F45D56" w:rsidRPr="00930655" w:rsidRDefault="00F45D56"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0B84C85F"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w:t>
      </w:r>
      <w:proofErr w:type="gramStart"/>
      <w:r>
        <w:rPr>
          <w:color w:val="0E101A"/>
        </w:rPr>
        <w:t>mitigation</w:t>
      </w:r>
      <w:proofErr w:type="gramEnd"/>
      <w:r>
        <w:rPr>
          <w:color w:val="0E101A"/>
        </w:rPr>
        <w:t xml:space="preserve">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 xml:space="preserve">no net loss policy whereas others do not. However, for this study we focus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36745E7"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many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w:t>
      </w:r>
      <w:r w:rsidR="003968AF">
        <w:rPr>
          <w:color w:val="0E101A"/>
        </w:rPr>
        <w:lastRenderedPageBreak/>
        <w:t xml:space="preserve">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77777777" w:rsidR="00F45D56" w:rsidRPr="00765158" w:rsidRDefault="00F45D56" w:rsidP="008C2D6F">
            <w:pPr>
              <w:rPr>
                <w:sz w:val="20"/>
                <w:szCs w:val="20"/>
              </w:rPr>
            </w:pPr>
            <w:r w:rsidRPr="00765158">
              <w:rPr>
                <w:sz w:val="20"/>
                <w:szCs w:val="20"/>
              </w:rPr>
              <w:t>Wetland</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77777777" w:rsidR="00765158" w:rsidRPr="00AC11AC" w:rsidRDefault="00765158" w:rsidP="008C2D6F">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60E8F806"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the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744D41E8"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w:t>
      </w:r>
      <w:r w:rsidR="008C2D6F" w:rsidRPr="003D7C67">
        <w:t>(1,003 humans/km</w:t>
      </w:r>
      <w:r w:rsidR="008C2D6F" w:rsidRPr="003D7C67">
        <w:rPr>
          <w:vertAlign w:val="superscript"/>
        </w:rPr>
        <w:t>2</w:t>
      </w:r>
      <w:r w:rsidR="008C2D6F" w:rsidRPr="003D7C67">
        <w:t xml:space="preserve">) </w:t>
      </w:r>
      <w:r w:rsidR="008C2D6F" w:rsidRPr="003D7C67">
        <w:t>and standard deviation (</w:t>
      </w:r>
      <w:r w:rsidR="008C2D6F" w:rsidRPr="003D7C67">
        <w:t>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and standard deviation of </w:t>
      </w:r>
      <w:r w:rsidR="006417CB" w:rsidRPr="003D7C67">
        <w:t>755 human population/km</w:t>
      </w:r>
      <w:r w:rsidR="006417CB" w:rsidRPr="003D7C67">
        <w:rPr>
          <w:vertAlign w:val="superscript"/>
        </w:rPr>
        <w:t>2</w:t>
      </w:r>
      <w:r w:rsidR="006417CB" w:rsidRPr="003D7C67">
        <w:t xml:space="preserve"> and 2</w:t>
      </w:r>
      <w:r w:rsidR="00086084" w:rsidRPr="003D7C67">
        <w:t>,</w:t>
      </w:r>
      <w:r w:rsidR="006417CB" w:rsidRPr="003D7C67">
        <w:t>223 human population/km</w:t>
      </w:r>
      <w:r w:rsidR="006417CB" w:rsidRPr="003D7C67">
        <w:rPr>
          <w:vertAlign w:val="superscript"/>
        </w:rPr>
        <w:t>2</w:t>
      </w:r>
      <w:r w:rsidR="006417CB" w:rsidRPr="003D7C67">
        <w:t xml:space="preserve">, </w:t>
      </w:r>
      <w:r w:rsidR="00B036C8" w:rsidRPr="003D7C67">
        <w:t>respectively.</w:t>
      </w:r>
      <w:r w:rsidR="00B036C8">
        <w:t xml:space="preserve"> </w:t>
      </w:r>
    </w:p>
    <w:p w14:paraId="13BD27A4" w14:textId="701A0628" w:rsidR="004406F8" w:rsidRDefault="00B036C8" w:rsidP="0094093F">
      <w:pPr>
        <w:spacing w:line="480" w:lineRule="auto"/>
        <w:ind w:firstLine="720"/>
      </w:pPr>
      <w:r>
        <w:lastRenderedPageBreak/>
        <w:t xml:space="preserve">Moreover, concerning the </w:t>
      </w:r>
      <w:r w:rsidR="004406F8">
        <w:t xml:space="preserve">wetland policy variables, </w:t>
      </w:r>
      <w:r w:rsidR="00977826">
        <w:t xml:space="preserve">more </w:t>
      </w:r>
      <w:r w:rsidR="008B010B">
        <w:t xml:space="preserve">jurisdictions </w:t>
      </w:r>
      <w:r w:rsidR="00977826">
        <w:t xml:space="preserve">in the </w:t>
      </w:r>
      <w:r w:rsidR="008B010B">
        <w:t xml:space="preserve">regulating </w:t>
      </w:r>
      <w:r w:rsidR="00977826">
        <w:t xml:space="preserve">model had </w:t>
      </w:r>
      <w:r w:rsidR="008B010B">
        <w:t xml:space="preserve">identified a goal of conservation of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4440E50E" w:rsidR="00B036C8" w:rsidRDefault="00A30CA8" w:rsidP="00B036C8">
      <w:pPr>
        <w:spacing w:line="480" w:lineRule="auto"/>
        <w:ind w:firstLine="720"/>
      </w:pPr>
      <w:r>
        <w:t xml:space="preserve">Considering the </w:t>
      </w:r>
      <w:r w:rsidR="00B036C8">
        <w:t>biodiversity variables</w:t>
      </w:r>
      <w:r>
        <w:t xml:space="preserve"> included in the models</w:t>
      </w:r>
      <w:r w:rsidR="00B036C8">
        <w:t xml:space="preserve"> t</w:t>
      </w:r>
      <w:r w:rsidR="00D82E6E">
        <w:t xml:space="preserve">here were more amphibians associated </w:t>
      </w:r>
      <w:r w:rsidR="00313145">
        <w:t xml:space="preserve">on average </w:t>
      </w:r>
      <w:r w:rsidR="00D82E6E">
        <w:t xml:space="preserve">with wetlands in the </w:t>
      </w:r>
      <w:r w:rsidR="00C1486E">
        <w:t>provision</w:t>
      </w:r>
      <w:r>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rsidR="0094093F">
        <w:t xml:space="preserve">Also, there were more bird </w:t>
      </w:r>
      <w:r w:rsidR="00EF2471">
        <w:t xml:space="preserve">species </w:t>
      </w:r>
      <w:r w:rsidR="0094093F">
        <w:t xml:space="preserve">associated with wetlands in the </w:t>
      </w:r>
      <w:r w:rsidR="00C1486E">
        <w:t>provision</w:t>
      </w:r>
      <w:r>
        <w:t>ing</w:t>
      </w:r>
      <w:r w:rsidR="0094093F">
        <w:t xml:space="preserve"> model (283/ha) than wetlands in the </w:t>
      </w:r>
      <w:r>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4"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0D820453" w:rsidR="00FA42B6" w:rsidRPr="00FA42B6" w:rsidRDefault="00FA42B6" w:rsidP="00B02005">
            <w:pPr>
              <w:rPr>
                <w:color w:val="000000"/>
                <w:sz w:val="20"/>
                <w:szCs w:val="20"/>
              </w:rPr>
            </w:pPr>
            <w:r w:rsidRPr="00FA42B6">
              <w:rPr>
                <w:color w:val="000000"/>
                <w:sz w:val="20"/>
                <w:szCs w:val="20"/>
              </w:rPr>
              <w:t>WL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0BAAD35D" w:rsidR="00FA42B6" w:rsidRPr="00FA42B6" w:rsidRDefault="00FA42B6" w:rsidP="00B02005">
            <w:pPr>
              <w:rPr>
                <w:color w:val="000000"/>
                <w:sz w:val="20"/>
                <w:szCs w:val="20"/>
              </w:rPr>
            </w:pPr>
            <w:r w:rsidRPr="00FA42B6">
              <w:rPr>
                <w:sz w:val="20"/>
                <w:szCs w:val="20"/>
              </w:rPr>
              <w:t>Econ. Val. Mthd.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4"/>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02FC47DC"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 xml:space="preserve">mixed model (study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5309FEF0"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highly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proofErr w:type="gramStart"/>
      <w:r w:rsidR="005F67A5" w:rsidRPr="005F67A5">
        <w:t>incentives</w:t>
      </w:r>
      <w:proofErr w:type="gramEnd"/>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430E34" w:rsidRDefault="00A20DF2" w:rsidP="00A20DF2">
            <w:pPr>
              <w:pBdr>
                <w:bottom w:val="single" w:sz="4" w:space="1" w:color="auto"/>
              </w:pBdr>
              <w:spacing w:line="256" w:lineRule="auto"/>
            </w:pPr>
            <w:r w:rsidRPr="00430E34">
              <w:t>Model Summary Statistics</w:t>
            </w:r>
          </w:p>
          <w:p w14:paraId="536325E0" w14:textId="77777777" w:rsidR="00A20DF2" w:rsidRPr="00430E34" w:rsidRDefault="00A20DF2" w:rsidP="00A20DF2">
            <w:pPr>
              <w:spacing w:line="256" w:lineRule="auto"/>
              <w:rPr>
                <w:sz w:val="20"/>
                <w:szCs w:val="20"/>
              </w:rPr>
            </w:pPr>
            <w:r w:rsidRPr="00430E34">
              <w:rPr>
                <w:i/>
                <w:iCs/>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8C2D6F">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8C2D6F">
              <w:rPr>
                <w:sz w:val="20"/>
                <w:szCs w:val="20"/>
                <w:vertAlign w:val="superscript"/>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w:t>
            </w:r>
            <w:r w:rsidR="00B1449D" w:rsidRPr="00430E34">
              <w:rPr>
                <w:sz w:val="20"/>
                <w:szCs w:val="20"/>
              </w:rPr>
              <w:t>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w:t>
            </w:r>
            <w:r w:rsidR="00B1449D" w:rsidRPr="00430E34">
              <w:rPr>
                <w:sz w:val="20"/>
                <w:szCs w:val="20"/>
              </w:rPr>
              <w:t>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w:t>
            </w:r>
            <w:r w:rsidR="00B1449D" w:rsidRPr="00430E34">
              <w:rPr>
                <w:sz w:val="20"/>
                <w:szCs w:val="20"/>
              </w:rPr>
              <w:t>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w:t>
            </w:r>
            <w:r w:rsidR="00B1449D" w:rsidRPr="00430E34">
              <w:rPr>
                <w:sz w:val="20"/>
                <w:szCs w:val="20"/>
              </w:rPr>
              <w:t>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Pr>
          <w:sz w:val="20"/>
          <w:szCs w:val="20"/>
        </w:rPr>
        <w:t>-</w:t>
      </w:r>
      <w:r w:rsidR="00B1449D" w:rsidRPr="00430E34">
        <w:rPr>
          <w:sz w:val="20"/>
          <w:szCs w:val="20"/>
        </w:rPr>
        <w:t xml:space="preserve"> RMS</w:t>
      </w:r>
      <w:r w:rsidR="00B1449D" w:rsidRPr="00BD7F8F">
        <w:rPr>
          <w:sz w:val="20"/>
          <w:szCs w:val="20"/>
        </w:rPr>
        <w:t xml:space="preserve"> denotes </w:t>
      </w:r>
      <w:r w:rsidR="00B1449D">
        <w:rPr>
          <w:sz w:val="20"/>
          <w:szCs w:val="20"/>
        </w:rPr>
        <w:t>me</w:t>
      </w:r>
      <w:r w:rsidR="00B1449D">
        <w:rPr>
          <w:sz w:val="20"/>
          <w:szCs w:val="20"/>
        </w:rPr>
        <w:t>an value</w:t>
      </w:r>
      <w:r w:rsidR="00B1449D">
        <w:rPr>
          <w:sz w:val="20"/>
          <w:szCs w:val="20"/>
        </w:rPr>
        <w:t xml:space="preserv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Pr>
          <w:sz w:val="20"/>
          <w:szCs w:val="20"/>
        </w:rPr>
        <w:t>-</w:t>
      </w:r>
      <w:r w:rsidR="00B1449D" w:rsidRPr="00BD7F8F">
        <w:rPr>
          <w:sz w:val="20"/>
          <w:szCs w:val="20"/>
        </w:rPr>
        <w:t>MAD denotes</w:t>
      </w:r>
      <w:r w:rsidR="00B1449D">
        <w:rPr>
          <w:sz w:val="20"/>
          <w:szCs w:val="20"/>
        </w:rPr>
        <w:t xml:space="preserve"> </w:t>
      </w:r>
      <w:r w:rsidR="00B1449D">
        <w:rPr>
          <w:sz w:val="20"/>
          <w:szCs w:val="20"/>
        </w:rPr>
        <w:t>mean value</w:t>
      </w:r>
      <w:r w:rsidR="00B1449D">
        <w:rPr>
          <w:sz w:val="20"/>
          <w:szCs w:val="20"/>
        </w:rPr>
        <w:t xml:space="preserv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23BF0733"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highly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19DDFCD"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1E01AE">
      <w:pPr>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77777777" w:rsidR="006252CB" w:rsidRDefault="006252CB" w:rsidP="006252CB">
            <w:pPr>
              <w:spacing w:line="256" w:lineRule="auto"/>
              <w:rPr>
                <w:sz w:val="20"/>
                <w:szCs w:val="20"/>
              </w:rPr>
            </w:pPr>
            <w:r>
              <w:rPr>
                <w:sz w:val="20"/>
                <w:szCs w:val="20"/>
              </w:rPr>
              <w:t>Econ. Val. Mthd.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xml:space="preserve">- </w:t>
            </w:r>
            <w:r w:rsidR="00580686">
              <w:rPr>
                <w:sz w:val="20"/>
                <w:szCs w:val="20"/>
              </w:rPr>
              <w:t>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xml:space="preserve">- </w:t>
            </w:r>
            <w:r w:rsidR="00580686">
              <w:rPr>
                <w:sz w:val="20"/>
                <w:szCs w:val="20"/>
              </w:rPr>
              <w:t>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671DF573" w:rsidR="00084621" w:rsidRDefault="00DD7A85" w:rsidP="00084621">
      <w:pPr>
        <w:pStyle w:val="NormalWeb"/>
        <w:spacing w:before="0" w:beforeAutospacing="0" w:after="0" w:afterAutospacing="0" w:line="480" w:lineRule="auto"/>
        <w:ind w:firstLine="720"/>
        <w:rPr>
          <w:color w:val="0E101A"/>
        </w:rPr>
      </w:pPr>
      <w:r>
        <w:rPr>
          <w:color w:val="0E101A"/>
        </w:rPr>
        <w:t xml:space="preserve">Wetlands have </w:t>
      </w:r>
      <w:r w:rsidR="00340DEF">
        <w:rPr>
          <w:color w:val="0E101A"/>
        </w:rPr>
        <w:t>tangible</w:t>
      </w:r>
      <w:r w:rsidR="00D4661E">
        <w:rPr>
          <w:color w:val="0E101A"/>
        </w:rPr>
        <w:t xml:space="preserve"> v</w:t>
      </w:r>
      <w:r>
        <w:rPr>
          <w:color w:val="0E101A"/>
        </w:rPr>
        <w:t>alue</w:t>
      </w:r>
      <w:r w:rsidR="00340DEF">
        <w:rPr>
          <w:color w:val="0E101A"/>
        </w:rPr>
        <w:t>s</w:t>
      </w:r>
      <w:r w:rsidR="00D4661E">
        <w:rPr>
          <w:color w:val="0E101A"/>
        </w:rPr>
        <w:t xml:space="preserve"> </w:t>
      </w:r>
      <w:r>
        <w:rPr>
          <w:color w:val="0E101A"/>
        </w:rPr>
        <w:t>because they produce services that are useful or beneficial to humans (Mitsch and Gosselink 2000</w:t>
      </w:r>
      <w:r w:rsidR="00C46BAE">
        <w:rPr>
          <w:color w:val="0E101A"/>
        </w:rPr>
        <w:t xml:space="preserve">). </w:t>
      </w:r>
      <w:r w:rsidR="00084621">
        <w:rPr>
          <w:color w:val="0E101A"/>
        </w:rPr>
        <w:t>Therefore, the positive effect of 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is expected</w:t>
      </w:r>
      <w:r w:rsidR="00D708D8">
        <w:rPr>
          <w:color w:val="0E101A"/>
        </w:rPr>
        <w:t>, and</w:t>
      </w:r>
      <w:r w:rsidR="00847B68">
        <w:rPr>
          <w:color w:val="0E101A"/>
        </w:rPr>
        <w:t xml:space="preserve"> </w:t>
      </w:r>
      <w:r w:rsidR="00084621">
        <w:rPr>
          <w:color w:val="0E101A"/>
        </w:rPr>
        <w:t xml:space="preserve">is consistent with </w:t>
      </w:r>
      <w:r w:rsidR="00340DEF">
        <w:rPr>
          <w:color w:val="0E101A"/>
        </w:rPr>
        <w:t>some previous work</w:t>
      </w:r>
      <w:r w:rsidR="00084621">
        <w:rPr>
          <w:color w:val="0E101A"/>
        </w:rPr>
        <w:t xml:space="preserve"> (see</w:t>
      </w:r>
      <w:r w:rsidR="00D708D8">
        <w:rPr>
          <w:color w:val="0E101A"/>
        </w:rPr>
        <w:t>,</w:t>
      </w:r>
      <w:r w:rsidR="00084621">
        <w:rPr>
          <w:color w:val="0E101A"/>
        </w:rPr>
        <w:t xml:space="preserve"> for instance, Mitsch and Gosselink 2000; Brander et al. 2006; Branders et al. 2013).  A possible explanation for </w:t>
      </w:r>
      <w:r w:rsidR="00340DEF">
        <w:rPr>
          <w:color w:val="0E101A"/>
        </w:rPr>
        <w:t>this</w:t>
      </w:r>
      <w:r w:rsidR="00084621">
        <w:rPr>
          <w:color w:val="0E101A"/>
        </w:rPr>
        <w:t xml:space="preserve"> observation is that higher population</w:t>
      </w:r>
      <w:r w:rsidR="00340DEF">
        <w:rPr>
          <w:color w:val="0E101A"/>
        </w:rPr>
        <w:t>s</w:t>
      </w:r>
      <w:r w:rsidR="00084621">
        <w:rPr>
          <w:color w:val="0E101A"/>
        </w:rPr>
        <w:t xml:space="preserve"> near wetland areas would mean a greater number of people could benefit from wetland services</w:t>
      </w:r>
      <w:r w:rsidR="00DF36B5">
        <w:rPr>
          <w:color w:val="0E101A"/>
        </w:rPr>
        <w:t xml:space="preserve"> with improved access to the wetland areas</w:t>
      </w:r>
      <w:r w:rsidR="00084621">
        <w:rPr>
          <w:color w:val="0E101A"/>
        </w:rPr>
        <w:t xml:space="preserve">. </w:t>
      </w:r>
    </w:p>
    <w:p w14:paraId="397D6FBD" w14:textId="3FE6AFA9" w:rsidR="009A4ABE" w:rsidRDefault="009A4ABE" w:rsidP="00084621">
      <w:pPr>
        <w:pStyle w:val="NormalWeb"/>
        <w:spacing w:before="0" w:beforeAutospacing="0" w:after="0" w:afterAutospacing="0" w:line="480" w:lineRule="auto"/>
        <w:ind w:firstLine="720"/>
        <w:rPr>
          <w:color w:val="0E101A"/>
        </w:rPr>
      </w:pPr>
      <w:r>
        <w:rPr>
          <w:color w:val="0E101A"/>
        </w:rPr>
        <w:t xml:space="preserve">Moreover, </w:t>
      </w:r>
      <w:r w:rsidR="00340DEF">
        <w:rPr>
          <w:color w:val="0E101A"/>
        </w:rPr>
        <w:t>we found</w:t>
      </w:r>
      <w:r>
        <w:rPr>
          <w:color w:val="0E101A"/>
        </w:rPr>
        <w:t xml:space="preserve"> that wetlands in high-income countries have higher provision</w:t>
      </w:r>
      <w:r w:rsidR="00847B68">
        <w:rPr>
          <w:color w:val="0E101A"/>
        </w:rPr>
        <w:t>ing</w:t>
      </w:r>
      <w:r>
        <w:rPr>
          <w:color w:val="0E101A"/>
        </w:rPr>
        <w:t xml:space="preserve"> and </w:t>
      </w:r>
      <w:r w:rsidR="00847B68">
        <w:rPr>
          <w:color w:val="0E101A"/>
        </w:rPr>
        <w:t xml:space="preserve">regulating ecosystem service </w:t>
      </w:r>
      <w:r>
        <w:rPr>
          <w:color w:val="0E101A"/>
        </w:rPr>
        <w:t xml:space="preserve">values compared to those in other income groups.  </w:t>
      </w:r>
      <w:r w:rsidR="00340DEF">
        <w:rPr>
          <w:color w:val="0E101A"/>
        </w:rPr>
        <w:t xml:space="preserve">Most </w:t>
      </w:r>
      <w:r>
        <w:rPr>
          <w:color w:val="0E101A"/>
        </w:rPr>
        <w:t xml:space="preserve">citizens in wealthy nations </w:t>
      </w:r>
      <w:r w:rsidR="005F67A5">
        <w:rPr>
          <w:color w:val="0E101A"/>
        </w:rPr>
        <w:t>live above their subsistence levels (can</w:t>
      </w:r>
      <w:r>
        <w:rPr>
          <w:color w:val="0E101A"/>
        </w:rPr>
        <w:t xml:space="preserve"> satisfy their basic needs</w:t>
      </w:r>
      <w:r w:rsidR="005F67A5">
        <w:rPr>
          <w:color w:val="0E101A"/>
        </w:rPr>
        <w:t>)</w:t>
      </w:r>
      <w:r>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Pr>
          <w:color w:val="0E101A"/>
        </w:rPr>
        <w:t xml:space="preserve">be involved in protecting ecosystems, including wetlands </w:t>
      </w:r>
      <w:r w:rsidR="00340DEF">
        <w:rPr>
          <w:color w:val="0E101A"/>
        </w:rPr>
        <w:t>(</w:t>
      </w:r>
      <w:r>
        <w:rPr>
          <w:color w:val="0E101A"/>
        </w:rPr>
        <w:t>Mitsch and Gosselink 2000)</w:t>
      </w:r>
      <w:r w:rsidR="00E2299B">
        <w:rPr>
          <w:color w:val="0E101A"/>
        </w:rPr>
        <w:t>.</w:t>
      </w:r>
      <w:r>
        <w:rPr>
          <w:color w:val="0E101A"/>
        </w:rPr>
        <w:t xml:space="preserve"> </w:t>
      </w:r>
    </w:p>
    <w:p w14:paraId="1DC80454" w14:textId="627F1DBF"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Therefore, as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A plausible explanation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438974A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A possible explanation is that people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435CD358" w:rsidR="00EE0846" w:rsidRDefault="00B777B5" w:rsidP="00EE0846">
      <w:pPr>
        <w:pStyle w:val="NormalWeb"/>
        <w:spacing w:before="0" w:beforeAutospacing="0" w:after="0" w:afterAutospacing="0" w:line="480" w:lineRule="auto"/>
        <w:ind w:firstLine="720"/>
        <w:rPr>
          <w:color w:val="0E101A"/>
        </w:rPr>
      </w:pPr>
      <w:r>
        <w:rPr>
          <w:color w:val="0E101A"/>
        </w:rPr>
        <w:t>Further, 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614E79">
        <w:rPr>
          <w:color w:val="0E101A"/>
        </w:rPr>
        <w:t xml:space="preserve">meta-studies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his observation has also been reported in other studies (</w:t>
      </w:r>
      <w:r w:rsidR="00A40267">
        <w:rPr>
          <w:color w:val="0E101A"/>
        </w:rPr>
        <w:t>Ghermandi and Nunes</w:t>
      </w:r>
      <w:r w:rsidR="0022129C">
        <w:rPr>
          <w:color w:val="0E101A"/>
        </w:rPr>
        <w:t xml:space="preserve"> </w:t>
      </w:r>
      <w:r w:rsidR="00A40267">
        <w:rPr>
          <w:color w:val="0E101A"/>
        </w:rPr>
        <w:t xml:space="preserve">2013; Reynaud and Lanzanova 2017). </w:t>
      </w:r>
      <w:r w:rsidR="00E40CDF">
        <w:rPr>
          <w:color w:val="0E101A"/>
        </w:rPr>
        <w:t xml:space="preserve">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5F975CF7"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Traditionally benefit transfer approaches simply used mean values from </w:t>
      </w:r>
      <w:r w:rsidR="00A41B50" w:rsidRPr="003D7C67">
        <w:rPr>
          <w:rFonts w:ascii="Times New Roman" w:eastAsia="Times New Roman" w:hAnsi="Times New Roman" w:cs="Times New Roman"/>
          <w:color w:val="0E101A"/>
          <w:kern w:val="0"/>
          <w:sz w:val="24"/>
          <w:szCs w:val="24"/>
          <w:lang w:eastAsia="en-US" w:bidi="ar-SA"/>
        </w:rPr>
        <w:lastRenderedPageBreak/>
        <w:t>relatively comparable wetland study sites to represent values for the target site</w:t>
      </w:r>
      <w:r w:rsidR="00A41B50" w:rsidRPr="003D7C67">
        <w:rPr>
          <w:rFonts w:ascii="Times New Roman" w:eastAsia="Times New Roman" w:hAnsi="Times New Roman" w:cs="Times New Roman"/>
          <w:color w:val="0E101A"/>
          <w:kern w:val="0"/>
          <w:sz w:val="24"/>
          <w:szCs w:val="24"/>
          <w:lang w:eastAsia="en-US" w:bidi="ar-SA"/>
        </w:rPr>
        <w:t>.</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Our study applies a meta-regression model to tailor those values from comparable wetland study sites to more effectively develop values that represent the biophysical, </w:t>
      </w:r>
      <w:proofErr w:type="gramStart"/>
      <w:r w:rsidR="00A41B50" w:rsidRPr="003D7C67">
        <w:rPr>
          <w:rFonts w:ascii="Times New Roman" w:eastAsia="Times New Roman" w:hAnsi="Times New Roman" w:cs="Times New Roman"/>
          <w:color w:val="0E101A"/>
          <w:kern w:val="0"/>
          <w:sz w:val="24"/>
          <w:szCs w:val="24"/>
          <w:lang w:eastAsia="en-US" w:bidi="ar-SA"/>
        </w:rPr>
        <w:t>social</w:t>
      </w:r>
      <w:proofErr w:type="gramEnd"/>
      <w:r w:rsidR="00A41B50" w:rsidRPr="003D7C67">
        <w:rPr>
          <w:rFonts w:ascii="Times New Roman" w:eastAsia="Times New Roman" w:hAnsi="Times New Roman" w:cs="Times New Roman"/>
          <w:color w:val="0E101A"/>
          <w:kern w:val="0"/>
          <w:sz w:val="24"/>
          <w:szCs w:val="24"/>
          <w:lang w:eastAsia="en-US" w:bidi="ar-SA"/>
        </w:rPr>
        <w:t xml:space="preserve">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 Rosenberger (</w:t>
      </w:r>
      <w:hyperlink r:id="rId18"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and 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of 200% and 385%%, respectively, 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 xml:space="preserve">model, and </w:t>
      </w:r>
      <w:r w:rsidR="001C2087">
        <w:rPr>
          <w:rFonts w:ascii="Times New Roman" w:eastAsia="Times New Roman" w:hAnsi="Times New Roman" w:cs="Times New Roman"/>
          <w:color w:val="0E101A"/>
          <w:kern w:val="0"/>
          <w:sz w:val="24"/>
          <w:szCs w:val="24"/>
          <w:lang w:eastAsia="en-US" w:bidi="ar-SA"/>
        </w:rPr>
        <w:t>168% and 234%</w:t>
      </w:r>
      <w:r w:rsidR="00A544F7">
        <w:rPr>
          <w:rFonts w:ascii="Times New Roman" w:eastAsia="Times New Roman" w:hAnsi="Times New Roman" w:cs="Times New Roman"/>
          <w:color w:val="0E101A"/>
          <w:kern w:val="0"/>
          <w:sz w:val="24"/>
          <w:szCs w:val="24"/>
          <w:lang w:eastAsia="en-US" w:bidi="ar-SA"/>
        </w:rPr>
        <w:t>, respectively, 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5C410F">
        <w:rPr>
          <w:rFonts w:ascii="Times New Roman" w:eastAsia="Times New Roman" w:hAnsi="Times New Roman" w:cs="Times New Roman"/>
          <w:color w:val="0E101A"/>
          <w:kern w:val="0"/>
          <w:sz w:val="24"/>
          <w:szCs w:val="24"/>
          <w:lang w:eastAsia="en-US" w:bidi="ar-SA"/>
        </w:rPr>
        <w:t>Even though, our estimated benefit transfer errors are considerably higher compared to the average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A plausible reason is the lack of sufficient data (23 observations for the regulating model and 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original 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to inform</w:t>
      </w:r>
      <w:r w:rsidR="00DF36B5"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 xml:space="preserve">an effective benefit transfer tool (compared to the mean value transfer approach) to </w:t>
      </w:r>
      <w:r w:rsidR="00C070EC">
        <w:rPr>
          <w:rFonts w:ascii="Times New Roman" w:eastAsia="Times New Roman" w:hAnsi="Times New Roman" w:cs="Times New Roman"/>
          <w:color w:val="0E101A"/>
          <w:kern w:val="0"/>
          <w:sz w:val="24"/>
          <w:szCs w:val="24"/>
          <w:lang w:eastAsia="en-US" w:bidi="ar-SA"/>
        </w:rPr>
        <w:t xml:space="preserve">better </w:t>
      </w:r>
      <w:r w:rsidR="00213B44">
        <w:rPr>
          <w:rFonts w:ascii="Times New Roman" w:eastAsia="Times New Roman" w:hAnsi="Times New Roman" w:cs="Times New Roman"/>
          <w:color w:val="0E101A"/>
          <w:kern w:val="0"/>
          <w:sz w:val="24"/>
          <w:szCs w:val="24"/>
          <w:lang w:eastAsia="en-US" w:bidi="ar-SA"/>
        </w:rPr>
        <w:t>estimate</w:t>
      </w:r>
      <w:r w:rsidR="00593FA7" w:rsidRPr="00B937EC">
        <w:rPr>
          <w:rFonts w:ascii="Times New Roman" w:eastAsia="Times New Roman" w:hAnsi="Times New Roman" w:cs="Times New Roman"/>
          <w:color w:val="0E101A"/>
          <w:kern w:val="0"/>
          <w:sz w:val="24"/>
          <w:szCs w:val="24"/>
          <w:lang w:eastAsia="en-US" w:bidi="ar-SA"/>
        </w:rPr>
        <w:t xml:space="preserve"> the value of wetlands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 xml:space="preserve">land-use planning and wetland conservation policy </w:t>
      </w:r>
      <w:commentRangeStart w:id="5"/>
      <w:commentRangeStart w:id="6"/>
      <w:r w:rsidR="00C070EC" w:rsidRPr="00C070EC">
        <w:rPr>
          <w:rFonts w:ascii="Times New Roman" w:eastAsia="Times New Roman" w:hAnsi="Times New Roman" w:cs="Times New Roman"/>
          <w:color w:val="0E101A"/>
          <w:kern w:val="0"/>
          <w:sz w:val="24"/>
          <w:szCs w:val="24"/>
          <w:lang w:eastAsia="en-US" w:bidi="ar-SA"/>
        </w:rPr>
        <w:t>development</w:t>
      </w:r>
      <w:commentRangeEnd w:id="5"/>
      <w:r w:rsidR="000110E8" w:rsidRPr="0079545F">
        <w:rPr>
          <w:rFonts w:ascii="Times New Roman" w:eastAsia="Times New Roman" w:hAnsi="Times New Roman" w:cs="Times New Roman"/>
          <w:color w:val="0E101A"/>
          <w:kern w:val="0"/>
          <w:sz w:val="24"/>
          <w:szCs w:val="24"/>
          <w:lang w:eastAsia="en-US" w:bidi="ar-SA"/>
        </w:rPr>
        <w:commentReference w:id="5"/>
      </w:r>
      <w:commentRangeEnd w:id="6"/>
      <w:r w:rsidR="00A41B50">
        <w:rPr>
          <w:rStyle w:val="CommentReference"/>
        </w:rPr>
        <w:commentReference w:id="6"/>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24F5F189" w14:textId="1C1E488D" w:rsidR="00745756"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64679">
        <w:t xml:space="preserve">previous </w:t>
      </w:r>
      <w:r>
        <w:t xml:space="preserve">work </w:t>
      </w:r>
      <w:r w:rsidR="00164679">
        <w:t>(</w:t>
      </w:r>
      <w:r>
        <w:t xml:space="preserve">Brander et al. 2013) by estimating a </w:t>
      </w:r>
      <w:r w:rsidR="003C620A">
        <w:t xml:space="preserve">wetland regulating ecosystem service </w:t>
      </w:r>
      <w:r>
        <w:t xml:space="preserve">meta-regression model that extends the </w:t>
      </w:r>
      <w:r w:rsidR="003C620A">
        <w:t xml:space="preserve">regulating </w:t>
      </w:r>
      <w:r>
        <w:t>services of wetlands beyond water quality</w:t>
      </w:r>
      <w:r w:rsidR="000300E7">
        <w:t>, water supply, and nutrient recycling</w:t>
      </w:r>
      <w:r>
        <w:t xml:space="preserve">, as well as </w:t>
      </w:r>
      <w:r w:rsidR="00164679">
        <w:t xml:space="preserve">by deriving </w:t>
      </w:r>
      <w:r>
        <w:t xml:space="preserve">a </w:t>
      </w:r>
      <w:r>
        <w:lastRenderedPageBreak/>
        <w:t>provision</w:t>
      </w:r>
      <w:r w:rsidR="003C620A">
        <w:t>ing</w:t>
      </w:r>
      <w:r>
        <w:t xml:space="preserve"> meta-regression model. </w:t>
      </w:r>
      <w:r w:rsidR="000300E7">
        <w:rPr>
          <w:color w:val="0E101A"/>
        </w:rPr>
        <w:t xml:space="preserve">We </w:t>
      </w:r>
      <w:r w:rsidR="003C620A">
        <w:rPr>
          <w:color w:val="0E101A"/>
        </w:rPr>
        <w:t xml:space="preserve">find </w:t>
      </w:r>
      <w:r w:rsidR="000300E7">
        <w:rPr>
          <w:color w:val="0E101A"/>
        </w:rPr>
        <w:t>that the prediction errors from our models</w:t>
      </w:r>
      <w:r w:rsidR="003C620A">
        <w:rPr>
          <w:color w:val="0E101A"/>
        </w:rPr>
        <w:t>,</w:t>
      </w:r>
      <w:r w:rsidR="000300E7">
        <w:rPr>
          <w:color w:val="0E101A"/>
        </w:rPr>
        <w:t xml:space="preserve"> compared to those from </w:t>
      </w:r>
      <w:r w:rsidR="00A41B50">
        <w:rPr>
          <w:color w:val="0E101A"/>
        </w:rPr>
        <w:t xml:space="preserve">mean </w:t>
      </w:r>
      <w:r w:rsidR="000300E7">
        <w:rPr>
          <w:color w:val="0E101A"/>
        </w:rPr>
        <w:t>value</w:t>
      </w:r>
      <w:r w:rsidR="00A41B50">
        <w:rPr>
          <w:color w:val="0E101A"/>
        </w:rPr>
        <w:t xml:space="preserve"> unit </w:t>
      </w:r>
      <w:r w:rsidR="000300E7">
        <w:rPr>
          <w:color w:val="0E101A"/>
        </w:rPr>
        <w:t>transfers</w:t>
      </w:r>
      <w:r w:rsidR="003C620A">
        <w:rPr>
          <w:color w:val="0E101A"/>
        </w:rPr>
        <w:t>,</w:t>
      </w:r>
      <w:r w:rsidR="000300E7">
        <w:rPr>
          <w:color w:val="0E101A"/>
        </w:rPr>
        <w:t xml:space="preserve"> were lower than similar estimates reported in the literature</w:t>
      </w:r>
      <w:r w:rsidR="00D812E1">
        <w:rPr>
          <w:color w:val="0E101A"/>
        </w:rPr>
        <w:t>. T</w:t>
      </w:r>
      <w:commentRangeStart w:id="7"/>
      <w:commentRangeStart w:id="8"/>
      <w:commentRangeStart w:id="9"/>
      <w:r w:rsidR="000300E7">
        <w:rPr>
          <w:color w:val="0E101A"/>
        </w:rPr>
        <w:t xml:space="preserve">his </w:t>
      </w:r>
      <w:r w:rsidR="003C620A">
        <w:rPr>
          <w:color w:val="0E101A"/>
        </w:rPr>
        <w:t xml:space="preserve">suggests </w:t>
      </w:r>
      <w:r w:rsidR="000300E7">
        <w:rPr>
          <w:color w:val="0E101A"/>
        </w:rPr>
        <w:t>our study</w:t>
      </w:r>
      <w:r w:rsidR="003C620A">
        <w:rPr>
          <w:color w:val="0E101A"/>
        </w:rPr>
        <w:t xml:space="preserve"> results</w:t>
      </w:r>
      <w:r w:rsidR="000300E7">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sidR="000300E7">
        <w:rPr>
          <w:color w:val="0E101A"/>
        </w:rPr>
        <w:t xml:space="preserve"> </w:t>
      </w:r>
      <w:r w:rsidR="00DF36B5">
        <w:rPr>
          <w:color w:val="0E101A"/>
        </w:rPr>
        <w:t xml:space="preserve">and representative </w:t>
      </w:r>
      <w:r w:rsidR="000300E7">
        <w:rPr>
          <w:color w:val="0E101A"/>
        </w:rPr>
        <w:t>wetland</w:t>
      </w:r>
      <w:r w:rsidR="003C620A">
        <w:rPr>
          <w:color w:val="0E101A"/>
        </w:rPr>
        <w:t xml:space="preserve"> values</w:t>
      </w:r>
      <w:r w:rsidR="000300E7">
        <w:rPr>
          <w:color w:val="0E101A"/>
        </w:rPr>
        <w:t xml:space="preserve"> using a benefit transfer approach</w:t>
      </w:r>
      <w:r w:rsidR="00692BE9">
        <w:rPr>
          <w:color w:val="0E101A"/>
        </w:rPr>
        <w:t xml:space="preserve"> than a mean value transfer method, especially in the absence of original valuation studies</w:t>
      </w:r>
      <w:commentRangeEnd w:id="7"/>
      <w:r w:rsidR="00C35343">
        <w:rPr>
          <w:rStyle w:val="CommentReference"/>
          <w:rFonts w:ascii="Liberation Serif" w:eastAsia="SimSun" w:hAnsi="Liberation Serif" w:cs="Mangal"/>
          <w:kern w:val="3"/>
          <w:lang w:eastAsia="zh-CN" w:bidi="hi-IN"/>
        </w:rPr>
        <w:commentReference w:id="7"/>
      </w:r>
      <w:commentRangeEnd w:id="8"/>
      <w:r w:rsidR="00A41B50">
        <w:rPr>
          <w:rStyle w:val="CommentReference"/>
          <w:rFonts w:ascii="Liberation Serif" w:eastAsia="SimSun" w:hAnsi="Liberation Serif" w:cs="Mangal"/>
          <w:kern w:val="3"/>
          <w:lang w:eastAsia="zh-CN" w:bidi="hi-IN"/>
        </w:rPr>
        <w:commentReference w:id="8"/>
      </w:r>
      <w:commentRangeEnd w:id="9"/>
      <w:r w:rsidR="00D812E1">
        <w:rPr>
          <w:rStyle w:val="CommentReference"/>
          <w:rFonts w:ascii="Liberation Serif" w:eastAsia="SimSun" w:hAnsi="Liberation Serif" w:cs="Mangal"/>
          <w:kern w:val="3"/>
          <w:lang w:eastAsia="zh-CN" w:bidi="hi-IN"/>
        </w:rPr>
        <w:commentReference w:id="9"/>
      </w:r>
      <w:r w:rsidR="00692BE9">
        <w:rPr>
          <w:color w:val="0E101A"/>
        </w:rPr>
        <w:t>.</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from our models can be used to help tailor existing wetland ecosystem service valuation results to better represent the specific characteristics of the study area. </w:t>
      </w:r>
      <w:r w:rsidR="000300E7">
        <w:rPr>
          <w:color w:val="0E101A"/>
        </w:rPr>
        <w:t xml:space="preserve">The ability to reliably estimate wetland values on agricultural landscapes could </w:t>
      </w:r>
      <w:r w:rsidR="00164679">
        <w:rPr>
          <w:color w:val="0E101A"/>
        </w:rPr>
        <w:t xml:space="preserve">guide </w:t>
      </w:r>
      <w:r w:rsidR="000300E7">
        <w:rPr>
          <w:color w:val="0E101A"/>
        </w:rPr>
        <w:t>the implementation</w:t>
      </w:r>
      <w:r w:rsidR="00164679">
        <w:rPr>
          <w:color w:val="0E101A"/>
        </w:rPr>
        <w:t xml:space="preserve"> or modification</w:t>
      </w:r>
      <w:r w:rsidR="000300E7">
        <w:rPr>
          <w:color w:val="0E101A"/>
        </w:rPr>
        <w:t xml:space="preserve"> of policies to conserve wetlands on agricultural landscapes globally.</w:t>
      </w:r>
    </w:p>
    <w:p w14:paraId="3D0752D5" w14:textId="1058CF09" w:rsidR="00745756" w:rsidRDefault="000300E7" w:rsidP="00E56D3A">
      <w:pPr>
        <w:pStyle w:val="NormalWeb"/>
        <w:spacing w:before="0" w:beforeAutospacing="0" w:after="0" w:afterAutospacing="0" w:line="480" w:lineRule="auto"/>
        <w:ind w:firstLine="720"/>
        <w:rPr>
          <w:color w:val="0E101A"/>
        </w:rPr>
      </w:pPr>
      <w:r>
        <w:rPr>
          <w:color w:val="0E101A"/>
        </w:rPr>
        <w:t xml:space="preserve">We identified important variables which could help in the effective implementation of a benefit transfer procedure to value wetlands. </w:t>
      </w:r>
      <w:r w:rsidR="00745756">
        <w:rPr>
          <w:color w:val="0E101A"/>
        </w:rPr>
        <w:t xml:space="preserve">The important variables are agricultural total factor productivity, the income level of the country and the wetland area under study for the </w:t>
      </w:r>
      <w:r w:rsidR="00F04A2A">
        <w:rPr>
          <w:color w:val="0E101A"/>
        </w:rPr>
        <w:t xml:space="preserve">regulating </w:t>
      </w:r>
      <w:r w:rsidR="00745756">
        <w:rPr>
          <w:color w:val="0E101A"/>
        </w:rPr>
        <w:t>model</w:t>
      </w:r>
      <w:r>
        <w:rPr>
          <w:color w:val="0E101A"/>
        </w:rPr>
        <w:t>;</w:t>
      </w:r>
      <w:r w:rsidR="00745756">
        <w:rPr>
          <w:color w:val="0E101A"/>
        </w:rPr>
        <w:t xml:space="preserve"> income level of the country, peer-reviewed journal articles, agricultural total factor productivity, latitude, and population density for the provision</w:t>
      </w:r>
      <w:r w:rsidR="00F04A2A">
        <w:rPr>
          <w:color w:val="0E101A"/>
        </w:rPr>
        <w:t>ing</w:t>
      </w:r>
      <w:r w:rsidR="00745756">
        <w:rPr>
          <w:color w:val="0E101A"/>
        </w:rPr>
        <w:t xml:space="preserve"> model. Also</w:t>
      </w:r>
      <w:r w:rsidR="00F04A2A">
        <w:rPr>
          <w:color w:val="0E101A"/>
        </w:rPr>
        <w:t>, the analysis highlights those variables that may be</w:t>
      </w:r>
      <w:r w:rsidR="00745756">
        <w:rPr>
          <w:color w:val="0E101A"/>
        </w:rPr>
        <w:t xml:space="preserve"> less important </w:t>
      </w:r>
      <w:r w:rsidR="00F04A2A">
        <w:rPr>
          <w:color w:val="0E101A"/>
        </w:rPr>
        <w:t>in determining ecosystem service values including</w:t>
      </w:r>
      <w:r w:rsidR="00745756">
        <w:rPr>
          <w:color w:val="0E101A"/>
        </w:rPr>
        <w:t xml:space="preserve"> population density, economic valuation method, no net loss wetland policy, amphibian </w:t>
      </w:r>
      <w:r w:rsidR="00164679">
        <w:rPr>
          <w:color w:val="0E101A"/>
        </w:rPr>
        <w:t xml:space="preserve">species </w:t>
      </w:r>
      <w:r w:rsidR="00745756">
        <w:rPr>
          <w:color w:val="0E101A"/>
        </w:rPr>
        <w:t xml:space="preserve">richness, and longitude for the </w:t>
      </w:r>
      <w:r w:rsidR="00F04A2A">
        <w:rPr>
          <w:color w:val="0E101A"/>
        </w:rPr>
        <w:t xml:space="preserve">regulating </w:t>
      </w:r>
      <w:r w:rsidR="00745756">
        <w:rPr>
          <w:color w:val="0E101A"/>
        </w:rPr>
        <w:t xml:space="preserve">model, and no net loss wetland policy, latitude, longitude, amphibian and bird </w:t>
      </w:r>
      <w:r w:rsidR="00164679">
        <w:rPr>
          <w:color w:val="0E101A"/>
        </w:rPr>
        <w:t xml:space="preserve">species </w:t>
      </w:r>
      <w:r w:rsidR="00745756">
        <w:rPr>
          <w:color w:val="0E101A"/>
        </w:rPr>
        <w:t>richness, and wetland area for the provision</w:t>
      </w:r>
      <w:r w:rsidR="00F04A2A">
        <w:rPr>
          <w:color w:val="0E101A"/>
        </w:rPr>
        <w:t>ing</w:t>
      </w:r>
      <w:r w:rsidR="00745756">
        <w:rPr>
          <w:color w:val="0E101A"/>
        </w:rPr>
        <w:t xml:space="preserve"> model</w:t>
      </w:r>
      <w:r w:rsidR="004B7517">
        <w:rPr>
          <w:color w:val="0E101A"/>
        </w:rPr>
        <w:t>; there were not enough information in the data to effectively capture those effects</w:t>
      </w:r>
      <w:r w:rsidR="00745756">
        <w:rPr>
          <w:color w:val="0E101A"/>
        </w:rPr>
        <w:t>.</w:t>
      </w:r>
      <w:r w:rsidR="004B7517">
        <w:rPr>
          <w:color w:val="0E101A"/>
        </w:rPr>
        <w:t xml:space="preserve"> </w:t>
      </w:r>
    </w:p>
    <w:p w14:paraId="2F6D7379" w14:textId="5EFA5154" w:rsidR="000B0232" w:rsidRDefault="00F82188" w:rsidP="0062799E">
      <w:pPr>
        <w:pStyle w:val="NormalWeb"/>
        <w:spacing w:before="0" w:beforeAutospacing="0" w:after="0" w:afterAutospacing="0" w:line="480" w:lineRule="auto"/>
        <w:ind w:firstLine="720"/>
        <w:rPr>
          <w:color w:val="0E101A"/>
        </w:rPr>
      </w:pPr>
      <w:r>
        <w:rPr>
          <w:color w:val="0E101A"/>
        </w:rPr>
        <w:t xml:space="preserve">The insights provided by the models developed in this research will help inform wetland ecosystem service valuation exercises and therefore assist in the development of appropriate wetland conservation policy, the studies used where overwhelmingly based on study areas located in developed countries. While this is useful in developed country agricultural landscapes </w:t>
      </w:r>
      <w:r>
        <w:rPr>
          <w:color w:val="0E101A"/>
        </w:rPr>
        <w:lastRenderedPageBreak/>
        <w:t xml:space="preserve">where there are significant pressures to convert wetlands to the production of agricultural commodities, the literature provides less information to develop appropriate models enabling benefit transfer in developing country context. </w:t>
      </w:r>
      <w:r w:rsidR="004B7517">
        <w:rPr>
          <w:color w:val="0E101A"/>
        </w:rPr>
        <w:t>Future studies are encouraged to conduct more wetland ecosystem service valuations in developing countries.</w:t>
      </w:r>
    </w:p>
    <w:p w14:paraId="440EE5AC" w14:textId="77777777" w:rsidR="004B7517" w:rsidRDefault="004B7517"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&amp;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 and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0C4C171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Population of the World, Version 4 (GPWv4): Population Density, Revision 10. Palisades, NY: NASA Socioeconomic Data and Applications Center (SEDAC). </w:t>
      </w:r>
      <w:hyperlink r:id="rId20" w:history="1">
        <w:r w:rsidR="00585F81" w:rsidRPr="00232FD1">
          <w:t>https://doi.org/10.7927/H4DZ068D</w:t>
        </w:r>
      </w:hyperlink>
      <w:r w:rsidR="00585F81" w:rsidRPr="00232FD1">
        <w:t>. Accessed November 14th</w:t>
      </w:r>
      <w:proofErr w:type="gramStart"/>
      <w:r w:rsidR="00585F81" w:rsidRPr="00232FD1">
        <w:t xml:space="preserve"> 2018</w:t>
      </w:r>
      <w:proofErr w:type="gramEnd"/>
      <w:r w:rsidR="00585F81" w:rsidRPr="00232FD1">
        <w:t>.</w:t>
      </w:r>
    </w:p>
    <w:p w14:paraId="2E303EC9" w14:textId="07E78D99"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1BC5469"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proofErr w:type="gramStart"/>
      <w:r w:rsidR="00585F81" w:rsidRPr="00232FD1">
        <w:t>IC</w:t>
      </w:r>
      <w:proofErr w:type="gramEnd"/>
      <w:r w:rsidR="00585F81" w:rsidRPr="00232FD1">
        <w:t xml:space="preserve">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 xml:space="preserve">D, Bray </w:t>
      </w:r>
      <w:proofErr w:type="gramStart"/>
      <w:r w:rsidRPr="00232FD1">
        <w:t>S.</w:t>
      </w:r>
      <w:proofErr w:type="gramEnd"/>
      <w:r w:rsidRPr="00232FD1">
        <w:t xml:space="preserve"> and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 xml:space="preserve">Duffy WG and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566C6BA4"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proofErr w:type="gramStart"/>
      <w:r w:rsidRPr="00232FD1">
        <w:t>W</w:t>
      </w:r>
      <w:proofErr w:type="gramEnd"/>
      <w:r w:rsidRPr="00232FD1">
        <w:t xml:space="preserve"> and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 xml:space="preserve">Y, Wei </w:t>
      </w:r>
      <w:proofErr w:type="gramStart"/>
      <w:r w:rsidRPr="00232FD1">
        <w:t>X.</w:t>
      </w:r>
      <w:proofErr w:type="gramEnd"/>
      <w:r w:rsidRPr="00232FD1">
        <w:t xml:space="preserve">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21"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22"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23"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 xml:space="preserve">M. &amp;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proofErr w:type="spellStart"/>
      <w:r w:rsidRPr="00232FD1">
        <w:lastRenderedPageBreak/>
        <w:t>Morreale</w:t>
      </w:r>
      <w:proofErr w:type="spellEnd"/>
      <w:r w:rsidRPr="00232FD1">
        <w:t xml:space="preserv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362D6A0C" w:rsidR="00585F81" w:rsidRPr="00232FD1" w:rsidRDefault="00585F81" w:rsidP="00585F81">
      <w:pPr>
        <w:spacing w:line="480" w:lineRule="auto"/>
        <w:ind w:left="720"/>
      </w:pPr>
      <w:r w:rsidRPr="00AA5CEF">
        <w:t xml:space="preserve">Hector A, Orme CDL, Petchey OL and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075A5A">
        <w:t xml:space="preserve"> </w:t>
      </w:r>
      <w:r w:rsidRPr="00232FD1">
        <w:t xml:space="preserve">and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proofErr w:type="gramStart"/>
      <w:r w:rsidRPr="00CC6D25">
        <w:t>MD</w:t>
      </w:r>
      <w:proofErr w:type="gramEnd"/>
      <w:r w:rsidRPr="00CC6D25">
        <w:t xml:space="preserve">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proofErr w:type="gramStart"/>
      <w:r w:rsidRPr="00232FD1">
        <w:t>S.</w:t>
      </w:r>
      <w:proofErr w:type="gramEnd"/>
      <w:r w:rsidRPr="00232FD1">
        <w:t xml:space="preserve"> and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proofErr w:type="gramStart"/>
      <w:r w:rsidRPr="004B29ED">
        <w:t>a meta-</w:t>
      </w:r>
      <w:proofErr w:type="gramEnd"/>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proofErr w:type="gramStart"/>
      <w:r w:rsidRPr="00232FD1">
        <w:t>J.</w:t>
      </w:r>
      <w:proofErr w:type="gramEnd"/>
      <w:r w:rsidRPr="00232FD1">
        <w:t xml:space="preserve">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cher, Kenneth" w:date="2021-08-30T13:26:00Z" w:initials="BK">
    <w:p w14:paraId="315225C5" w14:textId="5440CC9B" w:rsidR="004758BE" w:rsidRDefault="004758BE">
      <w:pPr>
        <w:pStyle w:val="CommentText"/>
        <w:rPr>
          <w:rFonts w:hint="eastAsia"/>
        </w:rPr>
      </w:pPr>
      <w:r>
        <w:rPr>
          <w:rStyle w:val="CommentReference"/>
          <w:rFonts w:hint="eastAsia"/>
        </w:rPr>
        <w:annotationRef/>
      </w:r>
      <w:r>
        <w:rPr>
          <w:rFonts w:hint="eastAsia"/>
        </w:rPr>
        <w:t>W</w:t>
      </w:r>
      <w:r>
        <w:t>hat were the other 48%</w:t>
      </w:r>
    </w:p>
  </w:comment>
  <w:comment w:id="1" w:author="Clark,Bob [Sas]" w:date="2021-08-30T09:36:00Z" w:initials="C(">
    <w:p w14:paraId="036ECA3A" w14:textId="646E6896" w:rsidR="004758BE" w:rsidRDefault="004758BE">
      <w:pPr>
        <w:pStyle w:val="CommentText"/>
        <w:rPr>
          <w:rFonts w:hint="eastAsia"/>
        </w:rPr>
      </w:pPr>
      <w:r>
        <w:rPr>
          <w:rStyle w:val="CommentReference"/>
          <w:rFonts w:hint="eastAsia"/>
        </w:rPr>
        <w:annotationRef/>
      </w:r>
      <w:r>
        <w:rPr>
          <w:rFonts w:hint="eastAsia"/>
        </w:rPr>
        <w:t>D</w:t>
      </w:r>
      <w:r>
        <w:t>ark and light blue can’t be easily distinguished on my computer – provide more contrast?</w:t>
      </w:r>
    </w:p>
  </w:comment>
  <w:comment w:id="2" w:author="Belcher, Kenneth" w:date="2021-08-30T13:40:00Z" w:initials="BK">
    <w:p w14:paraId="15DEAE84" w14:textId="24C83B5A" w:rsidR="00102EDF" w:rsidRDefault="00102EDF">
      <w:pPr>
        <w:pStyle w:val="CommentText"/>
        <w:rPr>
          <w:rFonts w:hint="eastAsia"/>
        </w:rPr>
      </w:pPr>
      <w:r>
        <w:rPr>
          <w:rStyle w:val="CommentReference"/>
          <w:rFonts w:hint="eastAsia"/>
        </w:rPr>
        <w:annotationRef/>
      </w:r>
      <w:r>
        <w:t xml:space="preserve">Unless the figure absolutely needs </w:t>
      </w:r>
      <w:proofErr w:type="spellStart"/>
      <w:r>
        <w:t>colour</w:t>
      </w:r>
      <w:proofErr w:type="spellEnd"/>
      <w:r>
        <w:t xml:space="preserve"> I would suggest using grayscale to decrease costs of publishing.</w:t>
      </w:r>
    </w:p>
  </w:comment>
  <w:comment w:id="5" w:author="Clark,Bob [Sas]" w:date="2021-08-30T10:11:00Z" w:initials="C(">
    <w:p w14:paraId="5BA22A99" w14:textId="69EC542C" w:rsidR="004758BE" w:rsidRDefault="004758BE">
      <w:pPr>
        <w:pStyle w:val="CommentText"/>
        <w:rPr>
          <w:rFonts w:hint="eastAsia"/>
        </w:rPr>
      </w:pPr>
      <w:r>
        <w:rPr>
          <w:rStyle w:val="CommentReference"/>
          <w:rFonts w:hint="eastAsia"/>
        </w:rPr>
        <w:annotationRef/>
      </w:r>
      <w:r>
        <w:rPr>
          <w:rFonts w:hint="eastAsia"/>
        </w:rPr>
        <w:t>P</w:t>
      </w:r>
      <w:r>
        <w:t xml:space="preserve">erhaps this is just a “terminology” issue, but could you write out in straight-forward terms why the approach used here produces new or improved ways of assigning values to wetlands? </w:t>
      </w:r>
      <w:r>
        <w:rPr>
          <w:rFonts w:hint="eastAsia"/>
        </w:rPr>
        <w:t>R</w:t>
      </w:r>
      <w:r>
        <w:t xml:space="preserve">ather than use mean transfer values (errors) vs benefit transfer values, can you write out a “for example, sentence that compares the two approaches?   This way, any reader will understand the implications of one method over another.  </w:t>
      </w:r>
      <w:r>
        <w:rPr>
          <w:rFonts w:hint="eastAsia"/>
        </w:rPr>
        <w:t>A</w:t>
      </w:r>
      <w:r>
        <w:t xml:space="preserve">lso, I think this is a key point, so it’s important to ensure that everyone understands it.   </w:t>
      </w:r>
      <w:r>
        <w:rPr>
          <w:rFonts w:hint="eastAsia"/>
        </w:rPr>
        <w:t>S</w:t>
      </w:r>
      <w:r>
        <w:t xml:space="preserve"> written – I didn’t quite see the direct connection.  Maybe I missed it, so will be interested in comments from Chrystal and Ken.  If you do add something, maybe the conclusion section is a better place to articulate the key point… e.g., around line 478…</w:t>
      </w:r>
    </w:p>
  </w:comment>
  <w:comment w:id="6" w:author="Asare, Eric" w:date="2021-09-09T04:13:00Z" w:initials="AE">
    <w:p w14:paraId="17CD14B4" w14:textId="1C48B07C" w:rsidR="00A41B50" w:rsidRDefault="00A41B50">
      <w:pPr>
        <w:pStyle w:val="CommentText"/>
        <w:rPr>
          <w:rFonts w:hint="eastAsia"/>
        </w:rPr>
      </w:pPr>
      <w:r>
        <w:rPr>
          <w:rStyle w:val="CommentReference"/>
          <w:rFonts w:hint="eastAsia"/>
        </w:rPr>
        <w:annotationRef/>
      </w:r>
      <w:r>
        <w:t>I have written in lines 451-455 to briefly explain the difference between meta-regression transfer error and the mean value transfer error to set the tone for the paragraph.</w:t>
      </w:r>
    </w:p>
  </w:comment>
  <w:comment w:id="7" w:author="Belcher, Kenneth" w:date="2021-08-30T14:54:00Z" w:initials="BK">
    <w:p w14:paraId="1168C95A" w14:textId="77777777" w:rsidR="00C35343" w:rsidRDefault="00C35343">
      <w:pPr>
        <w:pStyle w:val="CommentText"/>
        <w:rPr>
          <w:rFonts w:hint="eastAsia"/>
        </w:rPr>
      </w:pPr>
      <w:r>
        <w:rPr>
          <w:rStyle w:val="CommentReference"/>
          <w:rFonts w:hint="eastAsia"/>
        </w:rPr>
        <w:annotationRef/>
      </w:r>
      <w:r>
        <w:t>In response to Bob’s comment above I think this is getting to the point. However, I agree that it is still a little confusing. Perhaps worded this way:</w:t>
      </w:r>
    </w:p>
    <w:p w14:paraId="33E62EBE" w14:textId="77777777" w:rsidR="00C35343" w:rsidRDefault="00C35343">
      <w:pPr>
        <w:pStyle w:val="CommentText"/>
        <w:rPr>
          <w:rFonts w:hint="eastAsia"/>
        </w:rPr>
      </w:pPr>
      <w:r>
        <w:t>Traditionally benefit transfer approaches simply used mean values from relatively comparable wetland study sites to represent values for the target site. Our study applies a meta-regression model to weight (</w:t>
      </w:r>
      <w:r w:rsidRPr="00C35343">
        <w:rPr>
          <w:i/>
        </w:rPr>
        <w:t>may be the wrong word</w:t>
      </w:r>
      <w:r>
        <w:rPr>
          <w:i/>
        </w:rPr>
        <w:t xml:space="preserve"> – perhaps tailor</w:t>
      </w:r>
      <w:r>
        <w:t xml:space="preserve">) those values from comparable wetland study sites to more effectively develop values that represent the biophysical, </w:t>
      </w:r>
      <w:proofErr w:type="gramStart"/>
      <w:r>
        <w:t>social</w:t>
      </w:r>
      <w:proofErr w:type="gramEnd"/>
      <w:r>
        <w:t xml:space="preserve"> and economic context of the wetlands.</w:t>
      </w:r>
    </w:p>
    <w:p w14:paraId="6322CA3F" w14:textId="77777777" w:rsidR="00C35343" w:rsidRDefault="00C35343">
      <w:pPr>
        <w:pStyle w:val="CommentText"/>
        <w:rPr>
          <w:rFonts w:hint="eastAsia"/>
        </w:rPr>
      </w:pPr>
    </w:p>
    <w:p w14:paraId="16E69164" w14:textId="2922B4AE" w:rsidR="00C35343" w:rsidRDefault="00C35343">
      <w:pPr>
        <w:pStyle w:val="CommentText"/>
        <w:rPr>
          <w:rFonts w:hint="eastAsia"/>
        </w:rPr>
      </w:pPr>
      <w:r>
        <w:t>Does this work Eric? Is this wrong?</w:t>
      </w:r>
    </w:p>
  </w:comment>
  <w:comment w:id="8" w:author="Asare, Eric" w:date="2021-09-09T04:17:00Z" w:initials="AE">
    <w:p w14:paraId="4B7C47A2" w14:textId="7ACE618B" w:rsidR="00A41B50" w:rsidRDefault="00A41B50">
      <w:pPr>
        <w:pStyle w:val="CommentText"/>
        <w:rPr>
          <w:rFonts w:hint="eastAsia"/>
        </w:rPr>
      </w:pPr>
      <w:r>
        <w:rPr>
          <w:rStyle w:val="CommentReference"/>
          <w:rFonts w:hint="eastAsia"/>
        </w:rPr>
        <w:annotationRef/>
      </w:r>
      <w:proofErr w:type="gramStart"/>
      <w:r w:rsidR="00D812E1">
        <w:t>Yes</w:t>
      </w:r>
      <w:proofErr w:type="gramEnd"/>
      <w:r w:rsidR="00D812E1">
        <w:t xml:space="preserve"> it does K</w:t>
      </w:r>
      <w:r w:rsidR="00D812E1">
        <w:rPr>
          <w:rFonts w:hint="eastAsia"/>
        </w:rPr>
        <w:t>e</w:t>
      </w:r>
      <w:r w:rsidR="00D812E1">
        <w:t>n. I have put the sentences in lines 451-455 to explain the two approaches and to set the tone of the paragraph.</w:t>
      </w:r>
    </w:p>
  </w:comment>
  <w:comment w:id="9" w:author="Asare, Eric" w:date="2021-09-09T04:19:00Z" w:initials="AE">
    <w:p w14:paraId="3C3E13E7" w14:textId="348E5578" w:rsidR="00D812E1" w:rsidRDefault="00D812E1">
      <w:pPr>
        <w:pStyle w:val="CommentText"/>
        <w:rPr>
          <w:rFonts w:hint="eastAsia"/>
        </w:rPr>
      </w:pPr>
      <w:r>
        <w:rPr>
          <w:rStyle w:val="CommentReference"/>
          <w:rFonts w:hint="eastAsi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225C5" w15:done="1"/>
  <w15:commentEx w15:paraId="036ECA3A" w15:done="1"/>
  <w15:commentEx w15:paraId="15DEAE84" w15:paraIdParent="036ECA3A" w15:done="1"/>
  <w15:commentEx w15:paraId="5BA22A99" w15:done="1"/>
  <w15:commentEx w15:paraId="17CD14B4" w15:paraIdParent="5BA22A99" w15:done="1"/>
  <w15:commentEx w15:paraId="16E69164" w15:done="1"/>
  <w15:commentEx w15:paraId="4B7C47A2" w15:paraIdParent="16E69164" w15:done="1"/>
  <w15:commentEx w15:paraId="3C3E13E7" w15:paraIdParent="16E691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086F" w16cex:dateUtc="2021-09-09T08:13:00Z"/>
  <w16cex:commentExtensible w16cex:durableId="24E40958" w16cex:dateUtc="2021-09-09T08:17:00Z"/>
  <w16cex:commentExtensible w16cex:durableId="24E409C4" w16cex:dateUtc="2021-09-0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225C5" w16cid:durableId="24E31503"/>
  <w16cid:commentId w16cid:paraId="036ECA3A" w16cid:durableId="24E31504"/>
  <w16cid:commentId w16cid:paraId="15DEAE84" w16cid:durableId="24E31505"/>
  <w16cid:commentId w16cid:paraId="5BA22A99" w16cid:durableId="24E3150B"/>
  <w16cid:commentId w16cid:paraId="17CD14B4" w16cid:durableId="24E4086F"/>
  <w16cid:commentId w16cid:paraId="16E69164" w16cid:durableId="24E3150C"/>
  <w16cid:commentId w16cid:paraId="4B7C47A2" w16cid:durableId="24E40958"/>
  <w16cid:commentId w16cid:paraId="3C3E13E7" w16cid:durableId="24E40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D772" w14:textId="77777777" w:rsidR="00586B63" w:rsidRDefault="00586B63">
      <w:r>
        <w:separator/>
      </w:r>
    </w:p>
  </w:endnote>
  <w:endnote w:type="continuationSeparator" w:id="0">
    <w:p w14:paraId="38AC4B35" w14:textId="77777777" w:rsidR="00586B63" w:rsidRDefault="0058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B1C6" w14:textId="77777777" w:rsidR="004758BE" w:rsidRDefault="00475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55F920EF" w:rsidR="004758BE" w:rsidRDefault="004758BE">
        <w:pPr>
          <w:pStyle w:val="Footer"/>
          <w:jc w:val="center"/>
        </w:pPr>
        <w:r>
          <w:fldChar w:fldCharType="begin"/>
        </w:r>
        <w:r>
          <w:instrText xml:space="preserve"> PAGE   \* MERGEFORMAT </w:instrText>
        </w:r>
        <w:r>
          <w:fldChar w:fldCharType="separate"/>
        </w:r>
        <w:r w:rsidR="00C35343">
          <w:rPr>
            <w:noProof/>
          </w:rPr>
          <w:t>1</w:t>
        </w:r>
        <w:r>
          <w:rPr>
            <w:noProof/>
          </w:rPr>
          <w:fldChar w:fldCharType="end"/>
        </w:r>
      </w:p>
    </w:sdtContent>
  </w:sdt>
  <w:p w14:paraId="0570C85E" w14:textId="77777777" w:rsidR="004758BE" w:rsidRDefault="00475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FE76" w14:textId="77777777" w:rsidR="004758BE" w:rsidRDefault="0047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E9A4" w14:textId="77777777" w:rsidR="00586B63" w:rsidRDefault="00586B63">
      <w:r>
        <w:separator/>
      </w:r>
    </w:p>
  </w:footnote>
  <w:footnote w:type="continuationSeparator" w:id="0">
    <w:p w14:paraId="763C946F" w14:textId="77777777" w:rsidR="00586B63" w:rsidRDefault="00586B63">
      <w:r>
        <w:continuationSeparator/>
      </w:r>
    </w:p>
  </w:footnote>
  <w:footnote w:id="1">
    <w:p w14:paraId="251F2BBD" w14:textId="7F8A332D" w:rsidR="004758BE" w:rsidRPr="00765158" w:rsidRDefault="004758BE" w:rsidP="00765158">
      <w:pPr>
        <w:rPr>
          <w:sz w:val="18"/>
          <w:szCs w:val="18"/>
        </w:rPr>
      </w:pPr>
      <w:r>
        <w:rPr>
          <w:rStyle w:val="FootnoteReference"/>
        </w:rPr>
        <w:footnoteRef/>
      </w:r>
      <w:r w:rsidRPr="00765158">
        <w:rPr>
          <w:sz w:val="18"/>
          <w:szCs w:val="18"/>
        </w:rPr>
        <w:t>D</w:t>
      </w:r>
      <w:r w:rsidR="004D5F31">
        <w:rPr>
          <w:sz w:val="18"/>
          <w:szCs w:val="18"/>
        </w:rPr>
        <w:t>ark</w:t>
      </w:r>
      <w:r w:rsidRPr="00765158">
        <w:rPr>
          <w:sz w:val="18"/>
          <w:szCs w:val="18"/>
        </w:rPr>
        <w:t xml:space="preserve"> </w:t>
      </w:r>
      <w:r>
        <w:rPr>
          <w:sz w:val="18"/>
          <w:szCs w:val="18"/>
        </w:rPr>
        <w:t xml:space="preserve">and light </w:t>
      </w:r>
      <w:r w:rsidR="004D5F31">
        <w:rPr>
          <w:sz w:val="18"/>
          <w:szCs w:val="18"/>
        </w:rPr>
        <w:t>grey</w:t>
      </w:r>
      <w:r>
        <w:rPr>
          <w:sz w:val="18"/>
          <w:szCs w:val="18"/>
        </w:rPr>
        <w:t xml:space="preserve"> </w:t>
      </w:r>
      <w:r w:rsidRPr="00765158">
        <w:rPr>
          <w:sz w:val="18"/>
          <w:szCs w:val="18"/>
        </w:rPr>
        <w:t xml:space="preserve">triangles show study sites for </w:t>
      </w:r>
      <w:r w:rsidR="004D5F31">
        <w:rPr>
          <w:sz w:val="18"/>
          <w:szCs w:val="18"/>
        </w:rPr>
        <w:t>regulating</w:t>
      </w:r>
      <w:r w:rsidR="004D5F31" w:rsidRPr="00765158">
        <w:rPr>
          <w:sz w:val="18"/>
          <w:szCs w:val="18"/>
        </w:rPr>
        <w:t xml:space="preserve"> </w:t>
      </w:r>
      <w:r w:rsidR="004D5F31">
        <w:rPr>
          <w:sz w:val="18"/>
          <w:szCs w:val="18"/>
        </w:rPr>
        <w:t xml:space="preserve">and </w:t>
      </w:r>
      <w:r w:rsidRPr="00765158">
        <w:rPr>
          <w:sz w:val="18"/>
          <w:szCs w:val="18"/>
        </w:rPr>
        <w:t>provisioning</w:t>
      </w:r>
      <w:r w:rsidR="004D5F31">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4758BE" w:rsidRDefault="004758BE">
      <w:pPr>
        <w:pStyle w:val="FootnoteText"/>
      </w:pPr>
    </w:p>
  </w:footnote>
  <w:footnote w:id="2">
    <w:p w14:paraId="19246408" w14:textId="46195B04" w:rsidR="004758BE" w:rsidRDefault="004758BE">
      <w:pPr>
        <w:pStyle w:val="FootnoteText"/>
      </w:pPr>
      <w:r>
        <w:rPr>
          <w:rStyle w:val="FootnoteReference"/>
        </w:rPr>
        <w:footnoteRef/>
      </w:r>
      <w:r>
        <w:t xml:space="preserve"> More information on the variable</w:t>
      </w:r>
      <w:r w:rsidR="00850DB2">
        <w:t>s and their scale</w:t>
      </w:r>
      <w:r>
        <w:t xml:space="preserve"> in Table 2 is provided in Table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923A" w14:textId="77777777" w:rsidR="004758BE" w:rsidRDefault="00475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B58" w14:textId="77777777" w:rsidR="004758BE" w:rsidRDefault="00475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4D44" w14:textId="77777777" w:rsidR="004758BE" w:rsidRDefault="00475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cher, Kenneth">
    <w15:presenceInfo w15:providerId="AD" w15:userId="S-1-5-21-1060284298-436374069-1708537768-2386"/>
  </w15:person>
  <w15:person w15:author="Clark,Bob [Sas]">
    <w15:presenceInfo w15:providerId="AD" w15:userId="S-1-5-21-5706737-1149331681-726236141-1723"/>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65A"/>
    <w:rsid w:val="00530ECF"/>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6305"/>
    <w:rsid w:val="00C16CEF"/>
    <w:rsid w:val="00C17CF2"/>
    <w:rsid w:val="00C17D75"/>
    <w:rsid w:val="00C2095B"/>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3065E"/>
    <w:rsid w:val="00D31662"/>
    <w:rsid w:val="00D31C7B"/>
    <w:rsid w:val="00D31D07"/>
    <w:rsid w:val="00D32093"/>
    <w:rsid w:val="00D3377A"/>
    <w:rsid w:val="00D375A4"/>
    <w:rsid w:val="00D37B6B"/>
    <w:rsid w:val="00D37CC2"/>
    <w:rsid w:val="00D37F72"/>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816"/>
    <w:rsid w:val="00F03335"/>
    <w:rsid w:val="00F04425"/>
    <w:rsid w:val="00F048CB"/>
    <w:rsid w:val="00F04A2A"/>
    <w:rsid w:val="00F04ADB"/>
    <w:rsid w:val="00F04EB2"/>
    <w:rsid w:val="00F07662"/>
    <w:rsid w:val="00F1003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4ABF"/>
    <w:rsid w:val="00F94C8B"/>
    <w:rsid w:val="00F94E1A"/>
    <w:rsid w:val="00F9566E"/>
    <w:rsid w:val="00F965B6"/>
    <w:rsid w:val="00FA1723"/>
    <w:rsid w:val="00FA18C8"/>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F15"/>
    <w:rsid w:val="00FC7E1C"/>
    <w:rsid w:val="00FD166B"/>
    <w:rsid w:val="00FD1C57"/>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link.springer.com/article/10.1007/s10640-021-00536-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7927/H4N014G5.%20Accessed%20November%2028th%202018" TargetMode="Externa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90BA-6265-4614-9F25-B801C0E5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38</Pages>
  <Words>8979</Words>
  <Characters>51183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3</cp:revision>
  <cp:lastPrinted>2019-01-14T15:38:00Z</cp:lastPrinted>
  <dcterms:created xsi:type="dcterms:W3CDTF">2021-09-09T13:27:00Z</dcterms:created>
  <dcterms:modified xsi:type="dcterms:W3CDTF">2021-09-09T13:28:00Z</dcterms:modified>
</cp:coreProperties>
</file>