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2DBABD58"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commentRangeStart w:id="0"/>
      <w:r w:rsidR="00AA1683">
        <w:t xml:space="preserve">lower </w:t>
      </w:r>
      <w:r>
        <w:t xml:space="preserve">cost of wetland drainage with </w:t>
      </w:r>
      <w:r w:rsidR="00921D8B">
        <w:t xml:space="preserve">tools </w:t>
      </w:r>
      <w:r>
        <w:t xml:space="preserve">such as </w:t>
      </w:r>
      <w:r w:rsidR="00507B34">
        <w:t>water jetting technology, construction of ditches and other engineering tools</w:t>
      </w:r>
      <w:commentRangeEnd w:id="0"/>
      <w:r w:rsidR="006170E4">
        <w:rPr>
          <w:rStyle w:val="CommentReference"/>
          <w:rFonts w:ascii="Liberation Serif" w:eastAsia="SimSun" w:hAnsi="Liberation Serif" w:cs="Mangal"/>
          <w:kern w:val="3"/>
          <w:lang w:eastAsia="zh-CN" w:bidi="hi-IN"/>
        </w:rPr>
        <w:commentReference w:id="0"/>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xml:space="preserve">, and </w:t>
      </w:r>
      <w:r w:rsidR="000A66B0">
        <w:lastRenderedPageBreak/>
        <w:t>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lastRenderedPageBreak/>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r w:rsidR="007A7373" w:rsidRPr="00DC493A">
        <w:rPr>
          <w:rFonts w:ascii="Times New Roman" w:eastAsia="Times New Roman" w:hAnsi="Times New Roman" w:cs="Times New Roman"/>
          <w:color w:val="0E101A"/>
          <w:kern w:val="0"/>
          <w:sz w:val="24"/>
          <w:szCs w:val="24"/>
          <w:lang w:eastAsia="en-US" w:bidi="ar-SA"/>
        </w:rPr>
        <w:annotationRef/>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r w:rsidR="00DE37D3" w:rsidRPr="00DC493A">
        <w:rPr>
          <w:rFonts w:ascii="Times New Roman" w:eastAsia="Times New Roman" w:hAnsi="Times New Roman" w:cs="Times New Roman"/>
          <w:color w:val="0E101A"/>
          <w:kern w:val="0"/>
          <w:sz w:val="24"/>
          <w:szCs w:val="24"/>
          <w:lang w:eastAsia="en-US" w:bidi="ar-SA"/>
        </w:rPr>
        <w:t>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the method used to value ecosystem </w:t>
      </w:r>
      <w:r w:rsidR="00FB662C" w:rsidRPr="003B1DDE">
        <w:rPr>
          <w:rFonts w:ascii="Times New Roman" w:eastAsia="Times New Roman" w:hAnsi="Times New Roman" w:cs="Times New Roman"/>
          <w:color w:val="0E101A"/>
          <w:kern w:val="0"/>
          <w:sz w:val="24"/>
          <w:szCs w:val="24"/>
          <w:lang w:eastAsia="en-US" w:bidi="ar-SA"/>
        </w:rPr>
        <w:lastRenderedPageBreak/>
        <w:t>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estimated in kg N/ha of wetland, and the monetary value was estimated by averaging the values </w:t>
      </w:r>
      <w:r>
        <w:rPr>
          <w:color w:val="0E101A"/>
        </w:rPr>
        <w:lastRenderedPageBreak/>
        <w:t>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093AC530" w:rsidR="00A43157" w:rsidRDefault="00A43157" w:rsidP="00CC4C62">
      <w:pPr>
        <w:rPr>
          <w:b/>
        </w:rPr>
      </w:pPr>
      <w:r>
        <w:rPr>
          <w:b/>
        </w:rPr>
        <w:lastRenderedPageBreak/>
        <w:t>Figure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lang w:val="en-CA" w:eastAsia="en-CA"/>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230FB4"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230FB4"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230FB4"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230FB4"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1"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1"/>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 xml:space="preserve">country </w:t>
      </w:r>
      <w:commentRangeStart w:id="2"/>
      <w:commentRangeStart w:id="3"/>
      <w:r>
        <w:rPr>
          <w:color w:val="0E101A"/>
        </w:rPr>
        <w:t>has this policy</w:t>
      </w:r>
      <w:r w:rsidR="00102EDF">
        <w:rPr>
          <w:color w:val="0E101A"/>
        </w:rPr>
        <w:t xml:space="preserve"> </w:t>
      </w:r>
      <w:commentRangeEnd w:id="2"/>
      <w:r w:rsidR="00153828">
        <w:rPr>
          <w:rStyle w:val="CommentReference"/>
          <w:rFonts w:ascii="Liberation Serif" w:eastAsia="SimSun" w:hAnsi="Liberation Serif" w:cs="Mangal"/>
          <w:kern w:val="3"/>
          <w:lang w:eastAsia="zh-CN" w:bidi="hi-IN"/>
        </w:rPr>
        <w:commentReference w:id="2"/>
      </w:r>
      <w:commentRangeEnd w:id="3"/>
      <w:r w:rsidR="00507B34">
        <w:rPr>
          <w:rStyle w:val="CommentReference"/>
          <w:rFonts w:ascii="Liberation Serif" w:eastAsia="SimSun" w:hAnsi="Liberation Serif" w:cs="Mangal"/>
          <w:kern w:val="3"/>
          <w:lang w:eastAsia="zh-CN" w:bidi="hi-IN"/>
        </w:rPr>
        <w:commentReference w:id="3"/>
      </w:r>
      <w:r w:rsidR="00102EDF">
        <w:rPr>
          <w:color w:val="0E101A"/>
        </w:rPr>
        <w:t>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commentRangeStart w:id="4"/>
            <w:commentRangeStart w:id="5"/>
            <w:r w:rsidRPr="00765158">
              <w:rPr>
                <w:sz w:val="20"/>
                <w:szCs w:val="20"/>
              </w:rPr>
              <w:t>Wetland</w:t>
            </w:r>
            <w:commentRangeEnd w:id="4"/>
            <w:commentRangeEnd w:id="5"/>
            <w:r w:rsidR="00507B34">
              <w:rPr>
                <w:sz w:val="20"/>
                <w:szCs w:val="20"/>
              </w:rPr>
              <w:t xml:space="preserve"> Area</w:t>
            </w:r>
            <w:r w:rsidR="00F02005">
              <w:rPr>
                <w:rStyle w:val="CommentReference"/>
                <w:rFonts w:ascii="Liberation Serif" w:eastAsia="SimSun" w:hAnsi="Liberation Serif" w:cs="Mangal"/>
                <w:kern w:val="3"/>
                <w:lang w:eastAsia="zh-CN" w:bidi="hi-IN"/>
              </w:rPr>
              <w:commentReference w:id="4"/>
            </w:r>
            <w:r w:rsidR="00507B34">
              <w:rPr>
                <w:rStyle w:val="CommentReference"/>
                <w:rFonts w:ascii="Liberation Serif" w:eastAsia="SimSun" w:hAnsi="Liberation Serif" w:cs="Mangal"/>
                <w:kern w:val="3"/>
                <w:lang w:eastAsia="zh-CN" w:bidi="hi-IN"/>
              </w:rPr>
              <w:commentReference w:id="5"/>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77777777" w:rsidR="00765158" w:rsidRPr="00AC11AC" w:rsidRDefault="00765158" w:rsidP="008C2D6F">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285B72B9"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commentRangeStart w:id="6"/>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6417CB" w:rsidRPr="003D7C67">
        <w:rPr>
          <w:vertAlign w:val="superscript"/>
        </w:rPr>
        <w:t>2</w:t>
      </w:r>
      <w:r w:rsidR="006417CB" w:rsidRPr="003D7C67">
        <w:t xml:space="preserve"> </w:t>
      </w:r>
      <w:commentRangeEnd w:id="6"/>
      <w:r w:rsidR="00486BAB">
        <w:rPr>
          <w:rStyle w:val="CommentReference"/>
          <w:rFonts w:ascii="Liberation Serif" w:eastAsia="SimSun" w:hAnsi="Liberation Serif" w:cs="Mangal"/>
          <w:kern w:val="3"/>
          <w:lang w:eastAsia="zh-CN" w:bidi="hi-IN"/>
        </w:rPr>
        <w:commentReference w:id="6"/>
      </w:r>
      <w:r w:rsidR="00B036C8"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7"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commentRangeStart w:id="8"/>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commentRangeEnd w:id="8"/>
            <w:r w:rsidR="00486BAB">
              <w:rPr>
                <w:rStyle w:val="CommentReference"/>
                <w:rFonts w:ascii="Liberation Serif" w:eastAsia="SimSun" w:hAnsi="Liberation Serif" w:cs="Mangal"/>
                <w:kern w:val="3"/>
                <w:lang w:eastAsia="zh-CN" w:bidi="hi-IN"/>
              </w:rPr>
              <w:commentReference w:id="8"/>
            </w:r>
            <w:r w:rsidRPr="00FA42B6">
              <w:rPr>
                <w:sz w:val="20"/>
                <w:szCs w:val="20"/>
              </w:rPr>
              <w:t>.</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7"/>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commentRangeStart w:id="9"/>
            <w:commentRangeStart w:id="10"/>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commentRangeEnd w:id="9"/>
            <w:r w:rsidR="007B727F" w:rsidRPr="00507B34">
              <w:rPr>
                <w:sz w:val="20"/>
                <w:szCs w:val="20"/>
              </w:rPr>
              <w:commentReference w:id="9"/>
            </w:r>
            <w:commentRangeEnd w:id="10"/>
            <w:r w:rsidR="00507B34">
              <w:rPr>
                <w:rStyle w:val="CommentReference"/>
                <w:rFonts w:ascii="Liberation Serif" w:eastAsia="SimSun" w:hAnsi="Liberation Serif" w:cs="Mangal"/>
                <w:kern w:val="3"/>
                <w:lang w:eastAsia="zh-CN" w:bidi="hi-IN"/>
              </w:rPr>
              <w:commentReference w:id="10"/>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19DDFCD"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507B34">
      <w:pPr>
        <w:spacing w:before="240"/>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commentRangeStart w:id="11"/>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commentRangeEnd w:id="11"/>
            <w:r w:rsidR="00CC45AB">
              <w:rPr>
                <w:rStyle w:val="CommentReference"/>
                <w:rFonts w:ascii="Liberation Serif" w:eastAsia="SimSun" w:hAnsi="Liberation Serif" w:cs="Mangal"/>
                <w:kern w:val="3"/>
                <w:lang w:eastAsia="zh-CN" w:bidi="hi-IN"/>
              </w:rPr>
              <w:commentReference w:id="11"/>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commentRangeStart w:id="12"/>
      <w:r w:rsidR="00D4661E">
        <w:rPr>
          <w:color w:val="0E101A"/>
        </w:rPr>
        <w:t xml:space="preserve"> </w:t>
      </w:r>
      <w:commentRangeEnd w:id="12"/>
      <w:r w:rsidR="009A5340">
        <w:rPr>
          <w:rStyle w:val="CommentReference"/>
          <w:rFonts w:ascii="Liberation Serif" w:eastAsia="SimSun" w:hAnsi="Liberation Serif" w:cs="Mangal"/>
          <w:kern w:val="3"/>
          <w:lang w:eastAsia="zh-CN" w:bidi="hi-IN"/>
        </w:rPr>
        <w:commentReference w:id="12"/>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commentRangeStart w:id="13"/>
      <w:commentRangeStart w:id="14"/>
      <w:commentRangeEnd w:id="13"/>
      <w:r>
        <w:rPr>
          <w:rStyle w:val="CommentReference"/>
          <w:rFonts w:ascii="Liberation Serif" w:eastAsia="SimSun" w:hAnsi="Liberation Serif" w:cs="Mangal"/>
          <w:kern w:val="3"/>
          <w:lang w:eastAsia="zh-CN" w:bidi="hi-IN"/>
        </w:rPr>
        <w:commentReference w:id="13"/>
      </w:r>
      <w:commentRangeEnd w:id="14"/>
      <w:r w:rsidR="00C21590">
        <w:rPr>
          <w:rStyle w:val="CommentReference"/>
          <w:rFonts w:ascii="Liberation Serif" w:eastAsia="SimSun" w:hAnsi="Liberation Serif" w:cs="Mangal"/>
          <w:kern w:val="3"/>
          <w:lang w:eastAsia="zh-CN" w:bidi="hi-IN"/>
        </w:rPr>
        <w:commentReference w:id="14"/>
      </w: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commentRangeStart w:id="15"/>
      <w:r w:rsidR="00614E79">
        <w:rPr>
          <w:color w:val="0E101A"/>
        </w:rPr>
        <w:t xml:space="preserve"> </w:t>
      </w:r>
      <w:commentRangeEnd w:id="15"/>
      <w:r>
        <w:rPr>
          <w:rStyle w:val="CommentReference"/>
          <w:rFonts w:ascii="Liberation Serif" w:eastAsia="SimSun" w:hAnsi="Liberation Serif" w:cs="Mangal"/>
          <w:kern w:val="3"/>
          <w:lang w:eastAsia="zh-CN" w:bidi="hi-IN"/>
        </w:rPr>
        <w:commentReference w:id="15"/>
      </w:r>
      <w:r w:rsidR="00614E79">
        <w:rPr>
          <w:color w:val="0E101A"/>
        </w:rPr>
        <w:t xml:space="preserve">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commentRangeStart w:id="16"/>
      <w:commentRangeStart w:id="17"/>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commentRangeEnd w:id="16"/>
      <w:r>
        <w:rPr>
          <w:rStyle w:val="CommentReference"/>
          <w:rFonts w:ascii="Liberation Serif" w:eastAsia="SimSun" w:hAnsi="Liberation Serif" w:cs="Mangal"/>
          <w:kern w:val="3"/>
          <w:lang w:eastAsia="zh-CN" w:bidi="hi-IN"/>
        </w:rPr>
        <w:commentReference w:id="16"/>
      </w:r>
      <w:commentRangeEnd w:id="17"/>
      <w:r w:rsidR="00983F75">
        <w:rPr>
          <w:rStyle w:val="CommentReference"/>
          <w:rFonts w:ascii="Liberation Serif" w:eastAsia="SimSun" w:hAnsi="Liberation Serif" w:cs="Mangal"/>
          <w:kern w:val="3"/>
          <w:lang w:eastAsia="zh-CN" w:bidi="hi-IN"/>
        </w:rPr>
        <w:commentReference w:id="17"/>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9"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commentRangeStart w:id="18"/>
      <w:commentRangeStart w:id="19"/>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commentRangeEnd w:id="18"/>
      <w:r w:rsidR="00531D07">
        <w:rPr>
          <w:rStyle w:val="CommentReference"/>
        </w:rPr>
        <w:commentReference w:id="18"/>
      </w:r>
      <w:commentRangeEnd w:id="19"/>
      <w:r w:rsidR="00983F75">
        <w:rPr>
          <w:rStyle w:val="CommentReference"/>
        </w:rPr>
        <w:commentReference w:id="19"/>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w:t>
      </w:r>
      <w:r w:rsidR="004F309C">
        <w:t xml:space="preserve">, </w:t>
      </w:r>
      <w:r w:rsidR="004F309C">
        <w:t>climate regulation</w:t>
      </w:r>
      <w:r w:rsidR="004F309C">
        <w:t xml:space="preserve">, </w:t>
      </w:r>
      <w:r w:rsidR="004F309C">
        <w:t>erosion control</w:t>
      </w:r>
      <w:r w:rsidR="004F309C">
        <w:t xml:space="preserve">, </w:t>
      </w:r>
      <w:r w:rsidR="004F309C">
        <w:t>waste treatment</w:t>
      </w:r>
      <w:r w:rsidR="004F309C">
        <w:t xml:space="preserve"> and </w:t>
      </w:r>
      <w:r w:rsidR="004F309C">
        <w:t>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45866222" w:rsidR="00745756" w:rsidRDefault="000300E7" w:rsidP="00E56D3A">
      <w:pPr>
        <w:pStyle w:val="NormalWeb"/>
        <w:spacing w:before="0" w:beforeAutospacing="0" w:after="0" w:afterAutospacing="0" w:line="480" w:lineRule="auto"/>
        <w:ind w:firstLine="720"/>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than 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an option. This would enable planners to implement better wetland conservation policies and anyone who wishes to weigh up the pros and cons of wetland conversion to agricultural lands versus the protection </w:t>
      </w:r>
      <w:r w:rsidR="008174AB">
        <w:rPr>
          <w:color w:val="0E101A"/>
        </w:rPr>
        <w:t xml:space="preserve">or restoration </w:t>
      </w:r>
      <w:r w:rsidR="00EB5784">
        <w:rPr>
          <w:color w:val="0E101A"/>
        </w:rPr>
        <w:t>of wetlands for other uses.</w:t>
      </w:r>
      <w:r w:rsidR="008174AB">
        <w:rPr>
          <w:color w:val="0E101A"/>
        </w:rPr>
        <w:t xml:space="preserve"> </w:t>
      </w:r>
      <w:commentRangeStart w:id="20"/>
      <w:r w:rsidR="008174AB">
        <w:rPr>
          <w:color w:val="0E101A"/>
        </w:rPr>
        <w:t xml:space="preserve">Wetland managers generally consider regional </w:t>
      </w:r>
      <w:r w:rsidR="004F309C">
        <w:rPr>
          <w:color w:val="0E101A"/>
        </w:rPr>
        <w:t>context,</w:t>
      </w:r>
      <w:r w:rsidR="008174AB">
        <w:rPr>
          <w:color w:val="0E101A"/>
        </w:rPr>
        <w:t xml:space="preserve"> and we would recommend using the</w:t>
      </w:r>
      <w:r w:rsidR="004F309C">
        <w:rPr>
          <w:color w:val="0E101A"/>
        </w:rPr>
        <w:t xml:space="preserve"> estimated meta-regression value functions to estimate local wetland values by selecting the levels of key independent variables in the functions that are appropriate to their local environments</w:t>
      </w:r>
      <w:commentRangeEnd w:id="20"/>
      <w:r w:rsidR="008174AB">
        <w:rPr>
          <w:rStyle w:val="CommentReference"/>
          <w:rFonts w:ascii="Liberation Serif" w:eastAsia="SimSun" w:hAnsi="Liberation Serif" w:cs="Mangal"/>
          <w:kern w:val="3"/>
          <w:lang w:eastAsia="zh-CN" w:bidi="hi-IN"/>
        </w:rPr>
        <w:commentReference w:id="20"/>
      </w:r>
      <w:r>
        <w:rPr>
          <w:color w:val="0E101A"/>
        </w:rPr>
        <w:t>.</w:t>
      </w:r>
    </w:p>
    <w:p w14:paraId="3D0752D5" w14:textId="4B632574" w:rsidR="00745756" w:rsidRDefault="006E6801" w:rsidP="00E56D3A">
      <w:pPr>
        <w:pStyle w:val="NormalWeb"/>
        <w:spacing w:before="0" w:beforeAutospacing="0" w:after="0" w:afterAutospacing="0" w:line="480" w:lineRule="auto"/>
        <w:ind w:firstLine="720"/>
        <w:rPr>
          <w:color w:val="0E101A"/>
        </w:rPr>
      </w:pPr>
      <w:r>
        <w:rPr>
          <w:color w:val="0E101A"/>
        </w:rPr>
        <w:t>The key</w:t>
      </w:r>
      <w:r w:rsidR="000300E7">
        <w:rPr>
          <w:color w:val="0E101A"/>
        </w:rPr>
        <w:t xml:space="preserve"> variables which could help in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commentRangeStart w:id="21"/>
      <w:commentRangeEnd w:id="21"/>
      <w:r w:rsidR="00C15990">
        <w:rPr>
          <w:rStyle w:val="CommentReference"/>
          <w:rFonts w:ascii="Liberation Serif" w:eastAsia="SimSun" w:hAnsi="Liberation Serif" w:cs="Mangal"/>
          <w:kern w:val="3"/>
          <w:lang w:eastAsia="zh-CN" w:bidi="hi-IN"/>
        </w:rPr>
        <w:commentReference w:id="21"/>
      </w:r>
      <w:commentRangeStart w:id="22"/>
      <w:commentRangeStart w:id="23"/>
      <w:commentRangeEnd w:id="22"/>
      <w:r w:rsidR="00C15990">
        <w:rPr>
          <w:rStyle w:val="CommentReference"/>
          <w:rFonts w:ascii="Liberation Serif" w:eastAsia="SimSun" w:hAnsi="Liberation Serif" w:cs="Mangal"/>
          <w:kern w:val="3"/>
          <w:lang w:eastAsia="zh-CN" w:bidi="hi-IN"/>
        </w:rPr>
        <w:commentReference w:id="22"/>
      </w:r>
      <w:commentRangeEnd w:id="23"/>
      <w:r>
        <w:rPr>
          <w:rStyle w:val="CommentReference"/>
          <w:rFonts w:ascii="Liberation Serif" w:eastAsia="SimSun" w:hAnsi="Liberation Serif" w:cs="Mangal"/>
          <w:kern w:val="3"/>
          <w:lang w:eastAsia="zh-CN" w:bidi="hi-IN"/>
        </w:rPr>
        <w:commentReference w:id="23"/>
      </w:r>
    </w:p>
    <w:p w14:paraId="440EE5AC" w14:textId="4DAF9F5F" w:rsidR="004B7517" w:rsidRDefault="00C15990" w:rsidP="0062799E">
      <w:pPr>
        <w:pStyle w:val="NormalWeb"/>
        <w:spacing w:before="0" w:beforeAutospacing="0" w:after="0" w:afterAutospacing="0" w:line="480" w:lineRule="auto"/>
        <w:ind w:firstLine="720"/>
        <w:rPr>
          <w:color w:val="0E101A"/>
        </w:rPr>
      </w:pPr>
      <w:commentRangeStart w:id="24"/>
      <w:commentRangeEnd w:id="24"/>
      <w:r>
        <w:rPr>
          <w:rStyle w:val="CommentReference"/>
          <w:rFonts w:ascii="Liberation Serif" w:eastAsia="SimSun" w:hAnsi="Liberation Serif" w:cs="Mangal"/>
          <w:kern w:val="3"/>
          <w:lang w:eastAsia="zh-CN" w:bidi="hi-IN"/>
        </w:rPr>
        <w:lastRenderedPageBreak/>
        <w:commentReference w:id="24"/>
      </w:r>
    </w:p>
    <w:p w14:paraId="6581D6E0" w14:textId="5DEA2280" w:rsidR="006E6801" w:rsidRDefault="006E6801" w:rsidP="0062799E">
      <w:pPr>
        <w:pStyle w:val="NormalWeb"/>
        <w:spacing w:before="0" w:beforeAutospacing="0" w:after="0" w:afterAutospacing="0" w:line="480" w:lineRule="auto"/>
        <w:ind w:firstLine="720"/>
        <w:rPr>
          <w:color w:val="0E101A"/>
        </w:rPr>
      </w:pPr>
    </w:p>
    <w:p w14:paraId="7A3A71B2" w14:textId="6AA530CB" w:rsidR="006E6801" w:rsidRDefault="006E6801" w:rsidP="0062799E">
      <w:pPr>
        <w:pStyle w:val="NormalWeb"/>
        <w:spacing w:before="0" w:beforeAutospacing="0" w:after="0" w:afterAutospacing="0" w:line="480" w:lineRule="auto"/>
        <w:ind w:firstLine="720"/>
        <w:rPr>
          <w:color w:val="0E101A"/>
        </w:rPr>
      </w:pPr>
    </w:p>
    <w:p w14:paraId="5E4DDD72" w14:textId="77777777" w:rsidR="006E6801" w:rsidRDefault="006E6801"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&amp;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 and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0C4C171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Population of the World, Version 4 (GPWv4): Population Density, Revision 10. Palisades, NY: NASA Socioeconomic Data and Applications Center (SEDAC). </w:t>
      </w:r>
      <w:hyperlink r:id="rId20" w:history="1">
        <w:r w:rsidR="00585F81" w:rsidRPr="00232FD1">
          <w:t>https://doi.org/10.7927/H4DZ068D</w:t>
        </w:r>
      </w:hyperlink>
      <w:r w:rsidR="00585F81" w:rsidRPr="00232FD1">
        <w:t>. Accessed November 14th 2018.</w:t>
      </w:r>
    </w:p>
    <w:p w14:paraId="2E303EC9" w14:textId="07E78D99"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1BC5469"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 xml:space="preserve">D, Bray S. and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 xml:space="preserve">Duffy WG and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566C6BA4"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 xml:space="preserve">W and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21"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22"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23"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 xml:space="preserve">M. &amp;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proofErr w:type="spellStart"/>
      <w:r w:rsidRPr="00232FD1">
        <w:lastRenderedPageBreak/>
        <w:t>Morreale</w:t>
      </w:r>
      <w:proofErr w:type="spellEnd"/>
      <w:r w:rsidRPr="00232FD1">
        <w:t xml:space="preserv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362D6A0C" w:rsidR="00585F81" w:rsidRPr="00232FD1" w:rsidRDefault="00585F81" w:rsidP="00585F81">
      <w:pPr>
        <w:spacing w:line="480" w:lineRule="auto"/>
        <w:ind w:left="720"/>
      </w:pPr>
      <w:r w:rsidRPr="00AA5CEF">
        <w:t xml:space="preserve">Hector A, Orme CDL, Petchey OL and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075A5A">
        <w:t xml:space="preserve"> </w:t>
      </w:r>
      <w:r w:rsidRPr="00232FD1">
        <w:t xml:space="preserve">and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r w:rsidRPr="00CC6D25">
        <w:t>MD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and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ystal Mantyka-Pringle" w:date="2021-09-09T15:04:00Z" w:initials="CM">
    <w:p w14:paraId="214E3060" w14:textId="3C759853" w:rsidR="009A5340" w:rsidRDefault="009A5340">
      <w:pPr>
        <w:pStyle w:val="CommentText"/>
        <w:rPr>
          <w:rFonts w:hint="eastAsia"/>
        </w:rPr>
      </w:pPr>
      <w:r>
        <w:rPr>
          <w:rStyle w:val="CommentReference"/>
          <w:rFonts w:hint="eastAsia"/>
        </w:rPr>
        <w:annotationRef/>
      </w:r>
      <w:r>
        <w:t>Isn’t the lower cost of wetland drainage promoted by other equipment such as water jetting technology, construction of ditches and other engineering tools rather than the use of GPS that would be used to navigate around wetlands?</w:t>
      </w:r>
    </w:p>
  </w:comment>
  <w:comment w:id="2" w:author="Chrystal Mantyka-Pringle" w:date="2021-09-09T15:41:00Z" w:initials="CM">
    <w:p w14:paraId="68464CE7" w14:textId="381CECC6" w:rsidR="009A5340" w:rsidRDefault="009A5340">
      <w:pPr>
        <w:pStyle w:val="CommentText"/>
        <w:rPr>
          <w:rFonts w:hint="eastAsia"/>
        </w:rPr>
      </w:pPr>
      <w:r>
        <w:rPr>
          <w:rStyle w:val="CommentReference"/>
          <w:rFonts w:hint="eastAsia"/>
        </w:rPr>
        <w:annotationRef/>
      </w:r>
      <w:r>
        <w:rPr>
          <w:rFonts w:hint="eastAsia"/>
        </w:rPr>
        <w:t>O</w:t>
      </w:r>
      <w:r>
        <w:t>r a similar policy?</w:t>
      </w:r>
    </w:p>
  </w:comment>
  <w:comment w:id="3" w:author="Asare, Eric" w:date="2021-09-13T06:31:00Z" w:initials="AE">
    <w:p w14:paraId="1D30DC30" w14:textId="700550B6" w:rsidR="00507B34" w:rsidRDefault="00507B34">
      <w:pPr>
        <w:pStyle w:val="CommentText"/>
        <w:rPr>
          <w:rFonts w:hint="eastAsia"/>
        </w:rPr>
      </w:pPr>
      <w:r>
        <w:rPr>
          <w:rStyle w:val="CommentReference"/>
          <w:rFonts w:hint="eastAsia"/>
        </w:rPr>
        <w:annotationRef/>
      </w:r>
      <w:r>
        <w:t>Chrystal, the variable is defined for the no net loss wetland policy</w:t>
      </w:r>
    </w:p>
  </w:comment>
  <w:comment w:id="4" w:author="Chrystal Mantyka-Pringle" w:date="2021-09-09T15:45:00Z" w:initials="CM">
    <w:p w14:paraId="6AD53F3E" w14:textId="22B14348" w:rsidR="009A5340" w:rsidRDefault="009A5340">
      <w:pPr>
        <w:pStyle w:val="CommentText"/>
        <w:rPr>
          <w:rFonts w:hint="eastAsia"/>
        </w:rPr>
      </w:pPr>
      <w:r>
        <w:rPr>
          <w:rStyle w:val="CommentReference"/>
          <w:rFonts w:hint="eastAsia"/>
        </w:rPr>
        <w:annotationRef/>
      </w:r>
      <w:r>
        <w:t>It might make more sense to change this to wetland area as its still short and better understood.</w:t>
      </w:r>
    </w:p>
  </w:comment>
  <w:comment w:id="5" w:author="Asare, Eric" w:date="2021-09-13T06:32:00Z" w:initials="AE">
    <w:p w14:paraId="63D77080" w14:textId="1EA82105" w:rsidR="00507B34" w:rsidRDefault="00507B34">
      <w:pPr>
        <w:pStyle w:val="CommentText"/>
        <w:rPr>
          <w:rFonts w:hint="eastAsia"/>
        </w:rPr>
      </w:pPr>
      <w:r>
        <w:rPr>
          <w:rStyle w:val="CommentReference"/>
          <w:rFonts w:hint="eastAsia"/>
        </w:rPr>
        <w:annotationRef/>
      </w:r>
      <w:r>
        <w:t>I agree</w:t>
      </w:r>
    </w:p>
  </w:comment>
  <w:comment w:id="6" w:author="Chrystal Mantyka-Pringle" w:date="2021-09-09T15:48:00Z" w:initials="CM">
    <w:p w14:paraId="0682148A" w14:textId="722D1791" w:rsidR="009A5340" w:rsidRDefault="009A5340">
      <w:pPr>
        <w:pStyle w:val="CommentText"/>
        <w:rPr>
          <w:rFonts w:hint="eastAsia"/>
        </w:rPr>
      </w:pPr>
      <w:r>
        <w:rPr>
          <w:rStyle w:val="CommentReference"/>
          <w:rFonts w:hint="eastAsia"/>
        </w:rPr>
        <w:annotationRef/>
      </w:r>
      <w:r>
        <w:t>I would generally write this as the mean, 755 (SD of 2,223) human population/km2 to cut down on words.</w:t>
      </w:r>
    </w:p>
  </w:comment>
  <w:comment w:id="8" w:author="Chrystal Mantyka-Pringle" w:date="2021-09-09T15:55:00Z" w:initials="CM">
    <w:p w14:paraId="5D2011CB" w14:textId="749E4345" w:rsidR="009A5340" w:rsidRDefault="009A5340">
      <w:pPr>
        <w:pStyle w:val="CommentText"/>
        <w:rPr>
          <w:rFonts w:hint="eastAsia"/>
        </w:rPr>
      </w:pPr>
      <w:r>
        <w:rPr>
          <w:rStyle w:val="CommentReference"/>
          <w:rFonts w:hint="eastAsia"/>
        </w:rPr>
        <w:annotationRef/>
      </w:r>
      <w:r>
        <w:t>I would write this out in full to be consistent with the other table.</w:t>
      </w:r>
    </w:p>
  </w:comment>
  <w:comment w:id="9" w:author="Chrystal Mantyka-Pringle" w:date="2021-09-09T16:02:00Z" w:initials="CM">
    <w:p w14:paraId="4C521964" w14:textId="77777777" w:rsidR="009A5340" w:rsidRDefault="009A5340">
      <w:pPr>
        <w:pStyle w:val="CommentText"/>
      </w:pPr>
      <w:r>
        <w:rPr>
          <w:rStyle w:val="CommentReference"/>
          <w:rFonts w:hint="eastAsia"/>
        </w:rPr>
        <w:annotationRef/>
      </w:r>
      <w:r>
        <w:t>Is this supposed to be larger text?</w:t>
      </w:r>
    </w:p>
    <w:p w14:paraId="4F5600BF" w14:textId="60843E2C" w:rsidR="00507B34" w:rsidRDefault="00507B34">
      <w:pPr>
        <w:pStyle w:val="CommentText"/>
        <w:rPr>
          <w:rFonts w:hint="eastAsia"/>
        </w:rPr>
      </w:pPr>
    </w:p>
  </w:comment>
  <w:comment w:id="10" w:author="Asare, Eric" w:date="2021-09-13T06:35:00Z" w:initials="AE">
    <w:p w14:paraId="1AB57444" w14:textId="5E6A7A6C" w:rsidR="00507B34" w:rsidRDefault="00507B34">
      <w:pPr>
        <w:pStyle w:val="CommentText"/>
        <w:rPr>
          <w:rFonts w:hint="eastAsia"/>
        </w:rPr>
      </w:pPr>
      <w:r>
        <w:rPr>
          <w:rStyle w:val="CommentReference"/>
          <w:rFonts w:hint="eastAsia"/>
        </w:rPr>
        <w:annotationRef/>
      </w:r>
      <w:r>
        <w:t>It was not. It has been corrected.</w:t>
      </w:r>
    </w:p>
  </w:comment>
  <w:comment w:id="11" w:author="Chrystal Mantyka-Pringle" w:date="2021-09-09T16:05:00Z" w:initials="CM">
    <w:p w14:paraId="5C6C71F0" w14:textId="3D611AA7" w:rsidR="009A5340" w:rsidRDefault="009A5340">
      <w:pPr>
        <w:pStyle w:val="CommentText"/>
        <w:rPr>
          <w:rFonts w:hint="eastAsia"/>
        </w:rPr>
      </w:pPr>
      <w:r>
        <w:rPr>
          <w:rStyle w:val="CommentReference"/>
          <w:rFonts w:hint="eastAsia"/>
        </w:rPr>
        <w:annotationRef/>
      </w:r>
      <w:r>
        <w:t>Same comment as above regarding consistency in variable names.</w:t>
      </w:r>
    </w:p>
  </w:comment>
  <w:comment w:id="12" w:author="Chrystal Mantyka-Pringle" w:date="2021-09-09T16:11:00Z" w:initials="CM">
    <w:p w14:paraId="2288D2CB" w14:textId="2CD4FD7A" w:rsidR="009A5340" w:rsidRDefault="009A5340">
      <w:pPr>
        <w:pStyle w:val="CommentText"/>
        <w:rPr>
          <w:rFonts w:hint="eastAsia"/>
        </w:rPr>
      </w:pPr>
      <w:r>
        <w:rPr>
          <w:rStyle w:val="CommentReference"/>
          <w:rFonts w:hint="eastAsia"/>
        </w:rPr>
        <w:annotationRef/>
      </w:r>
      <w:r>
        <w:t>I really don’t like this word for common language and especially at the start of the discussion. Maybe “Wetlands are highly valued because they produce services that are useful and beneficial to humans”</w:t>
      </w:r>
    </w:p>
  </w:comment>
  <w:comment w:id="13" w:author="Chrystal Mantyka-Pringle" w:date="2021-09-09T16:11:00Z" w:initials="CM">
    <w:p w14:paraId="6D236041" w14:textId="72A5C965" w:rsidR="009A5340" w:rsidRDefault="009A5340">
      <w:pPr>
        <w:pStyle w:val="CommentText"/>
        <w:rPr>
          <w:rFonts w:hint="eastAsia"/>
        </w:rPr>
      </w:pPr>
      <w:r>
        <w:rPr>
          <w:rStyle w:val="CommentReference"/>
          <w:rFonts w:hint="eastAsia"/>
        </w:rPr>
        <w:annotationRef/>
      </w:r>
      <w:r>
        <w:t>I find that you sometimes overuse these terms (moreover and therefore in the same paragraph).</w:t>
      </w:r>
    </w:p>
  </w:comment>
  <w:comment w:id="14" w:author="Asare, Eric" w:date="2021-09-13T06:38:00Z" w:initials="AE">
    <w:p w14:paraId="4E1414BD" w14:textId="7043A5AF" w:rsidR="00C21590" w:rsidRDefault="00C21590">
      <w:pPr>
        <w:pStyle w:val="CommentText"/>
        <w:rPr>
          <w:rFonts w:hint="eastAsia"/>
        </w:rPr>
      </w:pPr>
      <w:r>
        <w:rPr>
          <w:rStyle w:val="CommentReference"/>
          <w:rFonts w:hint="eastAsia"/>
        </w:rPr>
        <w:annotationRef/>
      </w:r>
      <w:proofErr w:type="gramStart"/>
      <w:r>
        <w:t>Well</w:t>
      </w:r>
      <w:proofErr w:type="gramEnd"/>
      <w:r>
        <w:t xml:space="preserve"> noted.</w:t>
      </w:r>
    </w:p>
  </w:comment>
  <w:comment w:id="15" w:author="Chrystal Mantyka-Pringle" w:date="2021-09-09T16:23:00Z" w:initials="CM">
    <w:p w14:paraId="1AD805B2" w14:textId="35EF368B" w:rsidR="005E1C15" w:rsidRDefault="005E1C15">
      <w:pPr>
        <w:pStyle w:val="CommentText"/>
        <w:rPr>
          <w:rFonts w:hint="eastAsia"/>
        </w:rPr>
      </w:pPr>
      <w:r>
        <w:rPr>
          <w:rStyle w:val="CommentReference"/>
          <w:rFonts w:hint="eastAsia"/>
        </w:rPr>
        <w:annotationRef/>
      </w:r>
      <w:r>
        <w:t>Why meta studies? Don’t you mean just ‘studies’</w:t>
      </w:r>
    </w:p>
  </w:comment>
  <w:comment w:id="16" w:author="Chrystal Mantyka-Pringle" w:date="2021-09-09T16:26:00Z" w:initials="CM">
    <w:p w14:paraId="1E366548" w14:textId="1BC39906" w:rsidR="005E1C15" w:rsidRDefault="005E1C15">
      <w:pPr>
        <w:pStyle w:val="CommentText"/>
        <w:rPr>
          <w:rFonts w:hint="eastAsia"/>
        </w:rPr>
      </w:pPr>
      <w:r>
        <w:rPr>
          <w:rStyle w:val="CommentReference"/>
          <w:rFonts w:hint="eastAsia"/>
        </w:rPr>
        <w:annotationRef/>
      </w:r>
      <w:r>
        <w:t>Should this be discussed more in reference terms?</w:t>
      </w:r>
    </w:p>
  </w:comment>
  <w:comment w:id="17" w:author="Asare, Eric" w:date="2021-09-13T06:46:00Z" w:initials="AE">
    <w:p w14:paraId="62DC3428" w14:textId="5E6B4172" w:rsidR="00983F75" w:rsidRDefault="00983F75">
      <w:pPr>
        <w:pStyle w:val="CommentText"/>
        <w:rPr>
          <w:rFonts w:hint="eastAsia"/>
        </w:rPr>
      </w:pPr>
      <w:r>
        <w:rPr>
          <w:rStyle w:val="CommentReference"/>
          <w:rFonts w:hint="eastAsia"/>
        </w:rPr>
        <w:annotationRef/>
      </w:r>
      <w:r>
        <w:t xml:space="preserve">I did not want to put more weight on it because the variable was significant and to satisfy Bob’s suggestion on same. </w:t>
      </w:r>
    </w:p>
  </w:comment>
  <w:comment w:id="18" w:author="Chrystal Mantyka-Pringle" w:date="2021-09-09T16:31:00Z" w:initials="CM">
    <w:p w14:paraId="0F289895" w14:textId="72883D11" w:rsidR="00531D07" w:rsidRDefault="00531D07">
      <w:pPr>
        <w:pStyle w:val="CommentText"/>
        <w:rPr>
          <w:rFonts w:hint="eastAsia"/>
        </w:rPr>
      </w:pPr>
      <w:r>
        <w:rPr>
          <w:rStyle w:val="CommentReference"/>
          <w:rFonts w:hint="eastAsia"/>
        </w:rPr>
        <w:annotationRef/>
      </w:r>
      <w:r w:rsidR="00190B5C">
        <w:t>There are g</w:t>
      </w:r>
      <w:r>
        <w:t>rammatical errors</w:t>
      </w:r>
      <w:r w:rsidR="00190B5C">
        <w:t xml:space="preserve"> in this section. I tried to fix them, but you should read through this carefully to make sure that I didn’t force any mistakes.</w:t>
      </w:r>
    </w:p>
  </w:comment>
  <w:comment w:id="19" w:author="Asare, Eric" w:date="2021-09-13T06:47:00Z" w:initials="AE">
    <w:p w14:paraId="1A7229A2" w14:textId="2B9C9CEF" w:rsidR="00983F75" w:rsidRDefault="00983F75">
      <w:pPr>
        <w:pStyle w:val="CommentText"/>
        <w:rPr>
          <w:rFonts w:hint="eastAsia"/>
        </w:rPr>
      </w:pPr>
      <w:r>
        <w:rPr>
          <w:rStyle w:val="CommentReference"/>
          <w:rFonts w:hint="eastAsia"/>
        </w:rPr>
        <w:annotationRef/>
      </w:r>
      <w:r>
        <w:t>I have read it again and corrected a few more mistakes.</w:t>
      </w:r>
    </w:p>
  </w:comment>
  <w:comment w:id="20" w:author="Chrystal Mantyka-Pringle" w:date="2021-09-09T21:54:00Z" w:initials="CM">
    <w:p w14:paraId="270FA57B" w14:textId="55D44A72" w:rsidR="008174AB" w:rsidRDefault="008174AB">
      <w:pPr>
        <w:pStyle w:val="CommentText"/>
        <w:rPr>
          <w:rFonts w:hint="eastAsia"/>
        </w:rPr>
      </w:pPr>
      <w:r>
        <w:rPr>
          <w:rStyle w:val="CommentReference"/>
          <w:rFonts w:hint="eastAsia"/>
        </w:rPr>
        <w:annotationRef/>
      </w:r>
      <w:r>
        <w:t>Can you finish off this sentence? How would you recommend a regional wetland manager to pull from the model in order to predict the total value of wetlands in their region of interest?</w:t>
      </w:r>
    </w:p>
  </w:comment>
  <w:comment w:id="21" w:author="Chrystal Mantyka-Pringle" w:date="2021-09-09T21:59:00Z" w:initials="CM">
    <w:p w14:paraId="3C8D5E1D" w14:textId="35DE6D41" w:rsidR="00C15990" w:rsidRDefault="00C15990">
      <w:pPr>
        <w:pStyle w:val="CommentText"/>
        <w:rPr>
          <w:rFonts w:hint="eastAsia"/>
        </w:rPr>
      </w:pPr>
      <w:r>
        <w:rPr>
          <w:rStyle w:val="CommentReference"/>
          <w:rFonts w:hint="eastAsia"/>
        </w:rPr>
        <w:annotationRef/>
      </w:r>
      <w:r>
        <w:t>Please finish this statement.</w:t>
      </w:r>
    </w:p>
  </w:comment>
  <w:comment w:id="22" w:author="Chrystal Mantyka-Pringle" w:date="2021-09-09T21:57:00Z" w:initials="CM">
    <w:p w14:paraId="16F713B2" w14:textId="07FBDF3D" w:rsidR="00C15990" w:rsidRDefault="00C15990">
      <w:pPr>
        <w:pStyle w:val="CommentText"/>
        <w:rPr>
          <w:rFonts w:hint="eastAsia"/>
        </w:rPr>
      </w:pPr>
      <w:r>
        <w:rPr>
          <w:rStyle w:val="CommentReference"/>
          <w:rFonts w:hint="eastAsia"/>
        </w:rPr>
        <w:annotationRef/>
      </w:r>
      <w:r>
        <w:t xml:space="preserve">I would say that this is redundant of what is already stated. No need to repeat. Instead, how would one use those variables in their own regional assessment of wetland values? </w:t>
      </w:r>
    </w:p>
  </w:comment>
  <w:comment w:id="23" w:author="Asare, Eric" w:date="2021-09-13T07:13:00Z" w:initials="AE">
    <w:p w14:paraId="5184030D" w14:textId="10F68746" w:rsidR="006E6801" w:rsidRDefault="006E6801">
      <w:pPr>
        <w:pStyle w:val="CommentText"/>
        <w:rPr>
          <w:rFonts w:hint="eastAsia"/>
        </w:rPr>
      </w:pPr>
      <w:r>
        <w:rPr>
          <w:rStyle w:val="CommentReference"/>
          <w:rFonts w:hint="eastAsia"/>
        </w:rPr>
        <w:annotationRef/>
      </w:r>
      <w:r>
        <w:t xml:space="preserve">I have stated it in lines 491 to 492 in response to your comment above. </w:t>
      </w:r>
    </w:p>
  </w:comment>
  <w:comment w:id="24" w:author="Chrystal Mantyka-Pringle" w:date="2021-09-09T22:00:00Z" w:initials="CM">
    <w:p w14:paraId="7604D0C5" w14:textId="0592AAD3" w:rsidR="00C15990" w:rsidRDefault="00C15990">
      <w:pPr>
        <w:pStyle w:val="CommentText"/>
        <w:rPr>
          <w:rFonts w:hint="eastAsia"/>
        </w:rPr>
      </w:pPr>
      <w:r>
        <w:rPr>
          <w:rStyle w:val="CommentReference"/>
          <w:rFonts w:hint="eastAsia"/>
        </w:rPr>
        <w:annotationRef/>
      </w:r>
      <w:r>
        <w:t>Repetitive of what is already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E3060" w15:done="0"/>
  <w15:commentEx w15:paraId="68464CE7" w15:done="0"/>
  <w15:commentEx w15:paraId="1D30DC30" w15:paraIdParent="68464CE7" w15:done="0"/>
  <w15:commentEx w15:paraId="6AD53F3E" w15:done="0"/>
  <w15:commentEx w15:paraId="63D77080" w15:paraIdParent="6AD53F3E" w15:done="0"/>
  <w15:commentEx w15:paraId="0682148A" w15:done="0"/>
  <w15:commentEx w15:paraId="5D2011CB" w15:done="0"/>
  <w15:commentEx w15:paraId="4F5600BF" w15:done="0"/>
  <w15:commentEx w15:paraId="1AB57444" w15:paraIdParent="4F5600BF" w15:done="0"/>
  <w15:commentEx w15:paraId="5C6C71F0" w15:done="0"/>
  <w15:commentEx w15:paraId="2288D2CB" w15:done="0"/>
  <w15:commentEx w15:paraId="6D236041" w15:done="0"/>
  <w15:commentEx w15:paraId="4E1414BD" w15:paraIdParent="6D236041" w15:done="0"/>
  <w15:commentEx w15:paraId="1AD805B2" w15:done="0"/>
  <w15:commentEx w15:paraId="1E366548" w15:done="0"/>
  <w15:commentEx w15:paraId="62DC3428" w15:paraIdParent="1E366548" w15:done="0"/>
  <w15:commentEx w15:paraId="0F289895" w15:done="0"/>
  <w15:commentEx w15:paraId="1A7229A2" w15:paraIdParent="0F289895" w15:done="0"/>
  <w15:commentEx w15:paraId="270FA57B" w15:done="1"/>
  <w15:commentEx w15:paraId="3C8D5E1D" w15:done="1"/>
  <w15:commentEx w15:paraId="16F713B2" w15:done="1"/>
  <w15:commentEx w15:paraId="5184030D" w15:paraIdParent="16F713B2" w15:done="1"/>
  <w15:commentEx w15:paraId="7604D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6ED5" w16cex:dateUtc="2021-09-13T10:31:00Z"/>
  <w16cex:commentExtensible w16cex:durableId="24E96F1A" w16cex:dateUtc="2021-09-13T10:32:00Z"/>
  <w16cex:commentExtensible w16cex:durableId="24E96FC6" w16cex:dateUtc="2021-09-13T10:35:00Z"/>
  <w16cex:commentExtensible w16cex:durableId="24E97061" w16cex:dateUtc="2021-09-13T10:38:00Z"/>
  <w16cex:commentExtensible w16cex:durableId="24E97247" w16cex:dateUtc="2021-09-13T10:46:00Z"/>
  <w16cex:commentExtensible w16cex:durableId="24E97296" w16cex:dateUtc="2021-09-13T10:47:00Z"/>
  <w16cex:commentExtensible w16cex:durableId="24E97880" w16cex:dateUtc="2021-09-13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E3060" w16cid:durableId="24E96D7E"/>
  <w16cid:commentId w16cid:paraId="68464CE7" w16cid:durableId="24E96D82"/>
  <w16cid:commentId w16cid:paraId="1D30DC30" w16cid:durableId="24E96ED5"/>
  <w16cid:commentId w16cid:paraId="6AD53F3E" w16cid:durableId="24E96D83"/>
  <w16cid:commentId w16cid:paraId="63D77080" w16cid:durableId="24E96F1A"/>
  <w16cid:commentId w16cid:paraId="0682148A" w16cid:durableId="24E96D84"/>
  <w16cid:commentId w16cid:paraId="5D2011CB" w16cid:durableId="24E96D85"/>
  <w16cid:commentId w16cid:paraId="4F5600BF" w16cid:durableId="24E96D86"/>
  <w16cid:commentId w16cid:paraId="1AB57444" w16cid:durableId="24E96FC6"/>
  <w16cid:commentId w16cid:paraId="5C6C71F0" w16cid:durableId="24E96D87"/>
  <w16cid:commentId w16cid:paraId="2288D2CB" w16cid:durableId="24E96D88"/>
  <w16cid:commentId w16cid:paraId="6D236041" w16cid:durableId="24E96D89"/>
  <w16cid:commentId w16cid:paraId="4E1414BD" w16cid:durableId="24E97061"/>
  <w16cid:commentId w16cid:paraId="1AD805B2" w16cid:durableId="24E96D8A"/>
  <w16cid:commentId w16cid:paraId="1E366548" w16cid:durableId="24E96D8B"/>
  <w16cid:commentId w16cid:paraId="62DC3428" w16cid:durableId="24E97247"/>
  <w16cid:commentId w16cid:paraId="0F289895" w16cid:durableId="24E96D8C"/>
  <w16cid:commentId w16cid:paraId="1A7229A2" w16cid:durableId="24E97296"/>
  <w16cid:commentId w16cid:paraId="270FA57B" w16cid:durableId="24E96D92"/>
  <w16cid:commentId w16cid:paraId="3C8D5E1D" w16cid:durableId="24E96D93"/>
  <w16cid:commentId w16cid:paraId="16F713B2" w16cid:durableId="24E96D94"/>
  <w16cid:commentId w16cid:paraId="5184030D" w16cid:durableId="24E97880"/>
  <w16cid:commentId w16cid:paraId="7604D0C5" w16cid:durableId="24E96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E17A" w14:textId="77777777" w:rsidR="00230FB4" w:rsidRDefault="00230FB4">
      <w:r>
        <w:separator/>
      </w:r>
    </w:p>
  </w:endnote>
  <w:endnote w:type="continuationSeparator" w:id="0">
    <w:p w14:paraId="272792F9" w14:textId="77777777" w:rsidR="00230FB4" w:rsidRDefault="0023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B1C6" w14:textId="77777777" w:rsidR="009A5340" w:rsidRDefault="009A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1D8BE1D5" w:rsidR="009A5340" w:rsidRDefault="009A5340">
        <w:pPr>
          <w:pStyle w:val="Footer"/>
          <w:jc w:val="center"/>
        </w:pPr>
        <w:r>
          <w:fldChar w:fldCharType="begin"/>
        </w:r>
        <w:r>
          <w:instrText xml:space="preserve"> PAGE   \* MERGEFORMAT </w:instrText>
        </w:r>
        <w:r>
          <w:fldChar w:fldCharType="separate"/>
        </w:r>
        <w:r w:rsidR="00D4140D">
          <w:rPr>
            <w:noProof/>
          </w:rPr>
          <w:t>38</w:t>
        </w:r>
        <w:r>
          <w:rPr>
            <w:noProof/>
          </w:rPr>
          <w:fldChar w:fldCharType="end"/>
        </w:r>
      </w:p>
    </w:sdtContent>
  </w:sdt>
  <w:p w14:paraId="0570C85E" w14:textId="77777777" w:rsidR="009A5340" w:rsidRDefault="009A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FE76" w14:textId="77777777" w:rsidR="009A5340" w:rsidRDefault="009A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9684" w14:textId="77777777" w:rsidR="00230FB4" w:rsidRDefault="00230FB4">
      <w:r>
        <w:separator/>
      </w:r>
    </w:p>
  </w:footnote>
  <w:footnote w:type="continuationSeparator" w:id="0">
    <w:p w14:paraId="40BAC9EF" w14:textId="77777777" w:rsidR="00230FB4" w:rsidRDefault="00230FB4">
      <w:r>
        <w:continuationSeparator/>
      </w:r>
    </w:p>
  </w:footnote>
  <w:footnote w:id="1">
    <w:p w14:paraId="251F2BBD" w14:textId="7F8A332D" w:rsidR="009A5340" w:rsidRPr="00765158" w:rsidRDefault="009A5340"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9A5340" w:rsidRDefault="009A5340">
      <w:pPr>
        <w:pStyle w:val="FootnoteText"/>
      </w:pPr>
    </w:p>
  </w:footnote>
  <w:footnote w:id="2">
    <w:p w14:paraId="19246408" w14:textId="46195B04" w:rsidR="009A5340" w:rsidRDefault="009A5340">
      <w:pPr>
        <w:pStyle w:val="FootnoteText"/>
      </w:pPr>
      <w:r>
        <w:rPr>
          <w:rStyle w:val="FootnoteReference"/>
        </w:rPr>
        <w:footnoteRef/>
      </w:r>
      <w:r>
        <w:t xml:space="preserve"> More information on the variables and their scale in Table 2 is provided in Table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923A" w14:textId="77777777" w:rsidR="009A5340" w:rsidRDefault="009A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B58" w14:textId="77777777" w:rsidR="009A5340" w:rsidRDefault="009A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4D44" w14:textId="77777777" w:rsidR="009A5340" w:rsidRDefault="009A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ystal Mantyka-Pringle">
    <w15:presenceInfo w15:providerId="Windows Live" w15:userId="fe649d38418d0acf"/>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0FB4"/>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7927/H4N014G5.%20Accessed%20November%2028th%202018" TargetMode="External"/><Relationship Id="rId10" Type="http://schemas.microsoft.com/office/2016/09/relationships/commentsIds" Target="commentsIds.xml"/><Relationship Id="rId19"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C977-2907-4B40-A0A2-346BA11E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38</Pages>
  <Words>8821</Words>
  <Characters>50283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22</cp:revision>
  <cp:lastPrinted>2019-01-14T15:38:00Z</cp:lastPrinted>
  <dcterms:created xsi:type="dcterms:W3CDTF">2021-09-09T22:12:00Z</dcterms:created>
  <dcterms:modified xsi:type="dcterms:W3CDTF">2021-09-13T12:02:00Z</dcterms:modified>
</cp:coreProperties>
</file>