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4BF331EC"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as</w:t>
      </w:r>
      <w:r w:rsidRPr="0070143F">
        <w:t>sociated ecosystem services. To help inform wetland conservation</w:t>
      </w:r>
      <w:r w:rsidR="00963A91" w:rsidRPr="0070143F">
        <w:t xml:space="preserve"> and educate the public,</w:t>
      </w:r>
      <w:r w:rsidRPr="0070143F">
        <w:t xml:space="preserve"> there is a need </w:t>
      </w:r>
      <w:r w:rsidR="00632D9F" w:rsidRPr="0070143F">
        <w:t>to evaluate th</w:t>
      </w:r>
      <w:r w:rsidRPr="0070143F">
        <w:t>e value of wetland ecosystem services within agricultural landscapes. Here</w:t>
      </w:r>
      <w:r w:rsidRPr="00E037B4">
        <w:t>, we examine the contextual drivers of wetland values in agricultural landscapes to increase the effectiveness and reliability of benefit</w:t>
      </w:r>
      <w:r w:rsidR="00821A6A">
        <w:t xml:space="preserve"> </w:t>
      </w:r>
      <w:r w:rsidRPr="00E037B4">
        <w:t xml:space="preserve">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w:t>
      </w:r>
      <w:r w:rsidRPr="0070143F">
        <w:rPr>
          <w:color w:val="000000" w:themeColor="text1"/>
        </w:rPr>
        <w:t xml:space="preserve">analysis. We </w:t>
      </w:r>
      <w:r w:rsidR="002677F2" w:rsidRPr="0070143F">
        <w:rPr>
          <w:color w:val="000000" w:themeColor="text1"/>
        </w:rPr>
        <w:t>developed</w:t>
      </w:r>
      <w:r w:rsidRPr="0070143F">
        <w:rPr>
          <w:color w:val="000000" w:themeColor="text1"/>
        </w:rPr>
        <w:t xml:space="preserve"> meta-regression models</w:t>
      </w:r>
      <w:r w:rsidR="00632D9F" w:rsidRPr="0070143F">
        <w:rPr>
          <w:color w:val="000000" w:themeColor="text1"/>
        </w:rPr>
        <w:t>, provisioning and regulating,</w:t>
      </w:r>
      <w:r w:rsidR="00963A91" w:rsidRPr="0070143F">
        <w:rPr>
          <w:color w:val="000000" w:themeColor="text1"/>
        </w:rPr>
        <w:t xml:space="preserve"> </w:t>
      </w:r>
      <w:r w:rsidR="00AA1683" w:rsidRPr="0070143F">
        <w:rPr>
          <w:color w:val="000000" w:themeColor="text1"/>
        </w:rPr>
        <w:t xml:space="preserve">to identify </w:t>
      </w:r>
      <w:r w:rsidR="00A24436" w:rsidRPr="0070143F">
        <w:rPr>
          <w:color w:val="000000" w:themeColor="text1"/>
        </w:rPr>
        <w:t xml:space="preserve">the </w:t>
      </w:r>
      <w:r w:rsidR="00AA1683" w:rsidRPr="0070143F">
        <w:rPr>
          <w:color w:val="000000" w:themeColor="text1"/>
        </w:rPr>
        <w:t xml:space="preserve">main drivers of </w:t>
      </w:r>
      <w:r w:rsidR="00963A91" w:rsidRPr="0070143F">
        <w:rPr>
          <w:color w:val="000000" w:themeColor="text1"/>
        </w:rPr>
        <w:t>and</w:t>
      </w:r>
      <w:r w:rsidRPr="0070143F">
        <w:rPr>
          <w:color w:val="000000" w:themeColor="text1"/>
        </w:rPr>
        <w:t xml:space="preserve"> </w:t>
      </w:r>
      <w:r w:rsidR="002677F2" w:rsidRPr="0070143F">
        <w:rPr>
          <w:color w:val="000000" w:themeColor="text1"/>
        </w:rPr>
        <w:t>regulati</w:t>
      </w:r>
      <w:r w:rsidR="00781852" w:rsidRPr="0070143F">
        <w:rPr>
          <w:color w:val="000000" w:themeColor="text1"/>
        </w:rPr>
        <w:t>ng</w:t>
      </w:r>
      <w:r w:rsidR="002677F2" w:rsidRPr="0070143F">
        <w:rPr>
          <w:color w:val="000000" w:themeColor="text1"/>
        </w:rPr>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 xml:space="preserve">per capita income </w:t>
      </w:r>
      <w:r w:rsidR="00821A6A">
        <w:t xml:space="preserve">as </w:t>
      </w:r>
      <w:r w:rsidRPr="008639CC">
        <w:t>proxied by a high-income binary variable</w:t>
      </w:r>
      <w:r w:rsidR="005B03D4">
        <w:t xml:space="preserve"> </w:t>
      </w:r>
      <w:r w:rsidR="00821A6A">
        <w:t>(</w:t>
      </w:r>
      <w:r w:rsidR="005B03D4">
        <w:t>+</w:t>
      </w:r>
      <w:r w:rsidRPr="008639CC">
        <w:t>)</w:t>
      </w:r>
      <w:r w:rsidR="005B03D4">
        <w:t xml:space="preserve">, peer-reviewed journal publications (+), agricultural productivity (-) and population density (+), </w:t>
      </w:r>
      <w:r w:rsidR="00914322">
        <w:t>while agricultural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xml:space="preserve">. </w:t>
      </w:r>
      <w:r w:rsidR="00960A7A">
        <w:t xml:space="preserve">The </w:t>
      </w:r>
      <w:r w:rsidR="001C5241">
        <w:t xml:space="preserve">mean absolute deviation </w:t>
      </w:r>
      <w:r w:rsidR="00960A7A">
        <w:t xml:space="preserve">meta-regression benefit transfer errors for the </w:t>
      </w:r>
      <w:r w:rsidR="003404A8">
        <w:t>regulating</w:t>
      </w:r>
      <w:r w:rsidR="001C5241">
        <w:t xml:space="preserve"> (200%) </w:t>
      </w:r>
      <w:r w:rsidR="00960A7A">
        <w:t xml:space="preserve">and </w:t>
      </w:r>
      <w:r w:rsidR="003404A8">
        <w:t xml:space="preserve">provisioning </w:t>
      </w:r>
      <w:r w:rsidR="00960A7A">
        <w:t>models</w:t>
      </w:r>
      <w:r w:rsidR="001C5241">
        <w:t xml:space="preserve"> (168%) </w:t>
      </w:r>
      <w:r w:rsidR="00960A7A">
        <w:t xml:space="preserve">are </w:t>
      </w:r>
      <w:r w:rsidR="001C5241">
        <w:t xml:space="preserve">185% and 166% lower than mean absolute unit </w:t>
      </w:r>
      <w:r w:rsidR="003404A8">
        <w:t xml:space="preserve">value </w:t>
      </w:r>
      <w:r w:rsidR="001C5241">
        <w:t>transfer errors for the two models, respectively.</w:t>
      </w:r>
      <w:r w:rsidR="00960A7A">
        <w:t xml:space="preserve"> </w:t>
      </w:r>
      <w:r w:rsidRPr="005B03D4">
        <w:t>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821A6A">
        <w:t>,</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1C9A235F" w:rsidR="00FB662C" w:rsidRDefault="00FB662C" w:rsidP="00FB662C">
      <w:pPr>
        <w:spacing w:line="480" w:lineRule="auto"/>
        <w:ind w:firstLine="720"/>
      </w:pPr>
      <w:r>
        <w:t>The global extent of inland wetlands has declined almost 70% during the 20th century mainly due to land</w:t>
      </w:r>
      <w:r w:rsidR="00E03850">
        <w:t>-</w:t>
      </w:r>
      <w:r>
        <w:t>cover change for agricultural production (Davidson</w:t>
      </w:r>
      <w:r w:rsidR="00734779">
        <w:t xml:space="preserve"> </w:t>
      </w:r>
      <w:r>
        <w:t>2014). This rate of wetland conversion has continued into the 21st century (Gardner et al. 2015) resulting in the 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r w:rsidR="00960A7A">
        <w:t xml:space="preserve">. </w:t>
      </w:r>
    </w:p>
    <w:p w14:paraId="17848D2B" w14:textId="086D63BD" w:rsidR="00FB662C" w:rsidRDefault="00FB662C" w:rsidP="00FB662C">
      <w:pPr>
        <w:spacing w:line="480" w:lineRule="auto"/>
      </w:pPr>
      <w:r>
        <w:t xml:space="preserve">           Wetland ecosystem services have many of the characteristics of public goods and are </w:t>
      </w:r>
      <w:r w:rsidR="00666F93">
        <w:t xml:space="preserve">often </w:t>
      </w:r>
      <w:r>
        <w:t>not traded in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conservation policy development. To overcome this hurdle, a range of methods have been tested and adapted to estimate the monetary value of wetland ecosystem services, hereafter referred to as wetland values</w:t>
      </w:r>
      <w:r w:rsidR="001D4C3D">
        <w:t xml:space="preserve">. </w:t>
      </w:r>
    </w:p>
    <w:p w14:paraId="4A2709E5" w14:textId="7BF930A4" w:rsidR="0060307A" w:rsidRDefault="00666F93" w:rsidP="007B026B">
      <w:pPr>
        <w:spacing w:line="480" w:lineRule="auto"/>
        <w:ind w:firstLine="720"/>
      </w:pPr>
      <w:r>
        <w:lastRenderedPageBreak/>
        <w:t>D</w:t>
      </w:r>
      <w:r w:rsidR="00FB662C">
        <w:t>ue to time</w:t>
      </w:r>
      <w:r w:rsidR="005C56FF">
        <w:t>, data availability</w:t>
      </w:r>
      <w:r w:rsidR="00FB662C">
        <w:t xml:space="preserv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702C77">
        <w:t xml:space="preserve"> </w:t>
      </w:r>
      <w:r w:rsidR="00B21FF0">
        <w:t>(Smith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 resource</w:t>
      </w:r>
      <w:r w:rsidR="00307CC6">
        <w:t xml:space="preserve"> elsewhere</w:t>
      </w:r>
      <w:r w:rsidR="005C56FF">
        <w:t xml:space="preserve"> (Smith et al. 2002). B</w:t>
      </w:r>
      <w:r w:rsidR="004579CC">
        <w:t xml:space="preserve">enefit transfer function </w:t>
      </w:r>
      <w:r w:rsidR="00D5339B">
        <w:t xml:space="preserve">(meta-regression benefit transfers) </w:t>
      </w:r>
      <w:r w:rsidR="004579CC">
        <w:t>use statistical models</w:t>
      </w:r>
      <w:r w:rsidR="00D54CF2">
        <w:t xml:space="preserve"> (meta-regression) </w:t>
      </w:r>
      <w:r w:rsidR="004579CC">
        <w:t>to synthesi</w:t>
      </w:r>
      <w:r w:rsidR="005C56FF">
        <w:t xml:space="preserve">ze many environmental resource values from different past research studies and describe how the values changes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 xml:space="preserve">the values of </w:t>
      </w:r>
      <w:r w:rsidR="00E03850">
        <w:t xml:space="preserve">these </w:t>
      </w:r>
      <w:r w:rsidR="00FA1723">
        <w:t xml:space="preserve">wetlands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w:t>
      </w:r>
      <w:r w:rsidR="00E03850">
        <w:t>-</w:t>
      </w:r>
      <w:r w:rsidR="009B56D4">
        <w:t xml:space="preserve">valued resource areas (e.g., Turner et al. 2021). </w:t>
      </w:r>
    </w:p>
    <w:p w14:paraId="51973542" w14:textId="78807E2E" w:rsidR="00FB662C" w:rsidRPr="0060307A" w:rsidRDefault="00FB662C" w:rsidP="00FB3185">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w:t>
      </w:r>
      <w:r>
        <w:lastRenderedPageBreak/>
        <w:t xml:space="preserve">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8DF3BFF"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w:t>
      </w:r>
      <w:r w:rsidR="002D7F1E" w:rsidRPr="001409D4">
        <w:t>values</w:t>
      </w:r>
      <w:r w:rsidR="00F84F90">
        <w:t>; we excluded cultural and regulating services because of insufficient data</w:t>
      </w:r>
      <w:r w:rsidR="002D7F1E" w:rsidRPr="001409D4">
        <w:t>.</w:t>
      </w:r>
      <w:r w:rsidR="00B62732" w:rsidRPr="001409D4">
        <w:rPr>
          <w:color w:val="00B0F0"/>
        </w:rPr>
        <w:t xml:space="preserve"> </w:t>
      </w:r>
      <w:r w:rsidR="00A8160E" w:rsidRPr="001409D4">
        <w:t>The list of regulating and provisioning ecosystem services are provided in Table A1 in appendix.</w:t>
      </w:r>
      <w:r w:rsidR="00F30394" w:rsidRPr="001409D4">
        <w:t xml:space="preserve"> In Table A1, Schuyt and Brander (2004), Jenkins et al. (2010) and Meyerhoff et al. (2004), and Simonit et al. (2011) describe nutrient recycling, nutrient mitigation, and nutrient retention wetland ecosystem </w:t>
      </w:r>
      <w:r w:rsidR="00F30394" w:rsidRPr="001409D4">
        <w:lastRenderedPageBreak/>
        <w:t>services, respectively, as regulating service because they contribute to healthy environment; this classification is consistent with Brander et al. (2013) who classified nutrient retention as regulating ecosystem service.</w:t>
      </w:r>
      <w:r w:rsidR="00893782">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w:t>
      </w:r>
      <w:r w:rsidRPr="007A7373">
        <w:rPr>
          <w:rFonts w:ascii="Times New Roman" w:eastAsia="Times New Roman" w:hAnsi="Times New Roman" w:cs="Times New Roman"/>
          <w:color w:val="0E101A"/>
          <w:kern w:val="0"/>
          <w:sz w:val="24"/>
          <w:szCs w:val="24"/>
          <w:lang w:eastAsia="en-US" w:bidi="ar-SA"/>
        </w:rPr>
        <w:lastRenderedPageBreak/>
        <w:t xml:space="preserve">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6E3ADCED"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 xml:space="preserve">We focus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FB3185" w:rsidRPr="00603A31">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47D7F36C"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w:t>
      </w:r>
      <w:r w:rsidR="00520CC1" w:rsidRPr="000B68D2">
        <w:lastRenderedPageBreak/>
        <w:t xml:space="preserve">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7F3488CA"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2129BD">
        <w:rPr>
          <w:color w:val="0E101A"/>
        </w:rPr>
        <w:t>2</w:t>
      </w:r>
      <w:r w:rsidR="00C74766">
        <w:rPr>
          <w:color w:val="0E101A"/>
        </w:rPr>
        <w:t xml:space="preserve">, in </w:t>
      </w:r>
      <w:r w:rsidR="00064DFA">
        <w:rPr>
          <w:color w:val="0E101A"/>
        </w:rPr>
        <w:t>A</w:t>
      </w:r>
      <w:r w:rsidR="00C74766">
        <w:rPr>
          <w:color w:val="0E101A"/>
        </w:rPr>
        <w:t xml:space="preserve">ppendix,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043D97DC" w14:textId="343ECF35" w:rsidR="00DA400C" w:rsidRDefault="00DA400C" w:rsidP="00CC4C62">
      <w:pPr>
        <w:rPr>
          <w:sz w:val="22"/>
          <w:szCs w:val="22"/>
        </w:rPr>
      </w:pPr>
    </w:p>
    <w:p w14:paraId="354E8477" w14:textId="6947556F" w:rsidR="0002021D" w:rsidRDefault="00550C6D" w:rsidP="00556695">
      <w:pPr>
        <w:spacing w:after="240"/>
        <w:rPr>
          <w:b/>
        </w:rPr>
      </w:pPr>
      <w:r>
        <w:rPr>
          <w:noProof/>
        </w:rPr>
        <w:lastRenderedPageBreak/>
        <w:drawing>
          <wp:inline distT="0" distB="0" distL="0" distR="0" wp14:anchorId="6AC9D74B" wp14:editId="57903264">
            <wp:extent cx="5943600" cy="3443591"/>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272" cy="3447457"/>
                    </a:xfrm>
                    <a:prstGeom prst="rect">
                      <a:avLst/>
                    </a:prstGeom>
                    <a:noFill/>
                    <a:ln>
                      <a:noFill/>
                    </a:ln>
                  </pic:spPr>
                </pic:pic>
              </a:graphicData>
            </a:graphic>
          </wp:inline>
        </w:drawing>
      </w:r>
      <w:commentRangeStart w:id="1"/>
      <w:r w:rsidR="0002021D">
        <w:rPr>
          <w:b/>
        </w:rPr>
        <w:t xml:space="preserve">Fig 1 Location of study sites for meta-analysis of </w:t>
      </w:r>
      <w:commentRangeStart w:id="2"/>
      <w:r w:rsidR="0002021D">
        <w:rPr>
          <w:b/>
        </w:rPr>
        <w:t>provisioning</w:t>
      </w:r>
      <w:commentRangeEnd w:id="2"/>
      <w:r w:rsidR="0002021D">
        <w:rPr>
          <w:rStyle w:val="CommentReference"/>
          <w:rFonts w:ascii="Liberation Serif" w:eastAsia="SimSun" w:hAnsi="Liberation Serif" w:cs="Mangal"/>
          <w:kern w:val="3"/>
          <w:lang w:eastAsia="zh-CN" w:bidi="hi-IN"/>
        </w:rPr>
        <w:commentReference w:id="2"/>
      </w:r>
      <w:r w:rsidR="0002021D">
        <w:rPr>
          <w:b/>
        </w:rPr>
        <w:t xml:space="preserve"> and regulating wetland ecosystem services</w:t>
      </w:r>
      <w:commentRangeEnd w:id="1"/>
      <w:r w:rsidR="0002021D">
        <w:rPr>
          <w:rStyle w:val="CommentReference"/>
          <w:rFonts w:ascii="Liberation Serif" w:eastAsia="SimSun" w:hAnsi="Liberation Serif" w:cs="Mangal"/>
          <w:kern w:val="3"/>
          <w:lang w:eastAsia="zh-CN" w:bidi="hi-IN"/>
        </w:rPr>
        <w:commentReference w:id="1"/>
      </w:r>
      <w:r w:rsidR="0002021D" w:rsidRPr="00556695">
        <w:rPr>
          <w:b/>
        </w:rPr>
        <w:t xml:space="preserve"> </w:t>
      </w:r>
      <w:r w:rsidR="0002021D">
        <w:rPr>
          <w:b/>
        </w:rPr>
        <w:t>values</w:t>
      </w:r>
      <w:r w:rsidR="00556695">
        <w:rPr>
          <w:b/>
        </w:rPr>
        <w:t xml:space="preserve"> (d</w:t>
      </w:r>
      <w:r w:rsidR="0002021D" w:rsidRPr="00556695">
        <w:rPr>
          <w:b/>
        </w:rPr>
        <w:t xml:space="preserve">ark </w:t>
      </w:r>
      <w:r>
        <w:rPr>
          <w:b/>
        </w:rPr>
        <w:t xml:space="preserve">circle </w:t>
      </w:r>
      <w:r w:rsidR="0002021D" w:rsidRPr="00556695">
        <w:rPr>
          <w:b/>
        </w:rPr>
        <w:t>and light grey triangles show study sites for regulating and provisioning ecosystem services, respectively</w:t>
      </w:r>
      <w:r w:rsidR="00556695" w:rsidRPr="00556695">
        <w:rPr>
          <w:b/>
        </w:rPr>
        <w:t>)</w:t>
      </w:r>
      <w:r w:rsidR="0002021D" w:rsidRPr="00556695">
        <w:rPr>
          <w:b/>
        </w:rPr>
        <w:t>.</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6F5F5484"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r w:rsidR="00E94DAD">
        <w:t xml:space="preserve">The wetland values are provisioning and regulating wetland values. We did not include cultural and supporting wetland ecosystem values because we could not find enough data on them in our literature search to allow for model estimation.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t>
      </w:r>
      <w:r w:rsidR="00091045">
        <w:lastRenderedPageBreak/>
        <w:t xml:space="preserve">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85191A"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85191A"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85191A"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85191A"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0DD6851" w:rsidR="00F45D56" w:rsidRDefault="00F45D56" w:rsidP="00F45D56">
      <w:pPr>
        <w:spacing w:after="120" w:line="480" w:lineRule="auto"/>
      </w:pPr>
    </w:p>
    <w:p w14:paraId="78F7ECF9" w14:textId="42008618" w:rsidR="00741E45" w:rsidRDefault="00741E45" w:rsidP="00F45D56">
      <w:pPr>
        <w:spacing w:after="120" w:line="480" w:lineRule="auto"/>
      </w:pPr>
    </w:p>
    <w:p w14:paraId="29251791" w14:textId="75B79BE1" w:rsidR="00741E45" w:rsidRDefault="00741E45" w:rsidP="00F45D56">
      <w:pPr>
        <w:spacing w:after="120" w:line="480" w:lineRule="auto"/>
      </w:pPr>
    </w:p>
    <w:p w14:paraId="1FE401B3" w14:textId="77777777" w:rsidR="00741E45" w:rsidRDefault="00741E45" w:rsidP="00F45D56">
      <w:pPr>
        <w:spacing w:after="120" w:line="480" w:lineRule="auto"/>
      </w:pPr>
    </w:p>
    <w:p w14:paraId="73D4B40F" w14:textId="380F035F" w:rsidR="00C4208F" w:rsidRDefault="00F45D56" w:rsidP="00F45D56">
      <w:pPr>
        <w:spacing w:after="120" w:line="480" w:lineRule="auto"/>
        <w:ind w:firstLine="720"/>
        <w:rPr>
          <w:color w:val="0E101A"/>
        </w:rPr>
      </w:pPr>
      <w:r>
        <w:lastRenderedPageBreak/>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bookmarkStart w:id="3" w:name="_Hlk88525595"/>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bookmarkEnd w:id="3"/>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1CB682A4" w14:textId="77777777" w:rsidR="00F84F90" w:rsidRDefault="00530ECF" w:rsidP="00741E45">
      <w:pPr>
        <w:pStyle w:val="NoSpacing"/>
        <w:spacing w:line="480" w:lineRule="auto"/>
        <w:ind w:firstLine="720"/>
      </w:pPr>
      <w:r>
        <w:t>The</w:t>
      </w:r>
      <w:r w:rsidR="00687DAF">
        <w:t xml:space="preserve"> final functional</w:t>
      </w:r>
      <w:r>
        <w:t xml:space="preserve"> model</w:t>
      </w:r>
      <w:r w:rsidR="00687DAF">
        <w:t xml:space="preserve"> </w:t>
      </w:r>
      <w:r w:rsidR="00693C1E">
        <w:t>had</w:t>
      </w:r>
      <w:r w:rsidR="00ED4795">
        <w:t xml:space="preserve"> </w:t>
      </w:r>
      <w:r w:rsidR="00687DAF">
        <w:t xml:space="preserve">the lowest root mean square error (RMSE) and mean absolute error (MAE) prediction error metrics. We used a 10-fold cross validation procedure to estimate the prediction error metrics. </w:t>
      </w:r>
      <w:r w:rsidR="001266EC">
        <w:t xml:space="preserve">For the </w:t>
      </w:r>
      <w:r w:rsidR="00F91257">
        <w:t xml:space="preserve">10-fold cross validation procedure, we 1) randomly divided the data into </w:t>
      </w:r>
      <w:r w:rsidR="00105192">
        <w:t>ten</w:t>
      </w:r>
      <w:r w:rsidR="00F91257">
        <w:t xml:space="preserve"> equal groups</w:t>
      </w:r>
      <w:r w:rsidR="00CA5F47">
        <w:t xml:space="preserve"> or folds</w:t>
      </w:r>
      <w:r w:rsidR="00F91257">
        <w:t xml:space="preserve">, 2) chose one of the folds as holdout test data, and estimated the model </w:t>
      </w:r>
      <w:r w:rsidR="00CA5F47">
        <w:t xml:space="preserve">with </w:t>
      </w:r>
      <w:r w:rsidR="00F91257">
        <w:t xml:space="preserve">the remaining </w:t>
      </w:r>
      <w:r w:rsidR="00105192">
        <w:t>nine</w:t>
      </w:r>
      <w:r w:rsidR="00F91257">
        <w:t xml:space="preserve"> groups of dataset (k-1 folds); the prediction error metrics were estimated with the holdout test data, 3) repeated the process </w:t>
      </w:r>
      <w:r w:rsidR="00105192">
        <w:t>ten</w:t>
      </w:r>
      <w:r w:rsidR="00F91257">
        <w:t xml:space="preserve"> times, using a different set </w:t>
      </w:r>
      <w:r w:rsidR="00C42C80">
        <w:t xml:space="preserve">of </w:t>
      </w:r>
      <w:r w:rsidR="00F91257">
        <w:t>holdout test data</w:t>
      </w:r>
      <w:r w:rsidR="00C42C80">
        <w:t xml:space="preserve"> each time</w:t>
      </w:r>
      <w:r w:rsidR="00F91257">
        <w:t xml:space="preserve">, </w:t>
      </w:r>
      <w:r w:rsidR="00C42C80">
        <w:t xml:space="preserve">and finally </w:t>
      </w:r>
      <w:r w:rsidR="00F91257">
        <w:t>4) used the average of the estimated prediction error metric</w:t>
      </w:r>
      <w:r w:rsidR="00C4208F">
        <w:t>s (RMSE and MAE)</w:t>
      </w:r>
      <w:r w:rsidR="00F91257">
        <w:t xml:space="preserve"> </w:t>
      </w:r>
      <w:r w:rsidR="00C4208F">
        <w:t xml:space="preserve">from each iteration of the </w:t>
      </w:r>
      <w:r w:rsidR="00105192">
        <w:t>ten-</w:t>
      </w:r>
      <w:r w:rsidR="00C4208F">
        <w:t>fold cross</w:t>
      </w:r>
      <w:r w:rsidR="00105192">
        <w:t>-</w:t>
      </w:r>
      <w:r w:rsidR="00C4208F">
        <w:t xml:space="preserve">validation </w:t>
      </w:r>
      <w:r w:rsidR="00C4208F">
        <w:lastRenderedPageBreak/>
        <w:t xml:space="preserve">procedure as the final statistic. The prediction errors from the estimated models are called meta-regression benefit function transfer errors. The meta-regression benefit transfer errors </w:t>
      </w:r>
      <w:r w:rsidR="00105192">
        <w:t>were</w:t>
      </w:r>
      <w:r w:rsidR="00C4208F">
        <w:t xml:space="preserve"> compared with mean</w:t>
      </w:r>
      <w:r w:rsidR="00A9251D">
        <w:t xml:space="preserve"> unit </w:t>
      </w:r>
      <w:r w:rsidR="00C4208F">
        <w:t xml:space="preserve">value </w:t>
      </w:r>
      <w:r w:rsidR="00C979A1">
        <w:t xml:space="preserve">transfer </w:t>
      </w:r>
      <w:r w:rsidR="00C4208F">
        <w:t xml:space="preserve">errors to show their potential for benefit transfer applications where wetland values </w:t>
      </w:r>
      <w:r w:rsidR="00105192">
        <w:t>were</w:t>
      </w:r>
      <w:r w:rsidR="00C4208F">
        <w:t xml:space="preserve"> predicted outside this study. For the mean</w:t>
      </w:r>
      <w:r w:rsidR="00A9251D">
        <w:t xml:space="preserve"> unit </w:t>
      </w:r>
      <w:r w:rsidR="00C4208F">
        <w:t>value transfer error, we estimated the prediction metrics by comparing the predictions from the models</w:t>
      </w:r>
      <w:r w:rsidR="00F84F90">
        <w:t xml:space="preserve"> </w:t>
      </w:r>
      <w:r w:rsidR="00C4208F">
        <w:t>with the mean of the dependent variable.</w:t>
      </w:r>
    </w:p>
    <w:p w14:paraId="47A0654D" w14:textId="77777777" w:rsidR="00F84F90" w:rsidRDefault="00F84F90">
      <w:r>
        <w:br w:type="page"/>
      </w:r>
    </w:p>
    <w:p w14:paraId="2362F1CC" w14:textId="512A7338" w:rsidR="00F84F90" w:rsidRDefault="00741E45" w:rsidP="00F84F90">
      <w:pPr>
        <w:pStyle w:val="NoSpacing"/>
      </w:pPr>
      <w:r>
        <w:rPr>
          <w:noProof/>
        </w:rPr>
        <w:lastRenderedPageBreak/>
        <mc:AlternateContent>
          <mc:Choice Requires="wps">
            <w:drawing>
              <wp:anchor distT="0" distB="0" distL="114300" distR="114300" simplePos="0" relativeHeight="251668480" behindDoc="0" locked="0" layoutInCell="1" allowOverlap="1" wp14:anchorId="087606B2" wp14:editId="753FC98D">
                <wp:simplePos x="0" y="0"/>
                <wp:positionH relativeFrom="margin">
                  <wp:align>right</wp:align>
                </wp:positionH>
                <wp:positionV relativeFrom="paragraph">
                  <wp:posOffset>6547485</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F369DF" w:rsidRPr="00ED0E30" w:rsidRDefault="00ED0E30"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F369DF" w:rsidRPr="00ED0E30" w:rsidRDefault="00F369DF"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6" style="position:absolute;margin-left:166.95pt;margin-top:515.55pt;width:218.15pt;height:70.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" fillcolor="white [3201]" strokecolor="black [3213]" strokeweight="1pt">
                <v:textbox>
                  <w:txbxContent>
                    <w:p w14:paraId="16A1ABF8" w14:textId="6AECA231" w:rsidR="00F369DF" w:rsidRPr="00ED0E30" w:rsidRDefault="00ED0E30"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 xml:space="preserve">A </w:t>
                      </w:r>
                      <w:r w:rsidRPr="00ED0E30">
                        <w:rPr>
                          <w:rFonts w:ascii="Times New Roman" w:hAnsi="Times New Roman" w:cs="Times New Roman"/>
                          <w:color w:val="0E101A"/>
                          <w:sz w:val="20"/>
                          <w:szCs w:val="20"/>
                          <w:lang w:val="en-CA"/>
                        </w:rPr>
                        <w:t>10-fold cross validation procedure</w:t>
                      </w:r>
                      <w:r w:rsidRPr="00ED0E30">
                        <w:rPr>
                          <w:rFonts w:ascii="Times New Roman" w:hAnsi="Times New Roman" w:cs="Times New Roman"/>
                          <w:color w:val="0E101A"/>
                          <w:sz w:val="20"/>
                          <w:szCs w:val="20"/>
                        </w:rPr>
                        <w:t xml:space="preserve"> </w:t>
                      </w:r>
                      <w:r w:rsidRPr="00ED0E30">
                        <w:rPr>
                          <w:rFonts w:ascii="Times New Roman" w:hAnsi="Times New Roman" w:cs="Times New Roman"/>
                          <w:color w:val="0E101A"/>
                          <w:sz w:val="20"/>
                          <w:szCs w:val="20"/>
                        </w:rPr>
                        <w:t>used to estimate root mean squared meta-regression error for each model</w:t>
                      </w:r>
                      <w:r>
                        <w:rPr>
                          <w:rFonts w:ascii="Times New Roman" w:hAnsi="Times New Roman" w:cs="Times New Roman"/>
                          <w:color w:val="0E101A"/>
                          <w:sz w:val="20"/>
                          <w:szCs w:val="20"/>
                        </w:rPr>
                        <w:t>.</w:t>
                      </w:r>
                    </w:p>
                    <w:p w14:paraId="534F18BE" w14:textId="77777777" w:rsidR="00F369DF" w:rsidRPr="00ED0E30" w:rsidRDefault="00F369DF"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91D673F" wp14:editId="2522D6CC">
                <wp:simplePos x="0" y="0"/>
                <wp:positionH relativeFrom="column">
                  <wp:posOffset>-308291</wp:posOffset>
                </wp:positionH>
                <wp:positionV relativeFrom="paragraph">
                  <wp:posOffset>6729412</wp:posOffset>
                </wp:positionV>
                <wp:extent cx="1098550" cy="345414"/>
                <wp:effectExtent l="0" t="4128" r="21273" b="21272"/>
                <wp:wrapNone/>
                <wp:docPr id="3" name="Rectangle 3"/>
                <wp:cNvGraphicFramePr/>
                <a:graphic xmlns:a="http://schemas.openxmlformats.org/drawingml/2006/main">
                  <a:graphicData uri="http://schemas.microsoft.com/office/word/2010/wordprocessingShape">
                    <wps:wsp>
                      <wps:cNvSpPr/>
                      <wps:spPr>
                        <a:xfrm rot="16200000">
                          <a:off x="0" y="0"/>
                          <a:ext cx="1098550" cy="345414"/>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F369DF" w:rsidRPr="00F369DF" w:rsidRDefault="00F369DF"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D673F" id="Rectangle 3" o:spid="_x0000_s1027" style="position:absolute;margin-left:-24.25pt;margin-top:529.85pt;width:86.5pt;height:27.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" fillcolor="white [3201]" strokecolor="black [3200]" strokeweight="1pt">
                <v:textbox>
                  <w:txbxContent>
                    <w:p w14:paraId="1AAA101E" w14:textId="1AFEF4D5" w:rsidR="00F369DF" w:rsidRPr="00F369DF" w:rsidRDefault="00F369DF" w:rsidP="00F369DF">
                      <w:pPr>
                        <w:jc w:val="center"/>
                        <w:rPr>
                          <w:b/>
                          <w:bCs/>
                          <w:color w:val="000000" w:themeColor="text1"/>
                          <w:sz w:val="20"/>
                          <w:szCs w:val="20"/>
                        </w:rPr>
                      </w:pPr>
                      <w:r>
                        <w:rPr>
                          <w:b/>
                          <w:bCs/>
                          <w:color w:val="000000" w:themeColor="text1"/>
                          <w:sz w:val="20"/>
                          <w:szCs w:val="20"/>
                        </w:rPr>
                        <w:t>Benefit transfer</w:t>
                      </w:r>
                    </w:p>
                  </w:txbxContent>
                </v:textbox>
              </v:rect>
            </w:pict>
          </mc:Fallback>
        </mc:AlternateContent>
      </w:r>
      <w:r w:rsidR="004B1E03">
        <w:rPr>
          <w:noProof/>
        </w:rPr>
        <mc:AlternateContent>
          <mc:Choice Requires="wps">
            <w:drawing>
              <wp:anchor distT="0" distB="0" distL="114300" distR="114300" simplePos="0" relativeHeight="251666432" behindDoc="0" locked="0" layoutInCell="1" allowOverlap="1" wp14:anchorId="27CEBC0D" wp14:editId="31C8340A">
                <wp:simplePos x="0" y="0"/>
                <wp:positionH relativeFrom="column">
                  <wp:posOffset>2686050</wp:posOffset>
                </wp:positionH>
                <wp:positionV relativeFrom="paragraph">
                  <wp:posOffset>5537835</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3A7489" id="_x0000_t32" coordsize="21600,21600" o:spt="32" o:oned="t" path="m,l21600,21600e" filled="f">
                <v:path arrowok="t" fillok="f" o:connecttype="none"/>
                <o:lock v:ext="edit" shapetype="t"/>
              </v:shapetype>
              <v:shape id="Straight Arrow Connector 5" o:spid="_x0000_s1026" type="#_x0000_t32" style="position:absolute;margin-left:211.5pt;margin-top:436.05pt;width:3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" strokecolor="black [3200]" strokeweight=".5pt">
                <v:stroke endarrow="block" joinstyle="miter"/>
              </v:shape>
            </w:pict>
          </mc:Fallback>
        </mc:AlternateContent>
      </w:r>
      <w:r w:rsidR="00F369DF">
        <w:rPr>
          <w:noProof/>
        </w:rPr>
        <mc:AlternateContent>
          <mc:Choice Requires="wpg">
            <w:drawing>
              <wp:inline distT="0" distB="0" distL="0" distR="0" wp14:anchorId="7168B80D" wp14:editId="5CD75AAC">
                <wp:extent cx="5953125" cy="7372350"/>
                <wp:effectExtent l="0" t="0" r="28575" b="19050"/>
                <wp:docPr id="37" name="Group 37"/>
                <wp:cNvGraphicFramePr/>
                <a:graphic xmlns:a="http://schemas.openxmlformats.org/drawingml/2006/main">
                  <a:graphicData uri="http://schemas.microsoft.com/office/word/2010/wordprocessingGroup">
                    <wpg:wgp>
                      <wpg:cNvGrpSpPr/>
                      <wpg:grpSpPr>
                        <a:xfrm>
                          <a:off x="0" y="0"/>
                          <a:ext cx="5953125" cy="7372350"/>
                          <a:chOff x="-3" y="-145197"/>
                          <a:chExt cx="5953128" cy="8021984"/>
                        </a:xfrm>
                      </wpg:grpSpPr>
                      <wpg:grpSp>
                        <wpg:cNvPr id="29" name="Group 29"/>
                        <wpg:cNvGrpSpPr/>
                        <wpg:grpSpPr>
                          <a:xfrm>
                            <a:off x="-3" y="-145197"/>
                            <a:ext cx="5932808" cy="6845132"/>
                            <a:chOff x="-3" y="-489015"/>
                            <a:chExt cx="5932944" cy="6845300"/>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F369DF" w:rsidRPr="00F369DF" w:rsidRDefault="00F369DF"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410AB13A" w:rsidR="00F369DF" w:rsidRPr="00F369DF" w:rsidRDefault="006F3350" w:rsidP="00F369DF">
                                <w:pPr>
                                  <w:jc w:val="center"/>
                                  <w:rPr>
                                    <w:sz w:val="22"/>
                                    <w:szCs w:val="22"/>
                                  </w:rPr>
                                </w:pPr>
                                <w:r>
                                  <w:rPr>
                                    <w:sz w:val="22"/>
                                    <w:szCs w:val="22"/>
                                  </w:rPr>
                                  <w:t xml:space="preserve">Identified </w:t>
                                </w:r>
                                <w:r w:rsidR="00F369DF" w:rsidRPr="00F369DF">
                                  <w:rPr>
                                    <w:sz w:val="22"/>
                                    <w:szCs w:val="22"/>
                                  </w:rPr>
                                  <w:t xml:space="preserve">192 studies </w:t>
                                </w:r>
                                <w:r w:rsidR="00045D70">
                                  <w:rPr>
                                    <w:sz w:val="22"/>
                                    <w:szCs w:val="22"/>
                                  </w:rPr>
                                  <w:t xml:space="preserve">for </w:t>
                                </w:r>
                                <w:r w:rsidR="00F369DF" w:rsidRPr="00F369DF">
                                  <w:rPr>
                                    <w:sz w:val="22"/>
                                    <w:szCs w:val="22"/>
                                  </w:rPr>
                                  <w:t>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2163" y="2320399"/>
                              <a:ext cx="205778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1E7BA" w14:textId="77777777" w:rsidR="00F369DF" w:rsidRPr="00F369DF" w:rsidRDefault="00F369DF" w:rsidP="00F369DF">
                                <w:pPr>
                                  <w:jc w:val="center"/>
                                  <w:rPr>
                                    <w:sz w:val="22"/>
                                    <w:szCs w:val="22"/>
                                  </w:rPr>
                                </w:pPr>
                                <w:r w:rsidRPr="00F369DF">
                                  <w:rPr>
                                    <w:sz w:val="22"/>
                                    <w:szCs w:val="22"/>
                                  </w:rPr>
                                  <w:t>192 studies screened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46387" y="3786287"/>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F369DF" w:rsidRPr="00F369DF" w:rsidRDefault="00F369DF" w:rsidP="00F369DF">
                                <w:pPr>
                                  <w:jc w:val="center"/>
                                  <w:rPr>
                                    <w:sz w:val="22"/>
                                    <w:szCs w:val="22"/>
                                  </w:rPr>
                                </w:pPr>
                                <w:r w:rsidRPr="00F369DF">
                                  <w:rPr>
                                    <w:sz w:val="22"/>
                                    <w:szCs w:val="22"/>
                                  </w:rPr>
                                  <w:t>Identified 45 studies</w:t>
                                </w:r>
                                <w:r w:rsidR="00045D70">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46388" y="5394502"/>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F369DF" w:rsidRPr="00F369DF" w:rsidRDefault="00F369DF" w:rsidP="00F369DF">
                                <w:pPr>
                                  <w:jc w:val="center"/>
                                  <w:rPr>
                                    <w:sz w:val="22"/>
                                    <w:szCs w:val="22"/>
                                  </w:rPr>
                                </w:pPr>
                                <w:r w:rsidRPr="00F369DF">
                                  <w:rPr>
                                    <w:sz w:val="22"/>
                                    <w:szCs w:val="22"/>
                                  </w:rPr>
                                  <w:t>Meta-</w:t>
                                </w:r>
                                <w:r w:rsidR="006F1F5E">
                                  <w:rPr>
                                    <w:sz w:val="22"/>
                                    <w:szCs w:val="22"/>
                                  </w:rPr>
                                  <w:t>a</w:t>
                                </w:r>
                                <w:r w:rsidRPr="00F369DF">
                                  <w:rPr>
                                    <w:sz w:val="22"/>
                                    <w:szCs w:val="22"/>
                                  </w:rPr>
                                  <w:t>nalysi</w:t>
                                </w:r>
                                <w:r w:rsidR="006F1F5E">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61386" y="915139"/>
                              <a:ext cx="2743200" cy="1140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F369DF" w:rsidRPr="00F369DF" w:rsidRDefault="00F369DF" w:rsidP="00F369DF">
                                <w:pPr>
                                  <w:jc w:val="center"/>
                                  <w:rPr>
                                    <w:b/>
                                    <w:bCs/>
                                    <w:sz w:val="20"/>
                                    <w:szCs w:val="20"/>
                                    <w:u w:val="single"/>
                                  </w:rPr>
                                </w:pPr>
                                <w:r w:rsidRPr="00F369DF">
                                  <w:rPr>
                                    <w:b/>
                                    <w:bCs/>
                                    <w:sz w:val="20"/>
                                    <w:szCs w:val="20"/>
                                    <w:u w:val="single"/>
                                  </w:rPr>
                                  <w:t>Criteria for inclusion</w:t>
                                </w:r>
                              </w:p>
                              <w:p w14:paraId="4F80A19B" w14:textId="77777777" w:rsidR="00F369DF" w:rsidRPr="00F369DF" w:rsidRDefault="00F369DF"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16200000">
                              <a:off x="-465778" y="4071184"/>
                              <a:ext cx="1293151"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026405EC"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487697" y="5497924"/>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70691" y="2291498"/>
                              <a:ext cx="2762250" cy="881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F369DF" w:rsidRPr="00F369DF" w:rsidRDefault="00F369DF" w:rsidP="00F369DF">
                                <w:pPr>
                                  <w:jc w:val="center"/>
                                  <w:rPr>
                                    <w:b/>
                                    <w:bCs/>
                                    <w:sz w:val="20"/>
                                    <w:szCs w:val="20"/>
                                    <w:u w:val="single"/>
                                  </w:rPr>
                                </w:pPr>
                                <w:r w:rsidRPr="00F369DF">
                                  <w:rPr>
                                    <w:b/>
                                    <w:bCs/>
                                    <w:sz w:val="20"/>
                                    <w:szCs w:val="20"/>
                                    <w:u w:val="single"/>
                                  </w:rPr>
                                  <w:t>Criteria for exclusion</w:t>
                                </w:r>
                              </w:p>
                              <w:p w14:paraId="4A3395A3" w14:textId="77777777" w:rsidR="006F1F5E"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F369DF"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787158" y="1939724"/>
                              <a:ext cx="0" cy="327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802924" y="3128096"/>
                              <a:ext cx="0" cy="579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18689" y="4543469"/>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1779" y="7152959"/>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F369DF" w:rsidRPr="00F369DF" w:rsidRDefault="00F369DF" w:rsidP="00F369DF">
                              <w:pPr>
                                <w:spacing w:line="259" w:lineRule="auto"/>
                                <w:jc w:val="center"/>
                                <w:rPr>
                                  <w:sz w:val="22"/>
                                  <w:szCs w:val="22"/>
                                </w:rPr>
                              </w:pPr>
                              <w:r w:rsidRPr="00F369DF">
                                <w:rPr>
                                  <w:sz w:val="22"/>
                                  <w:szCs w:val="22"/>
                                </w:rPr>
                                <w:t xml:space="preserve">Meta-regression </w:t>
                              </w:r>
                              <w:r w:rsidR="006F1F5E">
                                <w:rPr>
                                  <w:sz w:val="22"/>
                                  <w:szCs w:val="22"/>
                                </w:rPr>
                                <w:t>b</w:t>
                              </w:r>
                              <w:r w:rsidRPr="00F369DF">
                                <w:rPr>
                                  <w:sz w:val="22"/>
                                  <w:szCs w:val="22"/>
                                </w:rPr>
                                <w:t xml:space="preserve">enefit </w:t>
                              </w:r>
                              <w:r w:rsidR="006F1F5E">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699516" y="748183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57701" y="5596549"/>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474A425" w:rsidR="00F369DF" w:rsidRDefault="005765ED"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We estimated provisioning and regulating meta-regression models</w:t>
                              </w:r>
                            </w:p>
                            <w:p w14:paraId="411E9F0B" w14:textId="51D1A38D" w:rsidR="00F369DF" w:rsidRPr="00A9251D" w:rsidRDefault="005765ED" w:rsidP="007B17C5">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we compared log-log and log-linear functional forms.</w:t>
                              </w:r>
                            </w:p>
                            <w:p w14:paraId="727C2924" w14:textId="2748C4DD" w:rsidR="00A9251D" w:rsidRPr="005765ED" w:rsidRDefault="00A9251D" w:rsidP="007B17C5">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r w:rsidR="002F6BFD">
                                <w:rPr>
                                  <w:rFonts w:ascii="Times New Roman" w:eastAsia="Times New Roman" w:hAnsi="Times New Roman" w:cs="Times New Roman"/>
                                  <w:color w:val="0E101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794641" y="6517921"/>
                            <a:ext cx="0" cy="579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28" style="width:468.75pt;height:580.5pt;mso-position-horizontal-relative:char;mso-position-vertical-relative:line" coordorigin=",-1451" coordsize="59531,8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">
                <v:group id="Group 29" o:spid="_x0000_s1029" style="position:absolute;top:-1451;width:59328;height:68450" coordorigin=",-4890" coordsize="59329,6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0"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F369DF" w:rsidRPr="00F369DF" w:rsidRDefault="00F369DF"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1"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410AB13A" w:rsidR="00F369DF" w:rsidRPr="00F369DF" w:rsidRDefault="006F3350" w:rsidP="00F369DF">
                          <w:pPr>
                            <w:jc w:val="center"/>
                            <w:rPr>
                              <w:sz w:val="22"/>
                              <w:szCs w:val="22"/>
                            </w:rPr>
                          </w:pPr>
                          <w:r>
                            <w:rPr>
                              <w:sz w:val="22"/>
                              <w:szCs w:val="22"/>
                            </w:rPr>
                            <w:t xml:space="preserve">Identified </w:t>
                          </w:r>
                          <w:r w:rsidR="00F369DF" w:rsidRPr="00F369DF">
                            <w:rPr>
                              <w:sz w:val="22"/>
                              <w:szCs w:val="22"/>
                            </w:rPr>
                            <w:t xml:space="preserve">192 studies </w:t>
                          </w:r>
                          <w:r w:rsidR="00045D70">
                            <w:rPr>
                              <w:sz w:val="22"/>
                              <w:szCs w:val="22"/>
                            </w:rPr>
                            <w:t xml:space="preserve">for </w:t>
                          </w:r>
                          <w:r w:rsidR="00F369DF" w:rsidRPr="00F369DF">
                            <w:rPr>
                              <w:sz w:val="22"/>
                              <w:szCs w:val="22"/>
                            </w:rPr>
                            <w:t>included in the pool of studies for further reading</w:t>
                          </w:r>
                        </w:p>
                      </w:txbxContent>
                    </v:textbox>
                  </v:rect>
                  <v:rect id="Rectangle 6" o:spid="_x0000_s1032" style="position:absolute;left:6621;top:23203;width:205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8F1E7BA" w14:textId="77777777" w:rsidR="00F369DF" w:rsidRPr="00F369DF" w:rsidRDefault="00F369DF" w:rsidP="00F369DF">
                          <w:pPr>
                            <w:jc w:val="center"/>
                            <w:rPr>
                              <w:sz w:val="22"/>
                              <w:szCs w:val="22"/>
                            </w:rPr>
                          </w:pPr>
                          <w:r w:rsidRPr="00F369DF">
                            <w:rPr>
                              <w:sz w:val="22"/>
                              <w:szCs w:val="22"/>
                            </w:rPr>
                            <w:t>192 studies screened</w:t>
                          </w:r>
                        </w:p>
                      </w:txbxContent>
                    </v:textbox>
                  </v:rect>
                  <v:rect id="Rectangle 8" o:spid="_x0000_s1033" style="position:absolute;left:6463;top:37862;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F369DF" w:rsidRPr="00F369DF" w:rsidRDefault="00F369DF" w:rsidP="00F369DF">
                          <w:pPr>
                            <w:jc w:val="center"/>
                            <w:rPr>
                              <w:sz w:val="22"/>
                              <w:szCs w:val="22"/>
                            </w:rPr>
                          </w:pPr>
                          <w:r w:rsidRPr="00F369DF">
                            <w:rPr>
                              <w:sz w:val="22"/>
                              <w:szCs w:val="22"/>
                            </w:rPr>
                            <w:t>Identified 45 studies</w:t>
                          </w:r>
                          <w:r w:rsidR="00045D70">
                            <w:rPr>
                              <w:sz w:val="22"/>
                              <w:szCs w:val="22"/>
                            </w:rPr>
                            <w:t xml:space="preserve"> for quantitative</w:t>
                          </w:r>
                          <w:r w:rsidRPr="00F369DF">
                            <w:rPr>
                              <w:sz w:val="22"/>
                              <w:szCs w:val="22"/>
                            </w:rPr>
                            <w:t xml:space="preserve"> meta-analysis </w:t>
                          </w:r>
                        </w:p>
                      </w:txbxContent>
                    </v:textbox>
                  </v:rect>
                  <v:rect id="Rectangle 11" o:spid="_x0000_s1034" style="position:absolute;left:6463;top:53945;width:1993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F369DF" w:rsidRPr="00F369DF" w:rsidRDefault="00F369DF" w:rsidP="00F369DF">
                          <w:pPr>
                            <w:jc w:val="center"/>
                            <w:rPr>
                              <w:sz w:val="22"/>
                              <w:szCs w:val="22"/>
                            </w:rPr>
                          </w:pPr>
                          <w:r w:rsidRPr="00F369DF">
                            <w:rPr>
                              <w:sz w:val="22"/>
                              <w:szCs w:val="22"/>
                            </w:rPr>
                            <w:t>Meta-</w:t>
                          </w:r>
                          <w:r w:rsidR="006F1F5E">
                            <w:rPr>
                              <w:sz w:val="22"/>
                              <w:szCs w:val="22"/>
                            </w:rPr>
                            <w:t>a</w:t>
                          </w:r>
                          <w:r w:rsidRPr="00F369DF">
                            <w:rPr>
                              <w:sz w:val="22"/>
                              <w:szCs w:val="22"/>
                            </w:rPr>
                            <w:t>nalysi</w:t>
                          </w:r>
                          <w:r w:rsidR="006F1F5E">
                            <w:rPr>
                              <w:sz w:val="22"/>
                              <w:szCs w:val="22"/>
                            </w:rPr>
                            <w:t>s model estimation</w:t>
                          </w:r>
                        </w:p>
                      </w:txbxContent>
                    </v:textbox>
                  </v:rect>
                  <v:rect id="Rectangle 12" o:spid="_x0000_s1035" style="position:absolute;left:31613;top:9151;width:27432;height:1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F369DF" w:rsidRPr="00F369DF" w:rsidRDefault="00F369DF" w:rsidP="00F369DF">
                          <w:pPr>
                            <w:jc w:val="center"/>
                            <w:rPr>
                              <w:b/>
                              <w:bCs/>
                              <w:sz w:val="20"/>
                              <w:szCs w:val="20"/>
                              <w:u w:val="single"/>
                            </w:rPr>
                          </w:pPr>
                          <w:r w:rsidRPr="00F369DF">
                            <w:rPr>
                              <w:b/>
                              <w:bCs/>
                              <w:sz w:val="20"/>
                              <w:szCs w:val="20"/>
                              <w:u w:val="single"/>
                            </w:rPr>
                            <w:t>Criteria for inclusion</w:t>
                          </w:r>
                        </w:p>
                        <w:p w14:paraId="4F80A19B" w14:textId="77777777" w:rsidR="00F369DF" w:rsidRPr="00F369DF" w:rsidRDefault="00F369DF"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36"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37"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38"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7" o:spid="_x0000_s1039" style="position:absolute;left:-4658;top:40711;width:12931;height:34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" fillcolor="white [3201]" strokecolor="black [3200]" strokeweight="1pt">
                    <v:textbox>
                      <w:txbxContent>
                        <w:p w14:paraId="026405EC"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Inclusion</w:t>
                          </w:r>
                        </w:p>
                      </w:txbxContent>
                    </v:textbox>
                  </v:rect>
                  <v:rect id="Rectangle 18" o:spid="_x0000_s1040" style="position:absolute;left:-4877;top:54979;width:13712;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1" style="position:absolute;left:31706;top:22914;width:27623;height:8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F369DF" w:rsidRPr="00F369DF" w:rsidRDefault="00F369DF" w:rsidP="00F369DF">
                          <w:pPr>
                            <w:jc w:val="center"/>
                            <w:rPr>
                              <w:b/>
                              <w:bCs/>
                              <w:sz w:val="20"/>
                              <w:szCs w:val="20"/>
                              <w:u w:val="single"/>
                            </w:rPr>
                          </w:pPr>
                          <w:r w:rsidRPr="00F369DF">
                            <w:rPr>
                              <w:b/>
                              <w:bCs/>
                              <w:sz w:val="20"/>
                              <w:szCs w:val="20"/>
                              <w:u w:val="single"/>
                            </w:rPr>
                            <w:t>Criteria for exclusion</w:t>
                          </w:r>
                        </w:p>
                        <w:p w14:paraId="4A3395A3" w14:textId="77777777" w:rsidR="006F1F5E"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F369DF"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v:textbox>
                  </v:rect>
                  <v:shape id="Straight Arrow Connector 21" o:spid="_x0000_s1042"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3" type="#_x0000_t32" style="position:absolute;left:17871;top:19397;width:0;height:3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4" type="#_x0000_t32" style="position:absolute;left:18029;top:31280;width:0;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45" type="#_x0000_t32" style="position:absolute;left:18186;top:45434;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6"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7"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group>
                <v:rect id="Rectangle 32" o:spid="_x0000_s1048" style="position:absolute;left:6917;top:71529;width:19536;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F369DF" w:rsidRPr="00F369DF" w:rsidRDefault="00F369DF" w:rsidP="00F369DF">
                        <w:pPr>
                          <w:spacing w:line="259" w:lineRule="auto"/>
                          <w:jc w:val="center"/>
                          <w:rPr>
                            <w:sz w:val="22"/>
                            <w:szCs w:val="22"/>
                          </w:rPr>
                        </w:pPr>
                        <w:r w:rsidRPr="00F369DF">
                          <w:rPr>
                            <w:sz w:val="22"/>
                            <w:szCs w:val="22"/>
                          </w:rPr>
                          <w:t xml:space="preserve">Meta-regression </w:t>
                        </w:r>
                        <w:r w:rsidR="006F1F5E">
                          <w:rPr>
                            <w:sz w:val="22"/>
                            <w:szCs w:val="22"/>
                          </w:rPr>
                          <w:t>b</w:t>
                        </w:r>
                        <w:r w:rsidRPr="00F369DF">
                          <w:rPr>
                            <w:sz w:val="22"/>
                            <w:szCs w:val="22"/>
                          </w:rPr>
                          <w:t xml:space="preserve">enefit </w:t>
                        </w:r>
                        <w:r w:rsidR="006F1F5E">
                          <w:rPr>
                            <w:sz w:val="22"/>
                            <w:szCs w:val="22"/>
                          </w:rPr>
                          <w:t>t</w:t>
                        </w:r>
                        <w:r w:rsidRPr="00F369DF">
                          <w:rPr>
                            <w:sz w:val="22"/>
                            <w:szCs w:val="22"/>
                          </w:rPr>
                          <w:t>ransfer</w:t>
                        </w:r>
                      </w:p>
                    </w:txbxContent>
                  </v:textbox>
                </v:rect>
                <v:shape id="Straight Arrow Connector 34" o:spid="_x0000_s1049" type="#_x0000_t32" style="position:absolute;left:26995;top:7481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0" style="position:absolute;left:31577;top:55965;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474A425" w:rsidR="00F369DF" w:rsidRDefault="005765ED"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We estimated provisioning and regulating meta-regression models</w:t>
                        </w:r>
                      </w:p>
                      <w:p w14:paraId="411E9F0B" w14:textId="51D1A38D" w:rsidR="00F369DF" w:rsidRPr="00A9251D" w:rsidRDefault="005765ED" w:rsidP="007B17C5">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we compared log-log and log-linear functional forms.</w:t>
                        </w:r>
                      </w:p>
                      <w:p w14:paraId="727C2924" w14:textId="2748C4DD" w:rsidR="00A9251D" w:rsidRPr="005765ED" w:rsidRDefault="00A9251D" w:rsidP="007B17C5">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r w:rsidR="002F6BFD">
                          <w:rPr>
                            <w:rFonts w:ascii="Times New Roman" w:eastAsia="Times New Roman" w:hAnsi="Times New Roman" w:cs="Times New Roman"/>
                            <w:color w:val="0E101A"/>
                            <w:sz w:val="20"/>
                            <w:szCs w:val="20"/>
                          </w:rPr>
                          <w:t>.</w:t>
                        </w:r>
                      </w:p>
                    </w:txbxContent>
                  </v:textbox>
                </v:rect>
                <v:shape id="Straight Arrow Connector 36" o:spid="_x0000_s1051" type="#_x0000_t32" style="position:absolute;left:17946;top:65179;width:0;height:5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anchorlock/>
              </v:group>
            </w:pict>
          </mc:Fallback>
        </mc:AlternateContent>
      </w:r>
    </w:p>
    <w:p w14:paraId="45D89206" w14:textId="77777777" w:rsidR="00741E45" w:rsidRDefault="00741E45" w:rsidP="00741E45">
      <w:pPr>
        <w:spacing w:after="120"/>
        <w:ind w:firstLine="142"/>
        <w:rPr>
          <w:b/>
          <w:bCs/>
          <w:color w:val="000033"/>
          <w:shd w:val="clear" w:color="auto" w:fill="FFFFFF"/>
        </w:rPr>
      </w:pPr>
    </w:p>
    <w:p w14:paraId="4530353F" w14:textId="7A65BBDF" w:rsidR="00F369DF" w:rsidRDefault="00F369DF" w:rsidP="00741E45">
      <w:pPr>
        <w:spacing w:after="120"/>
        <w:ind w:firstLine="142"/>
        <w:rPr>
          <w:b/>
          <w:bCs/>
          <w:color w:val="000033"/>
          <w:shd w:val="clear" w:color="auto" w:fill="FFFFFF"/>
        </w:rPr>
      </w:pPr>
      <w:r w:rsidRPr="00982D8E">
        <w:rPr>
          <w:b/>
          <w:bCs/>
          <w:color w:val="000033"/>
          <w:shd w:val="clear" w:color="auto" w:fill="FFFFFF"/>
        </w:rPr>
        <w:t xml:space="preserve">Figure </w:t>
      </w:r>
      <w:r w:rsidR="00982D8E" w:rsidRPr="00982D8E">
        <w:rPr>
          <w:b/>
          <w:bCs/>
          <w:color w:val="000033"/>
          <w:shd w:val="clear" w:color="auto" w:fill="FFFFFF"/>
        </w:rPr>
        <w:t xml:space="preserve">2 </w:t>
      </w:r>
      <w:r w:rsidRPr="00982D8E">
        <w:rPr>
          <w:b/>
          <w:bCs/>
          <w:color w:val="000033"/>
          <w:shd w:val="clear" w:color="auto" w:fill="FFFFFF"/>
        </w:rPr>
        <w:t>Wetland ecosystem service value evaluation flowchart</w:t>
      </w:r>
    </w:p>
    <w:p w14:paraId="2BE56288" w14:textId="77777777" w:rsidR="00741E45" w:rsidRDefault="00741E45" w:rsidP="00741E45">
      <w:pPr>
        <w:spacing w:after="120"/>
        <w:ind w:firstLine="142"/>
        <w:rPr>
          <w:rFonts w:ascii="Verdana" w:hAnsi="Verdana"/>
          <w:color w:val="000033"/>
          <w:sz w:val="17"/>
          <w:szCs w:val="17"/>
          <w:shd w:val="clear" w:color="auto" w:fill="FFFFFF"/>
        </w:rPr>
      </w:pP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A1506BB"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496B9EBF"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p>
    <w:p w14:paraId="031515A9" w14:textId="52B364CF" w:rsidR="0092049C" w:rsidRDefault="003968AF" w:rsidP="0092049C">
      <w:pPr>
        <w:pStyle w:val="NormalWeb"/>
        <w:spacing w:before="0" w:beforeAutospacing="0" w:after="0" w:afterAutospacing="0" w:line="480" w:lineRule="auto"/>
        <w:ind w:firstLine="720"/>
        <w:rPr>
          <w:color w:val="0E101A"/>
        </w:rPr>
      </w:pPr>
      <w:bookmarkStart w:id="4" w:name="_Hlk74149561"/>
      <w:r>
        <w:rPr>
          <w:color w:val="0E101A"/>
        </w:rPr>
        <w:t>Agricultural</w:t>
      </w:r>
      <w:r w:rsidR="00D76DE5">
        <w:rPr>
          <w:color w:val="0E101A"/>
        </w:rPr>
        <w:t xml:space="preserve"> productivity </w:t>
      </w:r>
      <w:r w:rsidR="004129DF">
        <w:rPr>
          <w:color w:val="0E101A"/>
        </w:rPr>
        <w:t>(</w:t>
      </w:r>
      <w:proofErr w:type="spellStart"/>
      <w:r w:rsidR="004129DF">
        <w:rPr>
          <w:color w:val="0E101A"/>
        </w:rPr>
        <w:t>AgTFP</w:t>
      </w:r>
      <w:proofErr w:type="spellEnd"/>
      <w:r w:rsidR="004129DF">
        <w:rPr>
          <w:color w:val="0E101A"/>
        </w:rPr>
        <w:t xml:space="preserve">) </w:t>
      </w:r>
      <w:r w:rsidR="001409D4">
        <w:rPr>
          <w:color w:val="0E101A"/>
        </w:rPr>
        <w:t xml:space="preserve">is the average value of crops and livestock produced in relation to the total cost of inputs </w:t>
      </w:r>
      <w:r>
        <w:rPr>
          <w:color w:val="0E101A"/>
        </w:rPr>
        <w:t>(land, labor, capital, and material resources</w:t>
      </w:r>
      <w:r w:rsidR="0093522A">
        <w:rPr>
          <w:color w:val="0E101A"/>
        </w:rPr>
        <w:t>)</w:t>
      </w:r>
      <w:r>
        <w:rPr>
          <w:color w:val="0E101A"/>
        </w:rPr>
        <w:t xml:space="preserve"> used in the</w:t>
      </w:r>
      <w:r w:rsidR="001409D4">
        <w:rPr>
          <w:color w:val="0E101A"/>
        </w:rPr>
        <w:t>ir</w:t>
      </w:r>
      <w:r>
        <w:rPr>
          <w:color w:val="0E101A"/>
        </w:rPr>
        <w:t xml:space="preserve"> production</w:t>
      </w:r>
      <w:r w:rsidR="00C24AC0">
        <w:rPr>
          <w:color w:val="0E101A"/>
        </w:rPr>
        <w:t xml:space="preserve">; </w:t>
      </w:r>
      <w:r w:rsidR="004129DF">
        <w:rPr>
          <w:color w:val="0E101A"/>
        </w:rPr>
        <w:t xml:space="preserve">we captured </w:t>
      </w:r>
      <w:proofErr w:type="spellStart"/>
      <w:r w:rsidR="004129DF">
        <w:rPr>
          <w:color w:val="0E101A"/>
        </w:rPr>
        <w:t>AgTFP</w:t>
      </w:r>
      <w:proofErr w:type="spellEnd"/>
      <w:r w:rsidR="004129DF">
        <w:rPr>
          <w:color w:val="0E101A"/>
        </w:rPr>
        <w:t xml:space="preserve"> with the total factor productivity index that measured the “average productivity of all the factors used the production of agricultural </w:t>
      </w:r>
      <w:r w:rsidR="00307CC6">
        <w:rPr>
          <w:color w:val="0E101A"/>
        </w:rPr>
        <w:t>commodities” (</w:t>
      </w:r>
      <w:r>
        <w:rPr>
          <w:color w:val="0E101A"/>
        </w:rPr>
        <w:t xml:space="preserve">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 xml:space="preserve">efficient agricultural production system which </w:t>
      </w:r>
      <w:r w:rsidR="00982C8F">
        <w:rPr>
          <w:color w:val="0E101A"/>
        </w:rPr>
        <w:lastRenderedPageBreak/>
        <w:t>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4"/>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03F74A2"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w:t>
      </w:r>
      <w:proofErr w:type="gramStart"/>
      <w:r w:rsidR="005B78CB">
        <w:rPr>
          <w:color w:val="0E101A"/>
        </w:rPr>
        <w:t xml:space="preserve">. </w:t>
      </w:r>
      <w:r w:rsidR="003968AF">
        <w:rPr>
          <w:color w:val="0E101A"/>
        </w:rPr>
        <w:t xml:space="preserve"> </w:t>
      </w:r>
      <w:proofErr w:type="gramEnd"/>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t>converted to another land use</w:t>
      </w:r>
      <w:r>
        <w:rPr>
          <w:color w:val="0E101A"/>
        </w:rPr>
        <w:t xml:space="preserve">. This policy is expected to help conserve wetlands, and hence </w:t>
      </w:r>
      <w:r>
        <w:rPr>
          <w:color w:val="0E101A"/>
        </w:rPr>
        <w:lastRenderedPageBreak/>
        <w:t xml:space="preserve">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E9CB3C5"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w:t>
      </w:r>
      <w:r w:rsidR="00B03B1F" w:rsidRPr="00731FC4">
        <w:rPr>
          <w:color w:val="0E101A"/>
        </w:rPr>
        <w:lastRenderedPageBreak/>
        <w:t xml:space="preserve">and </w:t>
      </w:r>
      <w:proofErr w:type="spellStart"/>
      <w:r w:rsidR="00B03B1F" w:rsidRPr="00731FC4">
        <w:rPr>
          <w:color w:val="0E101A"/>
        </w:rPr>
        <w:t>Lanzanova</w:t>
      </w:r>
      <w:proofErr w:type="spellEnd"/>
      <w:r w:rsidR="00B03B1F" w:rsidRPr="00731FC4">
        <w:rPr>
          <w:color w:val="0E101A"/>
        </w:rPr>
        <w:t xml:space="preserve">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2E38C7">
        <w:trPr>
          <w:trHeight w:val="972"/>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77777777" w:rsidR="002E38C7" w:rsidRPr="00AC11AC" w:rsidRDefault="002E38C7" w:rsidP="002E38C7">
      <w:pPr>
        <w:spacing w:after="120"/>
        <w:rPr>
          <w:sz w:val="22"/>
          <w:szCs w:val="22"/>
        </w:rPr>
      </w:pPr>
      <w:r>
        <w:rPr>
          <w:b/>
        </w:rPr>
        <w:t>Table 1</w:t>
      </w:r>
      <w:r w:rsidRPr="00704B4F">
        <w:rPr>
          <w:b/>
        </w:rPr>
        <w:t xml:space="preserve"> </w:t>
      </w:r>
      <w:r>
        <w:rPr>
          <w:b/>
        </w:rPr>
        <w:t>Descriptions of v</w:t>
      </w:r>
      <w:r w:rsidRPr="00704B4F">
        <w:rPr>
          <w:b/>
        </w:rPr>
        <w:t>ariable</w:t>
      </w:r>
      <w:r>
        <w:rPr>
          <w:b/>
        </w:rPr>
        <w:t>s used in 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footerReference w:type="default" r:id="rId13"/>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4436FC95"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are supported by a more comprehensive conservation policy framework</w:t>
      </w:r>
      <w:proofErr w:type="gramStart"/>
      <w:r w:rsidR="008B010B">
        <w:t xml:space="preserve">. </w:t>
      </w:r>
      <w:r w:rsidR="0094093F">
        <w:t xml:space="preserve"> </w:t>
      </w:r>
      <w:proofErr w:type="gramEnd"/>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5"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5"/>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15010B23"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2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rsidRPr="00B67EED">
        <w:t xml:space="preserve">In this section </w:t>
      </w:r>
      <w:bookmarkStart w:id="6" w:name="_Hlk88532075"/>
      <w:r w:rsidRPr="00B67EED">
        <w:t xml:space="preserve">we discuss the </w:t>
      </w:r>
      <w:r w:rsidR="00AF1E4D" w:rsidRPr="00B67EED">
        <w:t>factors th</w:t>
      </w:r>
      <w:r w:rsidR="007C4352" w:rsidRPr="00B67EED">
        <w:t xml:space="preserve">at </w:t>
      </w:r>
      <w:r w:rsidR="00AF1E4D" w:rsidRPr="00B67EED">
        <w:t>influence regulating and provisioning ecosystem services on agricultural landscapes</w:t>
      </w:r>
      <w:bookmarkEnd w:id="6"/>
      <w:r w:rsidR="00AF1E4D" w:rsidRPr="00B67EED">
        <w:t>. First, we discuss</w:t>
      </w:r>
      <w:r w:rsidR="00AF1E4D">
        <w:t xml:space="preserve">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6762881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7D6934C2" w:rsidR="00D22CDC" w:rsidRDefault="00EA34B9" w:rsidP="005C189E">
      <w:pPr>
        <w:spacing w:after="240" w:line="480" w:lineRule="auto"/>
        <w:ind w:firstLine="720"/>
      </w:pPr>
      <w:r w:rsidRPr="00B67EED">
        <w:lastRenderedPageBreak/>
        <w:t>P</w:t>
      </w:r>
      <w:r w:rsidR="009B5A0C" w:rsidRPr="00B67EED">
        <w:t>opulation density</w:t>
      </w:r>
      <w:r w:rsidR="00656A27" w:rsidRPr="00B67EED">
        <w:t xml:space="preserve"> and high-income both </w:t>
      </w:r>
      <w:r w:rsidR="003761A0" w:rsidRPr="00B67EED">
        <w:t xml:space="preserve">had </w:t>
      </w:r>
      <w:r w:rsidR="00656A27" w:rsidRPr="00B67EED">
        <w:t xml:space="preserve">positive effects on the </w:t>
      </w:r>
      <w:r w:rsidR="00C1486E" w:rsidRPr="00B67EED">
        <w:t>provision</w:t>
      </w:r>
      <w:r w:rsidR="003761A0" w:rsidRPr="00B67EED">
        <w:t>ing</w:t>
      </w:r>
      <w:r w:rsidR="00656A27" w:rsidRPr="00B67EED">
        <w:t xml:space="preserve"> wetland values</w:t>
      </w:r>
      <w:r w:rsidR="003B70F7" w:rsidRPr="00B67EED">
        <w:t xml:space="preserve">, which </w:t>
      </w:r>
      <w:r w:rsidR="003761A0" w:rsidRPr="00B67EED">
        <w:t xml:space="preserve">were </w:t>
      </w:r>
      <w:r w:rsidR="003B70F7" w:rsidRPr="00B67EED">
        <w:t>significant at the 10% and 5% levels, respectively</w:t>
      </w:r>
      <w:r w:rsidR="00847B68" w:rsidRPr="00B67EED">
        <w:t xml:space="preserve"> (Table 3)</w:t>
      </w:r>
      <w:r w:rsidR="00336477" w:rsidRPr="00B67EED">
        <w:t xml:space="preserve">. The estimated coefficient of </w:t>
      </w:r>
      <w:r w:rsidR="00850DB2" w:rsidRPr="00B67EED">
        <w:t xml:space="preserve">human </w:t>
      </w:r>
      <w:r w:rsidR="00336477" w:rsidRPr="00B67EED">
        <w:t>population density means that a</w:t>
      </w:r>
      <w:r w:rsidR="00656A27" w:rsidRPr="00B67EED">
        <w:t xml:space="preserve"> 1% increase in</w:t>
      </w:r>
      <w:r w:rsidR="00336477" w:rsidRPr="00B67EED">
        <w:t xml:space="preserve"> </w:t>
      </w:r>
      <w:r w:rsidR="004D7195" w:rsidRPr="00B67EED">
        <w:t>density</w:t>
      </w:r>
      <w:r w:rsidR="00336477" w:rsidRPr="00B67EED">
        <w:t xml:space="preserve"> </w:t>
      </w:r>
      <w:r w:rsidR="00656A27" w:rsidRPr="00B67EED">
        <w:t xml:space="preserve">will </w:t>
      </w:r>
      <w:r w:rsidR="003761A0" w:rsidRPr="00B67EED">
        <w:t xml:space="preserve">result in </w:t>
      </w:r>
      <w:r w:rsidR="00656A27" w:rsidRPr="00B67EED">
        <w:t xml:space="preserve">a </w:t>
      </w:r>
      <w:commentRangeStart w:id="7"/>
      <w:commentRangeStart w:id="8"/>
      <w:r w:rsidR="00336477" w:rsidRPr="00B67EED">
        <w:t>$</w:t>
      </w:r>
      <w:r w:rsidR="00656A27" w:rsidRPr="00B67EED">
        <w:t>0.0004</w:t>
      </w:r>
      <w:r w:rsidR="00415EB2">
        <w:t>/ha/year</w:t>
      </w:r>
      <w:r w:rsidR="00656A27" w:rsidRPr="00B67EED">
        <w:t xml:space="preserve"> </w:t>
      </w:r>
      <w:commentRangeEnd w:id="7"/>
      <w:r w:rsidR="005B449A" w:rsidRPr="00B67EED">
        <w:rPr>
          <w:rStyle w:val="CommentReference"/>
          <w:rFonts w:ascii="Liberation Serif" w:eastAsia="SimSun" w:hAnsi="Liberation Serif" w:cs="Mangal"/>
          <w:kern w:val="3"/>
          <w:lang w:eastAsia="zh-CN" w:bidi="hi-IN"/>
        </w:rPr>
        <w:commentReference w:id="7"/>
      </w:r>
      <w:commentRangeEnd w:id="8"/>
      <w:r w:rsidR="00B8296C" w:rsidRPr="00B67EED">
        <w:rPr>
          <w:rStyle w:val="CommentReference"/>
          <w:rFonts w:ascii="Liberation Serif" w:eastAsia="SimSun" w:hAnsi="Liberation Serif" w:cs="Mangal"/>
          <w:kern w:val="3"/>
          <w:lang w:eastAsia="zh-CN" w:bidi="hi-IN"/>
        </w:rPr>
        <w:commentReference w:id="8"/>
      </w:r>
      <w:r w:rsidR="00656A27" w:rsidRPr="00B67EED">
        <w:t xml:space="preserve">increase in </w:t>
      </w:r>
      <w:r w:rsidR="00C1486E" w:rsidRPr="00B67EED">
        <w:t>provision</w:t>
      </w:r>
      <w:r w:rsidR="003761A0" w:rsidRPr="00B67EED">
        <w:t>ing</w:t>
      </w:r>
      <w:r w:rsidR="00336477" w:rsidRPr="00B67EED">
        <w:t xml:space="preserve"> wetland value; similarly, wetland</w:t>
      </w:r>
      <w:r w:rsidR="004D7195" w:rsidRPr="00B67EED">
        <w:t>s</w:t>
      </w:r>
      <w:r w:rsidR="00336477" w:rsidRPr="00B67EED">
        <w:t xml:space="preserve"> located in a high-income country would have about $</w:t>
      </w:r>
      <w:r w:rsidR="00430E34" w:rsidRPr="00B67EED">
        <w:t>2.324</w:t>
      </w:r>
      <w:r w:rsidR="00415EB2">
        <w:t>/ha/year</w:t>
      </w:r>
      <w:r w:rsidR="00336477" w:rsidRPr="00B67EED">
        <w:t xml:space="preserve"> more </w:t>
      </w:r>
      <w:r w:rsidR="00C1486E" w:rsidRPr="00B67EED">
        <w:t>provision</w:t>
      </w:r>
      <w:r w:rsidR="003761A0" w:rsidRPr="00B67EED">
        <w:t>ing</w:t>
      </w:r>
      <w:r w:rsidR="00336477" w:rsidRPr="00B67EED">
        <w:t xml:space="preserve"> value than those located in other income</w:t>
      </w:r>
      <w:r w:rsidR="00336477">
        <w:t xml:space="preserv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$0.028</w:t>
      </w:r>
      <w:r w:rsidR="00415EB2">
        <w:t>/ha/year</w:t>
      </w:r>
      <w:r w:rsidR="00336477">
        <w:t xml:space="preserve">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rsidR="00BB37FD">
        <w:t>/ha/year</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 xml:space="preserve">model are about </w:t>
      </w:r>
      <w:bookmarkStart w:id="9" w:name="_Hlk88526379"/>
      <w:r w:rsidRPr="00103907">
        <w:t>0.7</w:t>
      </w:r>
      <w:r w:rsidR="00C339F0" w:rsidRPr="00103907">
        <w:t>1</w:t>
      </w:r>
      <w:r w:rsidRPr="00103907">
        <w:t xml:space="preserve"> and 0.</w:t>
      </w:r>
      <w:r w:rsidR="00F17995" w:rsidRPr="00103907">
        <w:t>70</w:t>
      </w:r>
      <w:r w:rsidRPr="00103907">
        <w:t xml:space="preserve"> lower </w:t>
      </w:r>
      <w:bookmarkEnd w:id="9"/>
      <w:r w:rsidRPr="00103907">
        <w:t>(for root mean square and mean absolute error statistics, respectively) than the mean</w:t>
      </w:r>
      <w:r w:rsidR="00A9251D">
        <w:t xml:space="preserve"> unit </w:t>
      </w:r>
      <w:r w:rsidRPr="00103907">
        <w:t>value transfer errors.</w:t>
      </w:r>
      <w:r>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43B2B775" w14:textId="5B8BBDC2" w:rsidR="00452BC5" w:rsidRDefault="007C4352">
      <w:r w:rsidRPr="00AE7D49">
        <w:rPr>
          <w:b/>
          <w:bCs/>
        </w:rPr>
        <w:t>Table 3 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r w:rsidR="00452BC5">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E14CBEA"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4BB5756E"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The </w:t>
      </w:r>
      <w:bookmarkStart w:id="10" w:name="_Hlk88526565"/>
      <w:r w:rsidR="00652D24">
        <w:t xml:space="preserve">meta-regression benefit transfer errors </w:t>
      </w:r>
      <w:r w:rsidR="00652D24" w:rsidRPr="000247B6">
        <w:t xml:space="preserve">are about </w:t>
      </w:r>
      <w:r w:rsidR="00652D24" w:rsidRPr="000247B6">
        <w:lastRenderedPageBreak/>
        <w:t>3.00 and 1.85 lower (for root</w:t>
      </w:r>
      <w:r w:rsidR="00652D24">
        <w:t xml:space="preserve"> mean square and mean absolute error statistics, respectively) than the mean</w:t>
      </w:r>
      <w:r w:rsidR="00A9251D">
        <w:t xml:space="preserve"> unit </w:t>
      </w:r>
      <w:r w:rsidR="00652D24">
        <w:t>value transfer errors</w:t>
      </w:r>
      <w:bookmarkEnd w:id="10"/>
      <w:r w:rsidR="003F2533">
        <w:t>.</w:t>
      </w:r>
      <w:r w:rsidR="00331916">
        <w:t xml:space="preserve"> </w:t>
      </w:r>
      <w:r w:rsidR="00012A29">
        <w:t>The results above are provided in Table 4.</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77777777" w:rsidR="007C4352" w:rsidRPr="00404CBD" w:rsidRDefault="007C4352" w:rsidP="00404CBD">
      <w:pPr>
        <w:pStyle w:val="NoSpacing"/>
        <w:rPr>
          <w:b/>
          <w:bCs/>
        </w:rPr>
      </w:pPr>
      <w:r w:rsidRPr="00404CBD">
        <w:rPr>
          <w:b/>
          <w:bCs/>
        </w:rPr>
        <w:t xml:space="preserve">Table 4 Regulating meta-regression model results  </w:t>
      </w:r>
    </w:p>
    <w:p w14:paraId="5B1DAF65" w14:textId="2FE8E321" w:rsidR="00072843" w:rsidRPr="00BD7F8F" w:rsidRDefault="00072843">
      <w:pPr>
        <w:rPr>
          <w:sz w:val="20"/>
          <w:szCs w:val="20"/>
        </w:rPr>
      </w:pPr>
      <w:r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0B8C9C36"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w:t>
      </w:r>
      <w:r w:rsidR="00084621" w:rsidRPr="00B8296C">
        <w:rPr>
          <w:color w:val="0E101A"/>
        </w:rPr>
        <w:t xml:space="preserve">er of people could benefit from </w:t>
      </w:r>
      <w:r w:rsidR="009A5340" w:rsidRPr="00B8296C">
        <w:rPr>
          <w:color w:val="0E101A"/>
        </w:rPr>
        <w:t xml:space="preserve">local </w:t>
      </w:r>
      <w:r w:rsidR="00084621" w:rsidRPr="00B8296C">
        <w:rPr>
          <w:color w:val="0E101A"/>
        </w:rPr>
        <w:t>wetland services</w:t>
      </w:r>
      <w:r w:rsidR="00DF36B5" w:rsidRPr="00B8296C">
        <w:rPr>
          <w:color w:val="0E101A"/>
        </w:rPr>
        <w:t xml:space="preserve"> with improved access to the wetland areas</w:t>
      </w:r>
      <w:r w:rsidR="00084621" w:rsidRPr="00B8296C">
        <w:rPr>
          <w:color w:val="0E101A"/>
        </w:rPr>
        <w:t xml:space="preserve">. </w:t>
      </w:r>
      <w:r w:rsidR="00404CBD" w:rsidRPr="00B8296C">
        <w:rPr>
          <w:color w:val="0E101A"/>
        </w:rPr>
        <w:t>Henceforth, wetlands are in respect to those found on agricultural landscapes.</w:t>
      </w:r>
      <w:r w:rsidR="00404CBD">
        <w:rPr>
          <w:color w:val="0E101A"/>
        </w:rPr>
        <w:t xml:space="preserve"> </w:t>
      </w:r>
    </w:p>
    <w:p w14:paraId="397D6FBD" w14:textId="0FE95820" w:rsidR="009A4ABE" w:rsidRPr="00B8296C"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w:t>
      </w:r>
      <w:r w:rsidR="009A4ABE" w:rsidRPr="00B8296C">
        <w:rPr>
          <w:color w:val="0E101A"/>
        </w:rPr>
        <w:t xml:space="preserve">including wetlands </w:t>
      </w:r>
      <w:r w:rsidR="00340DEF" w:rsidRPr="00B8296C">
        <w:rPr>
          <w:color w:val="0E101A"/>
        </w:rPr>
        <w:t>(</w:t>
      </w:r>
      <w:proofErr w:type="spellStart"/>
      <w:r w:rsidR="009A4ABE" w:rsidRPr="00B8296C">
        <w:rPr>
          <w:color w:val="0E101A"/>
        </w:rPr>
        <w:t>Mitsch</w:t>
      </w:r>
      <w:proofErr w:type="spellEnd"/>
      <w:r w:rsidR="009A4ABE" w:rsidRPr="00B8296C">
        <w:rPr>
          <w:color w:val="0E101A"/>
        </w:rPr>
        <w:t xml:space="preserve"> and </w:t>
      </w:r>
      <w:proofErr w:type="spellStart"/>
      <w:r w:rsidR="009A4ABE" w:rsidRPr="00B8296C">
        <w:rPr>
          <w:color w:val="0E101A"/>
        </w:rPr>
        <w:t>Gosselink</w:t>
      </w:r>
      <w:proofErr w:type="spellEnd"/>
      <w:r w:rsidR="009A4ABE" w:rsidRPr="00B8296C">
        <w:rPr>
          <w:color w:val="0E101A"/>
        </w:rPr>
        <w:t xml:space="preserve"> 2000)</w:t>
      </w:r>
      <w:r w:rsidR="00E2299B" w:rsidRPr="00B8296C">
        <w:rPr>
          <w:color w:val="0E101A"/>
        </w:rPr>
        <w:t>.</w:t>
      </w:r>
      <w:r w:rsidR="009A4ABE" w:rsidRPr="00B8296C">
        <w:rPr>
          <w:color w:val="0E101A"/>
        </w:rPr>
        <w:t xml:space="preserve"> </w:t>
      </w:r>
    </w:p>
    <w:p w14:paraId="1DC80454" w14:textId="58170436" w:rsidR="00434B77" w:rsidRDefault="000B4A4B" w:rsidP="00E574BE">
      <w:pPr>
        <w:pStyle w:val="NormalWeb"/>
        <w:spacing w:before="0" w:beforeAutospacing="0" w:after="0" w:afterAutospacing="0" w:line="480" w:lineRule="auto"/>
        <w:ind w:firstLine="720"/>
        <w:rPr>
          <w:color w:val="0E101A"/>
        </w:rPr>
      </w:pPr>
      <w:r>
        <w:rPr>
          <w:color w:val="0E101A"/>
        </w:rPr>
        <w:t>We showed that a</w:t>
      </w:r>
      <w:r w:rsidR="00B2709D" w:rsidRPr="00B8296C">
        <w:rPr>
          <w:color w:val="0E101A"/>
        </w:rPr>
        <w:t xml:space="preserve">gricultural total factor productivity </w:t>
      </w:r>
      <w:r w:rsidR="00340DEF" w:rsidRPr="00B8296C">
        <w:rPr>
          <w:color w:val="0E101A"/>
        </w:rPr>
        <w:t>(</w:t>
      </w:r>
      <w:proofErr w:type="spellStart"/>
      <w:r w:rsidR="00DF36B5" w:rsidRPr="00B8296C">
        <w:rPr>
          <w:color w:val="0E101A"/>
        </w:rPr>
        <w:t>AgTFP</w:t>
      </w:r>
      <w:proofErr w:type="spellEnd"/>
      <w:r w:rsidR="00340DEF" w:rsidRPr="00B8296C">
        <w:rPr>
          <w:color w:val="0E101A"/>
        </w:rPr>
        <w:t xml:space="preserve">) </w:t>
      </w:r>
      <w:r w:rsidR="00B2709D" w:rsidRPr="00B8296C">
        <w:rPr>
          <w:color w:val="0E101A"/>
        </w:rPr>
        <w:t xml:space="preserve">has a positive impact on </w:t>
      </w:r>
      <w:r w:rsidR="00E2299B" w:rsidRPr="00B8296C">
        <w:rPr>
          <w:color w:val="0E101A"/>
        </w:rPr>
        <w:t xml:space="preserve">regulating </w:t>
      </w:r>
      <w:r w:rsidR="00B2709D" w:rsidRPr="00B8296C">
        <w:rPr>
          <w:color w:val="0E101A"/>
        </w:rPr>
        <w:t>wetland values and a negative effect on provision</w:t>
      </w:r>
      <w:r w:rsidR="00E2299B" w:rsidRPr="00B8296C">
        <w:rPr>
          <w:color w:val="0E101A"/>
        </w:rPr>
        <w:t>ing</w:t>
      </w:r>
      <w:r w:rsidR="00B2709D" w:rsidRPr="00B8296C">
        <w:rPr>
          <w:color w:val="0E101A"/>
        </w:rPr>
        <w:t xml:space="preserve"> wetland values</w:t>
      </w:r>
      <w:r w:rsidR="00DE5876" w:rsidRPr="00B8296C">
        <w:rPr>
          <w:color w:val="0E101A"/>
        </w:rPr>
        <w:t xml:space="preserve">. </w:t>
      </w:r>
      <w:r w:rsidR="00B2709D" w:rsidRPr="00B8296C">
        <w:rPr>
          <w:color w:val="0E101A"/>
        </w:rPr>
        <w:t>A</w:t>
      </w:r>
      <w:r w:rsidR="00E574BE" w:rsidRPr="00B8296C">
        <w:rPr>
          <w:color w:val="0E101A"/>
        </w:rPr>
        <w:t xml:space="preserve"> positive change in </w:t>
      </w:r>
      <w:proofErr w:type="spellStart"/>
      <w:r w:rsidR="00B2709D" w:rsidRPr="00B8296C">
        <w:rPr>
          <w:color w:val="0E101A"/>
        </w:rPr>
        <w:t>AgTFP</w:t>
      </w:r>
      <w:proofErr w:type="spellEnd"/>
      <w:r w:rsidR="00B2709D" w:rsidRPr="00B8296C">
        <w:rPr>
          <w:color w:val="0E101A"/>
        </w:rPr>
        <w:t xml:space="preserve"> </w:t>
      </w:r>
      <w:r w:rsidR="00340DEF" w:rsidRPr="00B8296C">
        <w:rPr>
          <w:color w:val="0E101A"/>
        </w:rPr>
        <w:t>implies</w:t>
      </w:r>
      <w:r w:rsidR="00E574BE" w:rsidRPr="00B8296C">
        <w:rPr>
          <w:color w:val="0E101A"/>
        </w:rPr>
        <w:t xml:space="preserve"> </w:t>
      </w:r>
      <w:r w:rsidR="00D4711A" w:rsidRPr="00B8296C">
        <w:rPr>
          <w:color w:val="0E101A"/>
        </w:rPr>
        <w:t xml:space="preserve">a more efficient agricultural production system where </w:t>
      </w:r>
      <w:r w:rsidR="00E2299B" w:rsidRPr="00B8296C">
        <w:rPr>
          <w:color w:val="0E101A"/>
        </w:rPr>
        <w:t xml:space="preserve">relatively less </w:t>
      </w:r>
      <w:r w:rsidR="00E574BE" w:rsidRPr="00B8296C">
        <w:rPr>
          <w:color w:val="0E101A"/>
        </w:rPr>
        <w:t xml:space="preserve">inputs </w:t>
      </w:r>
      <w:r w:rsidR="00537287" w:rsidRPr="00B8296C">
        <w:rPr>
          <w:color w:val="0E101A"/>
        </w:rPr>
        <w:t xml:space="preserve">(including agricultural land) </w:t>
      </w:r>
      <w:r w:rsidR="002D0A13" w:rsidRPr="00B8296C">
        <w:rPr>
          <w:color w:val="0E101A"/>
        </w:rPr>
        <w:t>are</w:t>
      </w:r>
      <w:r w:rsidR="00E574BE" w:rsidRPr="00B8296C">
        <w:rPr>
          <w:color w:val="0E101A"/>
        </w:rPr>
        <w:t xml:space="preserve"> </w:t>
      </w:r>
      <w:r w:rsidR="00E2299B" w:rsidRPr="00B8296C">
        <w:rPr>
          <w:color w:val="0E101A"/>
        </w:rPr>
        <w:t xml:space="preserve">required </w:t>
      </w:r>
      <w:r w:rsidR="00E574BE" w:rsidRPr="00B8296C">
        <w:rPr>
          <w:color w:val="0E101A"/>
        </w:rPr>
        <w:t xml:space="preserve">to produce </w:t>
      </w:r>
      <w:r w:rsidR="00E2299B" w:rsidRPr="00B8296C">
        <w:rPr>
          <w:color w:val="0E101A"/>
        </w:rPr>
        <w:t>equivalent</w:t>
      </w:r>
      <w:r w:rsidR="00E2299B">
        <w:rPr>
          <w:color w:val="0E101A"/>
        </w:rPr>
        <w:t xml:space="preserve">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w:t>
      </w:r>
      <w:r w:rsidR="009D777A" w:rsidRPr="00EE0846">
        <w:rPr>
          <w:color w:val="0E101A"/>
        </w:rPr>
        <w:lastRenderedPageBreak/>
        <w:t xml:space="preserve">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 </w:t>
      </w:r>
    </w:p>
    <w:p w14:paraId="6C10C94E" w14:textId="09BE69AC"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w:t>
      </w:r>
      <w:r w:rsidR="00C07B7C">
        <w:rPr>
          <w:color w:val="0E101A"/>
        </w:rPr>
        <w:t>wetland</w:t>
      </w:r>
      <w:r>
        <w:rPr>
          <w:color w:val="0E101A"/>
        </w:rPr>
        <w:t xml:space="preserv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6F1C065"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proofErr w:type="gramStart"/>
      <w:r w:rsidR="00EE0846" w:rsidRPr="00A80CD7">
        <w:rPr>
          <w:color w:val="0E101A"/>
        </w:rPr>
        <w:t>.</w:t>
      </w:r>
      <w:r w:rsidR="00EE0846">
        <w:rPr>
          <w:color w:val="0E101A"/>
        </w:rPr>
        <w:t xml:space="preserve">  </w:t>
      </w:r>
      <w:proofErr w:type="gramEnd"/>
    </w:p>
    <w:p w14:paraId="6004B2D0" w14:textId="77777777" w:rsidR="00EC0AD3" w:rsidRDefault="00EC0AD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0D95D86" w14:textId="77777777" w:rsidR="000B4A4B" w:rsidRDefault="002D0A13" w:rsidP="000B4A4B">
      <w:pPr>
        <w:spacing w:line="480" w:lineRule="auto"/>
        <w:ind w:firstLine="720"/>
      </w:pPr>
      <w:r>
        <w:rPr>
          <w:color w:val="0E101A"/>
        </w:rPr>
        <w:lastRenderedPageBreak/>
        <w:t>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Pr="003D7C67">
        <w:rPr>
          <w:color w:val="0E101A"/>
        </w:rPr>
        <w:t>ower</w:t>
      </w:r>
      <w:r w:rsidR="00593FA7" w:rsidRPr="003D7C67">
        <w:rPr>
          <w:color w:val="0E101A"/>
        </w:rPr>
        <w:t xml:space="preserve"> prediction errors than </w:t>
      </w:r>
      <w:r w:rsidRPr="003D7C67">
        <w:rPr>
          <w:color w:val="0E101A"/>
        </w:rPr>
        <w:t xml:space="preserve">do </w:t>
      </w:r>
      <w:r w:rsidR="00EC0AD3">
        <w:rPr>
          <w:color w:val="0E101A"/>
        </w:rPr>
        <w:t>unit value</w:t>
      </w:r>
      <w:r w:rsidR="00593FA7" w:rsidRPr="003D7C67">
        <w:rPr>
          <w:color w:val="0E101A"/>
        </w:rPr>
        <w:t xml:space="preserve"> </w:t>
      </w:r>
      <w:r w:rsidR="00A41B50" w:rsidRPr="00B8296C">
        <w:rPr>
          <w:color w:val="0E101A"/>
        </w:rPr>
        <w:t xml:space="preserve">benefit transfer </w:t>
      </w:r>
      <w:r w:rsidR="00593FA7" w:rsidRPr="00B8296C">
        <w:rPr>
          <w:color w:val="0E101A"/>
        </w:rPr>
        <w:t>method</w:t>
      </w:r>
      <w:r w:rsidRPr="00B8296C">
        <w:rPr>
          <w:color w:val="0E101A"/>
        </w:rPr>
        <w:t>s</w:t>
      </w:r>
      <w:r w:rsidR="00593FA7" w:rsidRPr="00B8296C">
        <w:rPr>
          <w:color w:val="0E101A"/>
        </w:rPr>
        <w:t>.</w:t>
      </w:r>
      <w:r w:rsidR="00A41B50" w:rsidRPr="00B8296C">
        <w:rPr>
          <w:color w:val="0E101A"/>
        </w:rPr>
        <w:t xml:space="preserve"> Traditionally</w:t>
      </w:r>
      <w:r w:rsidR="005E1C15" w:rsidRPr="00B8296C">
        <w:rPr>
          <w:color w:val="0E101A"/>
        </w:rPr>
        <w:t>,</w:t>
      </w:r>
      <w:r w:rsidR="00A41B50" w:rsidRPr="00B8296C">
        <w:rPr>
          <w:color w:val="0E101A"/>
        </w:rPr>
        <w:t xml:space="preserve"> </w:t>
      </w:r>
      <w:r w:rsidR="00EC0AD3" w:rsidRPr="00B8296C">
        <w:rPr>
          <w:color w:val="0E101A"/>
        </w:rPr>
        <w:t xml:space="preserve">unit value </w:t>
      </w:r>
      <w:r w:rsidR="00A41B50" w:rsidRPr="00B8296C">
        <w:rPr>
          <w:color w:val="0E101A"/>
        </w:rPr>
        <w:t>benefit transfer approaches simply used mean values from relatively comparable wetland study sites to represent values for the target site.</w:t>
      </w:r>
      <w:r w:rsidR="005E17A0" w:rsidRPr="00B8296C">
        <w:rPr>
          <w:color w:val="0E101A"/>
        </w:rPr>
        <w:t xml:space="preserve"> </w:t>
      </w:r>
      <w:r w:rsidR="00E77610" w:rsidRPr="00B8296C">
        <w:rPr>
          <w:color w:val="0E101A"/>
        </w:rPr>
        <w:t xml:space="preserve">Even though unit benefit transfer is the easiest </w:t>
      </w:r>
      <w:r w:rsidR="00747ECE" w:rsidRPr="00B8296C">
        <w:rPr>
          <w:color w:val="0E101A"/>
        </w:rPr>
        <w:t xml:space="preserve">and cheapest benefit </w:t>
      </w:r>
      <w:r w:rsidR="00E77610" w:rsidRPr="00B8296C">
        <w:rPr>
          <w:color w:val="0E101A"/>
        </w:rPr>
        <w:t>method</w:t>
      </w:r>
      <w:r w:rsidR="00747ECE" w:rsidRPr="00B8296C">
        <w:rPr>
          <w:color w:val="0E101A"/>
        </w:rPr>
        <w:t xml:space="preserve">, it may produce unreliable transfers because the demographic and environmental resource location characteristics of the </w:t>
      </w:r>
      <w:r w:rsidR="00E210DC" w:rsidRPr="00B8296C">
        <w:rPr>
          <w:color w:val="0E101A"/>
        </w:rPr>
        <w:t xml:space="preserve">past studies </w:t>
      </w:r>
      <w:r w:rsidR="00747ECE" w:rsidRPr="00B8296C">
        <w:rPr>
          <w:color w:val="0E101A"/>
        </w:rPr>
        <w:t xml:space="preserve">and </w:t>
      </w:r>
      <w:r w:rsidR="00E210DC" w:rsidRPr="00B8296C">
        <w:rPr>
          <w:color w:val="0E101A"/>
        </w:rPr>
        <w:t xml:space="preserve">target </w:t>
      </w:r>
      <w:r w:rsidR="00747ECE" w:rsidRPr="00B8296C">
        <w:rPr>
          <w:color w:val="0E101A"/>
        </w:rPr>
        <w:t>sites may be significantly different</w:t>
      </w:r>
      <w:r w:rsidR="00EA3732" w:rsidRPr="00B8296C">
        <w:rPr>
          <w:color w:val="0E101A"/>
        </w:rPr>
        <w:t xml:space="preserve"> (Navrud and Ready 2007)</w:t>
      </w:r>
      <w:r w:rsidR="00747ECE" w:rsidRPr="00B8296C">
        <w:rPr>
          <w:color w:val="0E101A"/>
        </w:rPr>
        <w:t xml:space="preserve">. </w:t>
      </w:r>
      <w:r w:rsidR="007E22C6" w:rsidRPr="00B8296C">
        <w:rPr>
          <w:color w:val="0E101A"/>
        </w:rPr>
        <w:t xml:space="preserve">Meta-regression benefit transfer, which </w:t>
      </w:r>
      <w:r w:rsidR="00042107" w:rsidRPr="00B8296C">
        <w:t xml:space="preserve">uses rigorous quantitative methods to analyze multiple </w:t>
      </w:r>
      <w:r w:rsidR="007E22C6" w:rsidRPr="00B8296C">
        <w:t xml:space="preserve">environmental resource values from </w:t>
      </w:r>
      <w:r w:rsidR="00042107" w:rsidRPr="00B8296C">
        <w:t>empirical studies,</w:t>
      </w:r>
      <w:r w:rsidR="007E22C6" w:rsidRPr="00B8296C">
        <w:t xml:space="preserve"> accounts for demographic and </w:t>
      </w:r>
      <w:r w:rsidR="007E22C6" w:rsidRPr="00B8296C">
        <w:rPr>
          <w:color w:val="0E101A"/>
        </w:rPr>
        <w:t xml:space="preserve">environmental resource location characteristics of </w:t>
      </w:r>
      <w:r w:rsidR="00E210DC" w:rsidRPr="00B8296C">
        <w:t xml:space="preserve">past </w:t>
      </w:r>
      <w:r w:rsidR="007E22C6" w:rsidRPr="00B8296C">
        <w:t>stud</w:t>
      </w:r>
      <w:r w:rsidR="00B8296C" w:rsidRPr="00B8296C">
        <w:t>ies</w:t>
      </w:r>
      <w:r w:rsidR="007E22C6" w:rsidRPr="00B8296C">
        <w:t>; therefore, they</w:t>
      </w:r>
      <w:r w:rsidR="00B8296C" w:rsidRPr="00B8296C">
        <w:t xml:space="preserve"> may</w:t>
      </w:r>
      <w:r w:rsidR="007E22C6" w:rsidRPr="00B8296C">
        <w:t xml:space="preserve"> produce lower benefit transfer errors when the results are extrapolated to estimate environmental resource values at policy sites.</w:t>
      </w:r>
      <w:r w:rsidR="000B4A4B">
        <w:t xml:space="preserve"> </w:t>
      </w:r>
    </w:p>
    <w:p w14:paraId="2B4A4E62" w14:textId="5D4031FA" w:rsidR="00593FA7" w:rsidRPr="000B4A4B" w:rsidRDefault="00A41B50" w:rsidP="000B4A4B">
      <w:pPr>
        <w:spacing w:line="480" w:lineRule="auto"/>
        <w:ind w:firstLine="720"/>
      </w:pPr>
      <w:r w:rsidRPr="003D7C67">
        <w:rPr>
          <w:color w:val="0E101A"/>
        </w:rPr>
        <w:t>Our study applies a meta-regression model to tailor those values from comparable wetland study sites to more effectively develop values that represent the biophysical, social</w:t>
      </w:r>
      <w:r w:rsidR="00C07B7C">
        <w:rPr>
          <w:color w:val="0E101A"/>
        </w:rPr>
        <w:t>,</w:t>
      </w:r>
      <w:r w:rsidRPr="003D7C67">
        <w:rPr>
          <w:color w:val="0E101A"/>
        </w:rPr>
        <w:t xml:space="preserve"> and economic context of the</w:t>
      </w:r>
      <w:r w:rsidRPr="00A41B50">
        <w:rPr>
          <w:color w:val="0E101A"/>
        </w:rPr>
        <w:t xml:space="preserve"> wetlands</w:t>
      </w:r>
      <w:r>
        <w:rPr>
          <w:color w:val="0E101A"/>
        </w:rPr>
        <w:t xml:space="preserve">. </w:t>
      </w:r>
      <w:r w:rsidR="0036414A">
        <w:rPr>
          <w:color w:val="0E101A"/>
        </w:rPr>
        <w:t xml:space="preserve">In a review of 38 meta-regression valuation studies, </w:t>
      </w:r>
      <w:r w:rsidR="0036414A" w:rsidRPr="0036414A">
        <w:rPr>
          <w:color w:val="0E101A"/>
        </w:rPr>
        <w:t>Rosenberger (</w:t>
      </w:r>
      <w:hyperlink r:id="rId14" w:anchor="ref-CR56" w:tooltip="Rosen S (1974) Hedonic prices and implicit markets: product differentiation in pure competition. J Polit Econ 82:34–55" w:history="1">
        <w:r w:rsidR="0036414A" w:rsidRPr="0036414A">
          <w:rPr>
            <w:color w:val="0E101A"/>
          </w:rPr>
          <w:t>2015</w:t>
        </w:r>
      </w:hyperlink>
      <w:r w:rsidR="0036414A" w:rsidRPr="0036414A">
        <w:rPr>
          <w:color w:val="0E101A"/>
        </w:rPr>
        <w:t xml:space="preserve">) reports </w:t>
      </w:r>
      <w:r w:rsidR="001C2087">
        <w:rPr>
          <w:color w:val="0E101A"/>
        </w:rPr>
        <w:t xml:space="preserve">that </w:t>
      </w:r>
      <w:r w:rsidR="0036414A" w:rsidRPr="0036414A">
        <w:rPr>
          <w:color w:val="0E101A"/>
        </w:rPr>
        <w:t>the average</w:t>
      </w:r>
      <w:r w:rsidR="001C2087">
        <w:rPr>
          <w:color w:val="0E101A"/>
        </w:rPr>
        <w:t xml:space="preserve"> absolute percentage error (APE)</w:t>
      </w:r>
      <w:r w:rsidR="0036414A" w:rsidRPr="0036414A">
        <w:rPr>
          <w:color w:val="0E101A"/>
        </w:rPr>
        <w:t xml:space="preserve"> </w:t>
      </w:r>
      <w:r w:rsidR="001C2087">
        <w:rPr>
          <w:color w:val="0E101A"/>
        </w:rPr>
        <w:t xml:space="preserve">for </w:t>
      </w:r>
      <w:r w:rsidR="0036414A" w:rsidRPr="0036414A">
        <w:rPr>
          <w:color w:val="0E101A"/>
        </w:rPr>
        <w:t>meta-regression and mean</w:t>
      </w:r>
      <w:r w:rsidR="00A9251D">
        <w:rPr>
          <w:color w:val="0E101A"/>
        </w:rPr>
        <w:t xml:space="preserve"> unit </w:t>
      </w:r>
      <w:r w:rsidR="0036414A" w:rsidRPr="0036414A">
        <w:rPr>
          <w:color w:val="0E101A"/>
        </w:rPr>
        <w:t>value transfer</w:t>
      </w:r>
      <w:r w:rsidR="001C2087">
        <w:rPr>
          <w:color w:val="0E101A"/>
        </w:rPr>
        <w:t>s are</w:t>
      </w:r>
      <w:r w:rsidR="0036414A" w:rsidRPr="0036414A">
        <w:rPr>
          <w:color w:val="0E101A"/>
        </w:rPr>
        <w:t xml:space="preserve"> 65% and 140%</w:t>
      </w:r>
      <w:r w:rsidR="00716647">
        <w:rPr>
          <w:color w:val="0E101A"/>
        </w:rPr>
        <w:t xml:space="preserve">, </w:t>
      </w:r>
      <w:r w:rsidR="0036414A" w:rsidRPr="0036414A">
        <w:rPr>
          <w:color w:val="0E101A"/>
        </w:rPr>
        <w:t>respectively</w:t>
      </w:r>
      <w:r w:rsidR="0036414A" w:rsidRPr="00716647">
        <w:rPr>
          <w:color w:val="0E101A"/>
        </w:rPr>
        <w:t xml:space="preserve">. </w:t>
      </w:r>
      <w:r w:rsidR="00716647" w:rsidRPr="00716647">
        <w:rPr>
          <w:color w:val="0E101A"/>
        </w:rPr>
        <w:t xml:space="preserve">Also, in a meta-analysis study to estimate the effect of waste sites on residential property values, Schutt (2021) reports a mean </w:t>
      </w:r>
      <w:r w:rsidR="001C2087">
        <w:rPr>
          <w:color w:val="0E101A"/>
        </w:rPr>
        <w:t>APE</w:t>
      </w:r>
      <w:r w:rsidR="00716647" w:rsidRPr="00716647">
        <w:rPr>
          <w:color w:val="0E101A"/>
        </w:rPr>
        <w:t xml:space="preserve"> meta-regression error ranging from 133% </w:t>
      </w:r>
      <w:r w:rsidR="005E1C15">
        <w:rPr>
          <w:color w:val="0E101A"/>
        </w:rPr>
        <w:t>to</w:t>
      </w:r>
      <w:r w:rsidR="00FA38CA">
        <w:rPr>
          <w:color w:val="0E101A"/>
        </w:rPr>
        <w:t xml:space="preserve"> </w:t>
      </w:r>
      <w:r w:rsidR="00716647" w:rsidRPr="00716647">
        <w:rPr>
          <w:color w:val="0E101A"/>
        </w:rPr>
        <w:t xml:space="preserve">684%. </w:t>
      </w:r>
      <w:bookmarkStart w:id="11" w:name="_Hlk88527102"/>
      <w:r w:rsidR="001C2087">
        <w:rPr>
          <w:color w:val="0E101A"/>
        </w:rPr>
        <w:t xml:space="preserve">Our estimated mean </w:t>
      </w:r>
      <w:r w:rsidR="00A544F7">
        <w:rPr>
          <w:color w:val="0E101A"/>
        </w:rPr>
        <w:t xml:space="preserve">meta-regression APE and mean value APE </w:t>
      </w:r>
      <w:r w:rsidR="00531D07">
        <w:rPr>
          <w:color w:val="0E101A"/>
        </w:rPr>
        <w:t>w</w:t>
      </w:r>
      <w:r w:rsidR="00C21590">
        <w:rPr>
          <w:color w:val="0E101A"/>
        </w:rPr>
        <w:t>ere</w:t>
      </w:r>
      <w:r w:rsidR="00A544F7">
        <w:rPr>
          <w:color w:val="0E101A"/>
        </w:rPr>
        <w:t xml:space="preserve"> 200% and 385%</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regulating</w:t>
      </w:r>
      <w:r w:rsidR="00A544F7">
        <w:rPr>
          <w:color w:val="0E101A"/>
        </w:rPr>
        <w:t xml:space="preserve"> </w:t>
      </w:r>
      <w:r w:rsidR="001C2087">
        <w:rPr>
          <w:color w:val="0E101A"/>
        </w:rPr>
        <w:t xml:space="preserve">meta-regression </w:t>
      </w:r>
      <w:r w:rsidR="00A544F7">
        <w:rPr>
          <w:color w:val="0E101A"/>
        </w:rPr>
        <w:t>model</w:t>
      </w:r>
      <w:r w:rsidR="00C21590">
        <w:rPr>
          <w:color w:val="0E101A"/>
        </w:rPr>
        <w:t xml:space="preserve">) </w:t>
      </w:r>
      <w:r w:rsidR="00A544F7">
        <w:rPr>
          <w:color w:val="0E101A"/>
        </w:rPr>
        <w:t xml:space="preserve">and </w:t>
      </w:r>
      <w:r w:rsidR="001C2087">
        <w:rPr>
          <w:color w:val="0E101A"/>
        </w:rPr>
        <w:t>168% and 234%</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provisioning</w:t>
      </w:r>
      <w:r w:rsidR="00A544F7">
        <w:rPr>
          <w:color w:val="0E101A"/>
        </w:rPr>
        <w:t xml:space="preserve"> model</w:t>
      </w:r>
      <w:r w:rsidR="00C21590">
        <w:rPr>
          <w:color w:val="0E101A"/>
        </w:rPr>
        <w:t>)</w:t>
      </w:r>
      <w:r w:rsidR="00C07B7C">
        <w:rPr>
          <w:color w:val="0E101A"/>
        </w:rPr>
        <w:t>,</w:t>
      </w:r>
      <w:r w:rsidR="00C21590">
        <w:rPr>
          <w:color w:val="0E101A"/>
        </w:rPr>
        <w:t xml:space="preserve"> </w:t>
      </w:r>
      <w:bookmarkEnd w:id="11"/>
      <w:r w:rsidR="00531D07">
        <w:rPr>
          <w:color w:val="0E101A"/>
        </w:rPr>
        <w:t>which</w:t>
      </w:r>
      <w:r w:rsidR="00A544F7">
        <w:rPr>
          <w:color w:val="0E101A"/>
        </w:rPr>
        <w:t xml:space="preserve"> are consistent with</w:t>
      </w:r>
      <w:r w:rsidR="005F5D3B">
        <w:rPr>
          <w:color w:val="0E101A"/>
        </w:rPr>
        <w:t xml:space="preserve"> Schutt (2021). </w:t>
      </w:r>
      <w:r w:rsidR="00190B5C">
        <w:rPr>
          <w:color w:val="0E101A"/>
        </w:rPr>
        <w:t>I</w:t>
      </w:r>
      <w:r w:rsidR="00BE17D2">
        <w:rPr>
          <w:color w:val="0E101A"/>
        </w:rPr>
        <w:t xml:space="preserve">n </w:t>
      </w:r>
      <w:r w:rsidR="00190B5C">
        <w:rPr>
          <w:color w:val="0E101A"/>
        </w:rPr>
        <w:t>contrast</w:t>
      </w:r>
      <w:r w:rsidR="00C21590">
        <w:rPr>
          <w:color w:val="0E101A"/>
        </w:rPr>
        <w:t>,</w:t>
      </w:r>
      <w:r w:rsidR="005C410F">
        <w:rPr>
          <w:color w:val="0E101A"/>
        </w:rPr>
        <w:t xml:space="preserve"> our estimated benefit transfer errors are considerably </w:t>
      </w:r>
      <w:r w:rsidR="00C07B7C">
        <w:rPr>
          <w:color w:val="0E101A"/>
        </w:rPr>
        <w:t>greater</w:t>
      </w:r>
      <w:r w:rsidR="005C410F">
        <w:rPr>
          <w:color w:val="0E101A"/>
        </w:rPr>
        <w:t xml:space="preserve"> compared to the average</w:t>
      </w:r>
      <w:r w:rsidR="00C21590">
        <w:rPr>
          <w:color w:val="0E101A"/>
        </w:rPr>
        <w:t xml:space="preserve"> transfer</w:t>
      </w:r>
      <w:r w:rsidR="005C410F">
        <w:rPr>
          <w:color w:val="0E101A"/>
        </w:rPr>
        <w:t xml:space="preserve"> errors in the literature (</w:t>
      </w:r>
      <w:r w:rsidR="005F5D3B">
        <w:rPr>
          <w:color w:val="0E101A"/>
        </w:rPr>
        <w:t>Rosenberger</w:t>
      </w:r>
      <w:r w:rsidR="0079545F">
        <w:rPr>
          <w:color w:val="0E101A"/>
        </w:rPr>
        <w:t xml:space="preserve"> </w:t>
      </w:r>
      <w:r w:rsidR="005F5D3B">
        <w:rPr>
          <w:color w:val="0E101A"/>
        </w:rPr>
        <w:t>2015)</w:t>
      </w:r>
      <w:r w:rsidR="00C07B7C">
        <w:rPr>
          <w:color w:val="0E101A"/>
        </w:rPr>
        <w:t>.</w:t>
      </w:r>
      <w:r w:rsidR="00692BE9">
        <w:rPr>
          <w:color w:val="0E101A"/>
        </w:rPr>
        <w:t xml:space="preserve"> </w:t>
      </w:r>
      <w:r w:rsidR="00190B5C">
        <w:rPr>
          <w:color w:val="0E101A"/>
        </w:rPr>
        <w:t xml:space="preserve">This may be due to </w:t>
      </w:r>
      <w:r w:rsidR="00692BE9">
        <w:rPr>
          <w:color w:val="0E101A"/>
        </w:rPr>
        <w:t>the lack of sufficient data (</w:t>
      </w:r>
      <w:r w:rsidR="00190B5C">
        <w:rPr>
          <w:color w:val="0E101A"/>
        </w:rPr>
        <w:t xml:space="preserve">n = </w:t>
      </w:r>
      <w:r w:rsidR="00692BE9">
        <w:rPr>
          <w:color w:val="0E101A"/>
        </w:rPr>
        <w:t xml:space="preserve">23 for the regulating model and </w:t>
      </w:r>
      <w:r w:rsidR="00190B5C">
        <w:rPr>
          <w:color w:val="0E101A"/>
        </w:rPr>
        <w:t xml:space="preserve">n = </w:t>
      </w:r>
      <w:r w:rsidR="00692BE9">
        <w:rPr>
          <w:color w:val="0E101A"/>
        </w:rPr>
        <w:t xml:space="preserve">27 for the provisioning </w:t>
      </w:r>
      <w:r w:rsidR="00692BE9">
        <w:rPr>
          <w:color w:val="0E101A"/>
        </w:rPr>
        <w:lastRenderedPageBreak/>
        <w:t xml:space="preserve">model) to allow us to </w:t>
      </w:r>
      <w:r w:rsidR="00C85733">
        <w:rPr>
          <w:color w:val="0E101A"/>
        </w:rPr>
        <w:t xml:space="preserve">efficiently </w:t>
      </w:r>
      <w:r w:rsidR="00692BE9">
        <w:rPr>
          <w:color w:val="0E101A"/>
        </w:rPr>
        <w:t>estimate a global meta-regression value function to value wetlands on agricultural landscapes</w:t>
      </w:r>
      <w:r w:rsidR="005072EB">
        <w:rPr>
          <w:color w:val="0E101A"/>
        </w:rPr>
        <w:t xml:space="preserve">. </w:t>
      </w:r>
      <w:r w:rsidR="00E2489C">
        <w:rPr>
          <w:color w:val="0E101A"/>
        </w:rPr>
        <w:t xml:space="preserve">However, our general observation that </w:t>
      </w:r>
      <w:r w:rsidR="00C96507">
        <w:rPr>
          <w:color w:val="0E101A"/>
        </w:rPr>
        <w:t>meta-regression transfer errors are significantly lower than mean transfer errors</w:t>
      </w:r>
      <w:r w:rsidR="00E2489C">
        <w:rPr>
          <w:color w:val="0E101A"/>
        </w:rPr>
        <w:t xml:space="preserve"> is consistent with the literature on benefit transfer errors</w:t>
      </w:r>
      <w:r w:rsidR="00C96507">
        <w:rPr>
          <w:color w:val="0E101A"/>
        </w:rPr>
        <w:t xml:space="preserve">. In the absence of </w:t>
      </w:r>
      <w:r w:rsidR="00190B5C">
        <w:rPr>
          <w:color w:val="0E101A"/>
        </w:rPr>
        <w:t xml:space="preserve">localized </w:t>
      </w:r>
      <w:r w:rsidR="00C96507">
        <w:rPr>
          <w:color w:val="0E101A"/>
        </w:rPr>
        <w:t xml:space="preserve">studies to value wetlands, </w:t>
      </w:r>
      <w:r w:rsidR="00593FA7" w:rsidRPr="00B937EC">
        <w:rPr>
          <w:color w:val="0E101A"/>
        </w:rPr>
        <w:t>our model</w:t>
      </w:r>
      <w:r w:rsidR="0097141D">
        <w:rPr>
          <w:color w:val="0E101A"/>
        </w:rPr>
        <w:t>s</w:t>
      </w:r>
      <w:r w:rsidR="00593FA7" w:rsidRPr="00B937EC">
        <w:rPr>
          <w:color w:val="0E101A"/>
        </w:rPr>
        <w:t xml:space="preserve"> could be used </w:t>
      </w:r>
      <w:r w:rsidR="00DF36B5">
        <w:rPr>
          <w:color w:val="0E101A"/>
        </w:rPr>
        <w:t xml:space="preserve">to </w:t>
      </w:r>
      <w:r w:rsidR="00190B5C">
        <w:rPr>
          <w:color w:val="0E101A"/>
        </w:rPr>
        <w:t>relate</w:t>
      </w:r>
      <w:r w:rsidR="00190B5C" w:rsidRPr="00B937EC">
        <w:rPr>
          <w:color w:val="0E101A"/>
        </w:rPr>
        <w:t xml:space="preserve"> </w:t>
      </w:r>
      <w:r w:rsidR="00593FA7" w:rsidRPr="00B937EC">
        <w:rPr>
          <w:color w:val="0E101A"/>
        </w:rPr>
        <w:t>wetland</w:t>
      </w:r>
      <w:r w:rsidR="00017CAB">
        <w:rPr>
          <w:color w:val="0E101A"/>
        </w:rPr>
        <w:t xml:space="preserve"> value</w:t>
      </w:r>
      <w:r w:rsidR="00593FA7" w:rsidRPr="00B937EC">
        <w:rPr>
          <w:color w:val="0E101A"/>
        </w:rPr>
        <w:t>s</w:t>
      </w:r>
      <w:r w:rsidR="00190B5C">
        <w:rPr>
          <w:color w:val="0E101A"/>
        </w:rPr>
        <w:t xml:space="preserve"> with our benefit transfer tool (compared to the mean</w:t>
      </w:r>
      <w:r w:rsidR="00A9251D">
        <w:rPr>
          <w:color w:val="0E101A"/>
        </w:rPr>
        <w:t xml:space="preserve"> unit </w:t>
      </w:r>
      <w:r w:rsidR="00190B5C">
        <w:rPr>
          <w:color w:val="0E101A"/>
        </w:rPr>
        <w:t>value transfer approach)</w:t>
      </w:r>
      <w:r w:rsidR="00593FA7" w:rsidRPr="00B937EC">
        <w:rPr>
          <w:color w:val="0E101A"/>
        </w:rPr>
        <w:t xml:space="preserve"> </w:t>
      </w:r>
      <w:r w:rsidR="00C070EC">
        <w:rPr>
          <w:color w:val="0E101A"/>
        </w:rPr>
        <w:t>and</w:t>
      </w:r>
      <w:r w:rsidR="00593FA7" w:rsidRPr="00B937EC">
        <w:rPr>
          <w:color w:val="0E101A"/>
        </w:rPr>
        <w:t xml:space="preserve"> aid in </w:t>
      </w:r>
      <w:r w:rsidR="00C070EC" w:rsidRPr="00C070EC">
        <w:rPr>
          <w:color w:val="0E101A"/>
        </w:rPr>
        <w:t>land-use planning and wetland conservation policy development</w:t>
      </w:r>
      <w:r w:rsidR="00FC6F15">
        <w:rPr>
          <w:color w:val="0E101A"/>
        </w:rPr>
        <w:t>.</w:t>
      </w:r>
      <w:r w:rsidR="00A602CC">
        <w:rPr>
          <w:color w:val="0E101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58E8FA49" w14:textId="7E6A5AA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w:t>
      </w:r>
      <w:r w:rsidR="00017CAB">
        <w:t>,</w:t>
      </w:r>
      <w:r w:rsidR="004F309C">
        <w:t xml:space="preserve">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050A589C"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mean</w:t>
      </w:r>
      <w:r w:rsidR="00017CAB">
        <w:rPr>
          <w:color w:val="0E101A"/>
        </w:rPr>
        <w:t>-</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w:t>
      </w:r>
      <w:r w:rsidR="00A9251D">
        <w:rPr>
          <w:color w:val="0E101A"/>
        </w:rPr>
        <w:t xml:space="preserve"> unit </w:t>
      </w:r>
      <w:r w:rsidR="00692BE9">
        <w:rPr>
          <w:color w:val="0E101A"/>
        </w:rPr>
        <w:t>value transfer method, especially in the absence of original valuation studies.</w:t>
      </w:r>
      <w:r w:rsidR="00C35343">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w:t>
      </w:r>
      <w:r w:rsidR="004F309C">
        <w:rPr>
          <w:color w:val="0E101A"/>
        </w:rPr>
        <w:lastRenderedPageBreak/>
        <w:t>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0E8A9752" w:rsidR="00A6438B" w:rsidRDefault="00DA0C09" w:rsidP="00DF3CB0">
      <w:pPr>
        <w:pStyle w:val="NormalWeb"/>
        <w:spacing w:before="0" w:beforeAutospacing="0" w:after="0" w:afterAutospacing="0" w:line="480" w:lineRule="auto"/>
        <w:ind w:firstLine="720"/>
        <w:rPr>
          <w:color w:val="0E101A"/>
        </w:rPr>
      </w:pPr>
      <w:r w:rsidRPr="00DA0C09">
        <w:rPr>
          <w:color w:val="0E101A"/>
        </w:rPr>
        <w:t xml:space="preserve"> </w:t>
      </w:r>
      <w:r>
        <w:rPr>
          <w:color w:val="0E101A"/>
        </w:rPr>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 xml:space="preserve">service </w:t>
      </w:r>
      <w:r w:rsidRPr="00B67EED">
        <w:rPr>
          <w:color w:val="0E101A"/>
        </w:rPr>
        <w:t xml:space="preserve">valuations. </w:t>
      </w:r>
      <w:r w:rsidRPr="006C7FF8">
        <w:rPr>
          <w:color w:val="0E101A"/>
        </w:rPr>
        <w:t xml:space="preserve">In the meantime, our benefit transfer study </w:t>
      </w:r>
      <w:r w:rsidR="00893D86" w:rsidRPr="006C7FF8">
        <w:rPr>
          <w:color w:val="0E101A"/>
        </w:rPr>
        <w:t xml:space="preserve">can be useful to support </w:t>
      </w:r>
      <w:r w:rsidRPr="006C7FF8">
        <w:rPr>
          <w:color w:val="0E101A"/>
        </w:rPr>
        <w:t>localized calculations to make policies that consider the total ecosystem services that wetlands provide and integrate them into land</w:t>
      </w:r>
      <w:r w:rsidR="00017CAB" w:rsidRPr="006C7FF8">
        <w:rPr>
          <w:color w:val="0E101A"/>
        </w:rPr>
        <w:t>-</w:t>
      </w:r>
      <w:r w:rsidRPr="006C7FF8">
        <w:rPr>
          <w:color w:val="0E101A"/>
        </w:rPr>
        <w:t xml:space="preserve">use planning. </w:t>
      </w:r>
      <w:r w:rsidR="00E616DC" w:rsidRPr="006C7FF8">
        <w:rPr>
          <w:color w:val="0E101A"/>
        </w:rPr>
        <w:t xml:space="preserve">Moreover, </w:t>
      </w:r>
      <w:r w:rsidR="006C7FF8" w:rsidRPr="006C7FF8">
        <w:rPr>
          <w:color w:val="0E101A"/>
        </w:rPr>
        <w:t xml:space="preserve">future studies are encouraged to value cultural and supporting wetland ecosystem services which were lacking in our literature search; therefore, </w:t>
      </w:r>
      <w:r w:rsidR="00E616DC" w:rsidRPr="006C7FF8">
        <w:rPr>
          <w:color w:val="0E101A"/>
        </w:rPr>
        <w:t>we could not include the value of supporting and cultural ecosystem services in our meta-regression model</w:t>
      </w:r>
      <w:r w:rsidR="006C7FF8" w:rsidRPr="006C7FF8">
        <w:rPr>
          <w:color w:val="0E101A"/>
        </w:rPr>
        <w:t xml:space="preserve"> estimations. </w:t>
      </w:r>
      <w:r w:rsidR="00E616DC" w:rsidRPr="006C7FF8">
        <w:rPr>
          <w:color w:val="0E101A"/>
        </w:rPr>
        <w:t xml:space="preserve">Lack of sufficient studies on </w:t>
      </w:r>
      <w:r w:rsidR="006C7FF8" w:rsidRPr="006C7FF8">
        <w:rPr>
          <w:color w:val="0E101A"/>
        </w:rPr>
        <w:t xml:space="preserve">these services could </w:t>
      </w:r>
      <w:r w:rsidR="00E616DC" w:rsidRPr="006C7FF8">
        <w:rPr>
          <w:color w:val="0E101A"/>
        </w:rPr>
        <w:t xml:space="preserve">undermine their role in </w:t>
      </w:r>
      <w:r w:rsidR="006C7FF8" w:rsidRPr="006C7FF8">
        <w:rPr>
          <w:color w:val="0E101A"/>
        </w:rPr>
        <w:t>benefit cost analysis of wetland conservation policies.</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proofErr w:type="spellStart"/>
      <w:r w:rsidRPr="00232FD1">
        <w:lastRenderedPageBreak/>
        <w:t>Canu</w:t>
      </w:r>
      <w:proofErr w:type="spellEnd"/>
      <w:r w:rsidRPr="00232FD1">
        <w:t xml:space="preserve">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15"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w:t>
      </w:r>
      <w:r w:rsidR="006905EC">
        <w:t xml:space="preserve"> </w:t>
      </w:r>
      <w:r w:rsidRPr="00232FD1">
        <w:t>109-126.</w:t>
      </w:r>
    </w:p>
    <w:p w14:paraId="70F121BD" w14:textId="51D361D0" w:rsidR="004D7ED5" w:rsidRPr="00232FD1" w:rsidRDefault="004D7ED5" w:rsidP="00585F81">
      <w:pPr>
        <w:spacing w:line="480" w:lineRule="auto"/>
        <w:ind w:left="720"/>
      </w:pPr>
      <w:r w:rsidRPr="004D7ED5">
        <w:t>https://doi.org/10.1111/j.1744-7976.2010.01193.x</w:t>
      </w:r>
      <w:r>
        <w:t>.</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45EA37F3" w:rsidR="00585F81" w:rsidRPr="00543885" w:rsidRDefault="00585F81" w:rsidP="00585F81">
      <w:pPr>
        <w:spacing w:line="480" w:lineRule="auto"/>
        <w:rPr>
          <w:lang w:val="fr-CA"/>
        </w:rPr>
      </w:pPr>
      <w:r w:rsidRPr="00543885">
        <w:rPr>
          <w:lang w:val="fr-CA"/>
        </w:rPr>
        <w:t>Gardner</w:t>
      </w:r>
      <w:r w:rsidR="002129BD" w:rsidRPr="00543885">
        <w:rPr>
          <w:lang w:val="fr-CA"/>
        </w:rPr>
        <w:t xml:space="preserve"> </w:t>
      </w:r>
      <w:r w:rsidRPr="00543885">
        <w:rPr>
          <w:lang w:val="fr-CA"/>
        </w:rPr>
        <w:t xml:space="preserve">RC, </w:t>
      </w:r>
      <w:proofErr w:type="spellStart"/>
      <w:r w:rsidRPr="00543885">
        <w:rPr>
          <w:lang w:val="fr-CA"/>
        </w:rPr>
        <w:t>Barchiesi</w:t>
      </w:r>
      <w:proofErr w:type="spellEnd"/>
      <w:r w:rsidR="002129BD" w:rsidRPr="00543885">
        <w:rPr>
          <w:lang w:val="fr-CA"/>
        </w:rPr>
        <w:t xml:space="preserve"> </w:t>
      </w:r>
      <w:r w:rsidRPr="00543885">
        <w:rPr>
          <w:lang w:val="fr-CA"/>
        </w:rPr>
        <w:t>S, Beltrame</w:t>
      </w:r>
      <w:r w:rsidR="002129BD" w:rsidRPr="00543885">
        <w:rPr>
          <w:lang w:val="fr-CA"/>
        </w:rPr>
        <w:t xml:space="preserve"> </w:t>
      </w:r>
      <w:r w:rsidRPr="00543885">
        <w:rPr>
          <w:lang w:val="fr-CA"/>
        </w:rPr>
        <w:t>C, Finlayson</w:t>
      </w:r>
      <w:r w:rsidR="002129BD" w:rsidRPr="00543885">
        <w:rPr>
          <w:lang w:val="fr-CA"/>
        </w:rPr>
        <w:t xml:space="preserve"> </w:t>
      </w:r>
      <w:r w:rsidRPr="00543885">
        <w:rPr>
          <w:lang w:val="fr-CA"/>
        </w:rPr>
        <w:t xml:space="preserve">C, </w:t>
      </w:r>
      <w:proofErr w:type="spellStart"/>
      <w:r w:rsidRPr="00543885">
        <w:rPr>
          <w:lang w:val="fr-CA"/>
        </w:rPr>
        <w:t>Galewski</w:t>
      </w:r>
      <w:proofErr w:type="spellEnd"/>
      <w:r w:rsidR="002129BD" w:rsidRPr="00543885">
        <w:rPr>
          <w:lang w:val="fr-CA"/>
        </w:rPr>
        <w:t xml:space="preserve"> </w:t>
      </w:r>
      <w:r w:rsidRPr="00543885">
        <w:rPr>
          <w:lang w:val="fr-CA"/>
        </w:rPr>
        <w:t>T, Harrison</w:t>
      </w:r>
      <w:r w:rsidR="002129BD" w:rsidRPr="00543885">
        <w:rPr>
          <w:lang w:val="fr-CA"/>
        </w:rPr>
        <w:t xml:space="preserve"> </w:t>
      </w:r>
      <w:r w:rsidRPr="00543885">
        <w:rPr>
          <w:lang w:val="fr-CA"/>
        </w:rPr>
        <w:t xml:space="preserve">I, Paganini </w:t>
      </w:r>
    </w:p>
    <w:p w14:paraId="646D2B73" w14:textId="02C19838" w:rsidR="00CF370B" w:rsidRPr="00232FD1" w:rsidRDefault="00585F81" w:rsidP="00585F81">
      <w:pPr>
        <w:spacing w:line="480" w:lineRule="auto"/>
        <w:ind w:left="720"/>
      </w:pPr>
      <w:r w:rsidRPr="00543885">
        <w:t xml:space="preserve">M, </w:t>
      </w:r>
      <w:proofErr w:type="spellStart"/>
      <w:r w:rsidRPr="00543885">
        <w:t>Perennou</w:t>
      </w:r>
      <w:proofErr w:type="spellEnd"/>
      <w:r w:rsidR="002129BD" w:rsidRPr="00543885">
        <w:t xml:space="preserve"> </w:t>
      </w:r>
      <w:r w:rsidRPr="00543885">
        <w:t>C, Pritchard</w:t>
      </w:r>
      <w:r w:rsidR="002129BD" w:rsidRPr="00543885">
        <w:t xml:space="preserve"> </w:t>
      </w:r>
      <w:r w:rsidRPr="00543885">
        <w:t xml:space="preserve">D, </w:t>
      </w:r>
      <w:proofErr w:type="spellStart"/>
      <w:r w:rsidRPr="00543885">
        <w:t>Rosenqvist</w:t>
      </w:r>
      <w:proofErr w:type="spellEnd"/>
      <w:r w:rsidRPr="00543885">
        <w:t xml:space="preserve"> A and Walpole</w:t>
      </w:r>
      <w:r w:rsidR="002129BD" w:rsidRPr="00543885">
        <w:t xml:space="preserve"> </w:t>
      </w:r>
      <w:r w:rsidRPr="00543885">
        <w:t>M</w:t>
      </w:r>
      <w:r w:rsidR="002129BD" w:rsidRPr="00543885">
        <w:t xml:space="preserve"> (</w:t>
      </w:r>
      <w:r w:rsidRPr="00543885">
        <w:t>2015</w:t>
      </w:r>
      <w:r w:rsidR="002129BD" w:rsidRPr="00543885">
        <w:t>)</w:t>
      </w:r>
      <w:r w:rsidRPr="00543885">
        <w:t xml:space="preserve"> State of the world's wetlands and their services to people: a compilation of recent analyses.</w:t>
      </w:r>
      <w:r w:rsidR="005D7B84" w:rsidRPr="00543885">
        <w:t xml:space="preserve"> Ramsar Briefing Note No. 7. </w:t>
      </w:r>
      <w:r w:rsidR="00CF370B" w:rsidRPr="00543885">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543885" w:rsidRDefault="00585F81" w:rsidP="00585F81">
      <w:pPr>
        <w:spacing w:line="480" w:lineRule="auto"/>
      </w:pPr>
      <w:r w:rsidRPr="00543885">
        <w:t>International Food Policy Research Institute (IFPRI)</w:t>
      </w:r>
      <w:r w:rsidR="00C54B57" w:rsidRPr="00543885">
        <w:t xml:space="preserve"> (</w:t>
      </w:r>
      <w:r w:rsidRPr="00543885">
        <w:t>2018</w:t>
      </w:r>
      <w:r w:rsidR="00C54B57" w:rsidRPr="00543885">
        <w:t xml:space="preserve">) </w:t>
      </w:r>
      <w:r w:rsidRPr="00543885">
        <w:t xml:space="preserve">Agricultural Total Factor </w:t>
      </w:r>
    </w:p>
    <w:p w14:paraId="2A4EF90C" w14:textId="1638AB9A" w:rsidR="00585F81" w:rsidRPr="00537287" w:rsidRDefault="00585F81" w:rsidP="00585F81">
      <w:pPr>
        <w:spacing w:line="480" w:lineRule="auto"/>
        <w:ind w:left="720"/>
      </w:pPr>
      <w:r w:rsidRPr="00543885">
        <w:t xml:space="preserve">Productivity (TFP), 1991-2014: 2018 Global Food Policy Report Annex Table 5, Harvard </w:t>
      </w:r>
      <w:proofErr w:type="spellStart"/>
      <w:r w:rsidRPr="00543885">
        <w:t>Dataverse</w:t>
      </w:r>
      <w:proofErr w:type="spellEnd"/>
      <w:r w:rsidRPr="00543885">
        <w:t>, V1.</w:t>
      </w:r>
      <w:r w:rsidR="00F663A5" w:rsidRPr="00543885">
        <w:t xml:space="preserve"> </w:t>
      </w:r>
      <w:hyperlink r:id="rId16" w:tgtFrame="_blank" w:history="1">
        <w:r w:rsidR="00F663A5" w:rsidRPr="00543885">
          <w:t>https://doi.org/10.7910/DVN/IDOCML</w:t>
        </w:r>
      </w:hyperlink>
      <w:r w:rsidR="00543885">
        <w:t>.</w:t>
      </w:r>
    </w:p>
    <w:p w14:paraId="32B517AE" w14:textId="77777777" w:rsidR="00585F81" w:rsidRPr="00543885" w:rsidRDefault="00585F81" w:rsidP="00585F81">
      <w:pPr>
        <w:spacing w:line="480" w:lineRule="auto"/>
      </w:pPr>
      <w:r w:rsidRPr="00543885">
        <w:t xml:space="preserve">International Union for Conservation of Nature - IUCN, and Center for International Earth </w:t>
      </w:r>
    </w:p>
    <w:p w14:paraId="685A2B46" w14:textId="346E7D26" w:rsidR="00585F81" w:rsidRPr="00543885" w:rsidRDefault="00585F81" w:rsidP="00585F81">
      <w:pPr>
        <w:spacing w:line="480" w:lineRule="auto"/>
        <w:ind w:left="720"/>
      </w:pPr>
      <w:r w:rsidRPr="00543885">
        <w:t xml:space="preserve">Science Information Network - CIESIN - Columbia University </w:t>
      </w:r>
      <w:r w:rsidR="00C54B57" w:rsidRPr="00543885">
        <w:t>(</w:t>
      </w:r>
      <w:r w:rsidRPr="00543885">
        <w:t>2015a</w:t>
      </w:r>
      <w:r w:rsidR="00C54B57" w:rsidRPr="00543885">
        <w:t>)</w:t>
      </w:r>
      <w:r w:rsidRPr="00543885">
        <w:t xml:space="preserve"> Gridded species distribution: global amphibian richness grids, 2015 Release. Palisades, NY: NASA Socioeconomic Data and Applications Center (SEDAC). </w:t>
      </w:r>
      <w:hyperlink r:id="rId17" w:history="1">
        <w:r w:rsidRPr="00543885">
          <w:t>https://doi.org/10.7927/H4RR1W66</w:t>
        </w:r>
      </w:hyperlink>
      <w:r w:rsidRPr="00543885">
        <w:t>. Accessed November 28th, 2018</w:t>
      </w:r>
      <w:r w:rsidR="00543885" w:rsidRPr="00543885">
        <w:t>.</w:t>
      </w:r>
    </w:p>
    <w:p w14:paraId="663B1E0E" w14:textId="736A64CF" w:rsidR="00585F81" w:rsidRPr="00543885" w:rsidRDefault="00585F81" w:rsidP="00585F81">
      <w:pPr>
        <w:spacing w:line="480" w:lineRule="auto"/>
      </w:pPr>
      <w:r w:rsidRPr="00543885">
        <w:t>International Union for Conservation of Nature - IUCN,</w:t>
      </w:r>
      <w:r w:rsidR="005F7D5A" w:rsidRPr="00543885">
        <w:t xml:space="preserve"> </w:t>
      </w:r>
      <w:r w:rsidRPr="00543885">
        <w:t xml:space="preserve">Center for International Earth </w:t>
      </w:r>
    </w:p>
    <w:p w14:paraId="04FCE212" w14:textId="2D599615" w:rsidR="00585F81" w:rsidRDefault="00585F81" w:rsidP="00585F81">
      <w:pPr>
        <w:spacing w:line="480" w:lineRule="auto"/>
        <w:ind w:left="720"/>
      </w:pPr>
      <w:r w:rsidRPr="00543885">
        <w:lastRenderedPageBreak/>
        <w:t>Science Information Network - CIESIN - Columbia University</w:t>
      </w:r>
      <w:r w:rsidR="00C54B57" w:rsidRPr="00543885">
        <w:t xml:space="preserve"> (</w:t>
      </w:r>
      <w:r w:rsidRPr="00543885">
        <w:t>2015b</w:t>
      </w:r>
      <w:r w:rsidR="00C54B57" w:rsidRPr="00543885">
        <w:t>)</w:t>
      </w:r>
      <w:r w:rsidRPr="00543885">
        <w:t xml:space="preserve"> Gridded species distribution: global mammal richness grids, 2015 Release. Palisades, NY: NASA Socioeconomic Data and Applications Center (SEDAC). </w:t>
      </w:r>
      <w:hyperlink r:id="rId18" w:history="1">
        <w:r w:rsidRPr="00543885">
          <w:t>https://doi.org/10.7927/H4N014G5. Accessed November 28th 2018</w:t>
        </w:r>
      </w:hyperlink>
      <w:r w:rsidRPr="00543885">
        <w:t>.</w:t>
      </w:r>
    </w:p>
    <w:p w14:paraId="089CC82A" w14:textId="224448A8" w:rsidR="00E17941" w:rsidRPr="00543885" w:rsidRDefault="00E17941" w:rsidP="00E17941">
      <w:pPr>
        <w:spacing w:line="480" w:lineRule="auto"/>
      </w:pPr>
      <w:r w:rsidRPr="00543885">
        <w:t xml:space="preserve">Johnston RJ, Rolfe J, Rosenberger RS, Brouwer R (2015) Introduction to </w:t>
      </w:r>
      <w:r w:rsidR="00543885" w:rsidRPr="00543885">
        <w:t>b</w:t>
      </w:r>
      <w:r w:rsidRPr="00543885">
        <w:t xml:space="preserve">enefit </w:t>
      </w:r>
      <w:r w:rsidR="00543885" w:rsidRPr="00543885">
        <w:t>t</w:t>
      </w:r>
      <w:r w:rsidRPr="00543885">
        <w:t xml:space="preserve">ransfer </w:t>
      </w:r>
    </w:p>
    <w:p w14:paraId="60DF76A6" w14:textId="03C534EC" w:rsidR="00E17941" w:rsidRPr="00E17941" w:rsidRDefault="00543885" w:rsidP="00E17941">
      <w:pPr>
        <w:spacing w:line="480" w:lineRule="auto"/>
        <w:ind w:left="720"/>
        <w:rPr>
          <w:highlight w:val="yellow"/>
        </w:rPr>
      </w:pPr>
      <w:r w:rsidRPr="00543885">
        <w:t>m</w:t>
      </w:r>
      <w:r w:rsidR="00E17941" w:rsidRPr="00543885">
        <w:t xml:space="preserve">ethods. In: Johnston R, Rolfe J, Rosenberger R, Brouwer R (eds) Benefit </w:t>
      </w:r>
      <w:r w:rsidRPr="00543885">
        <w:t>t</w:t>
      </w:r>
      <w:r w:rsidR="00E17941" w:rsidRPr="00543885">
        <w:t xml:space="preserve">ransfer of </w:t>
      </w:r>
      <w:r w:rsidRPr="00543885">
        <w:t>e</w:t>
      </w:r>
      <w:r w:rsidR="00E17941" w:rsidRPr="00543885">
        <w:t xml:space="preserve">nvironmental and </w:t>
      </w:r>
      <w:r w:rsidRPr="00543885">
        <w:t>r</w:t>
      </w:r>
      <w:r w:rsidR="00E17941" w:rsidRPr="00543885">
        <w:t xml:space="preserve">esource </w:t>
      </w:r>
      <w:r w:rsidRPr="00543885">
        <w:t>v</w:t>
      </w:r>
      <w:r w:rsidR="00E17941" w:rsidRPr="00543885">
        <w:t xml:space="preserve">alues. The </w:t>
      </w:r>
      <w:r w:rsidRPr="00543885">
        <w:t>e</w:t>
      </w:r>
      <w:r w:rsidR="00E17941" w:rsidRPr="00543885">
        <w:t xml:space="preserve">conomics of </w:t>
      </w:r>
      <w:r w:rsidRPr="00543885">
        <w:t>n</w:t>
      </w:r>
      <w:r w:rsidR="00E17941" w:rsidRPr="00543885">
        <w:t>on-</w:t>
      </w:r>
      <w:r w:rsidRPr="00543885">
        <w:t>m</w:t>
      </w:r>
      <w:r w:rsidR="00E17941" w:rsidRPr="00543885">
        <w:t xml:space="preserve">arket </w:t>
      </w:r>
      <w:r w:rsidRPr="00543885">
        <w:t>g</w:t>
      </w:r>
      <w:r w:rsidR="00E17941" w:rsidRPr="00543885">
        <w:t xml:space="preserve">oods and </w:t>
      </w:r>
      <w:r w:rsidRPr="00543885">
        <w:t>r</w:t>
      </w:r>
      <w:r w:rsidR="00E17941" w:rsidRPr="00543885">
        <w:t>esources, vol 14. Springer, Dordrecht. https://doi.org/10.1007/978-94-017-9930-0_2</w:t>
      </w:r>
      <w:r w:rsidRPr="00543885">
        <w:t>.</w:t>
      </w:r>
    </w:p>
    <w:p w14:paraId="74797DFD" w14:textId="6B01DFB6" w:rsidR="00585F81" w:rsidRPr="00543885" w:rsidRDefault="00585F81" w:rsidP="00585F81">
      <w:pPr>
        <w:spacing w:line="480" w:lineRule="auto"/>
      </w:pPr>
      <w:proofErr w:type="spellStart"/>
      <w:r w:rsidRPr="00543885">
        <w:t>Leemans</w:t>
      </w:r>
      <w:proofErr w:type="spellEnd"/>
      <w:r w:rsidR="00C54B57" w:rsidRPr="00543885">
        <w:t xml:space="preserve"> </w:t>
      </w:r>
      <w:r w:rsidRPr="00543885">
        <w:t>R, De Groot</w:t>
      </w:r>
      <w:r w:rsidR="00C54B57" w:rsidRPr="00543885">
        <w:t xml:space="preserve"> </w:t>
      </w:r>
      <w:r w:rsidRPr="00543885">
        <w:t>RS</w:t>
      </w:r>
      <w:r w:rsidR="00C54B57" w:rsidRPr="00543885">
        <w:t xml:space="preserve"> (</w:t>
      </w:r>
      <w:r w:rsidRPr="00543885">
        <w:t>2003</w:t>
      </w:r>
      <w:r w:rsidR="00C54B57" w:rsidRPr="00543885">
        <w:t>)</w:t>
      </w:r>
      <w:r w:rsidRPr="00543885">
        <w:t xml:space="preserve"> Millennium Ecosystem Assessment: Ecosystems and </w:t>
      </w:r>
    </w:p>
    <w:p w14:paraId="73E34E9D" w14:textId="11F69577" w:rsidR="00585F81" w:rsidRDefault="00585F81" w:rsidP="00585F81">
      <w:pPr>
        <w:spacing w:line="480" w:lineRule="auto"/>
        <w:ind w:left="720"/>
      </w:pPr>
      <w:r w:rsidRPr="00543885">
        <w:t>human well-being: a framework for assessment. A report of the Conceptual Framework Working Group of the millennium Ecosystem Assessment. Island Press.</w:t>
      </w:r>
    </w:p>
    <w:p w14:paraId="73E81953" w14:textId="0E8AD6AB" w:rsidR="00F94E1A" w:rsidRPr="00543885" w:rsidRDefault="00F94E1A" w:rsidP="00F94E1A">
      <w:pPr>
        <w:spacing w:line="480" w:lineRule="auto"/>
      </w:pPr>
      <w:proofErr w:type="spellStart"/>
      <w:r w:rsidRPr="00543885">
        <w:t>Leschine</w:t>
      </w:r>
      <w:proofErr w:type="spellEnd"/>
      <w:r w:rsidRPr="00543885">
        <w:t xml:space="preserve"> TM, Wellman KF,</w:t>
      </w:r>
      <w:r w:rsidR="005F7D5A" w:rsidRPr="00543885">
        <w:t xml:space="preserve"> </w:t>
      </w:r>
      <w:r w:rsidRPr="00543885">
        <w:t xml:space="preserve">Green TH (1997). The economic value of wetlands: wetlands' </w:t>
      </w:r>
    </w:p>
    <w:p w14:paraId="3BD0B865" w14:textId="6C3EF62C" w:rsidR="00F94E1A" w:rsidRDefault="00F94E1A" w:rsidP="00F94E1A">
      <w:pPr>
        <w:spacing w:line="480" w:lineRule="auto"/>
        <w:ind w:left="720"/>
      </w:pPr>
      <w:r w:rsidRPr="00543885">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85191A" w:rsidP="00585F81">
      <w:pPr>
        <w:spacing w:line="480" w:lineRule="auto"/>
        <w:ind w:firstLine="720"/>
      </w:pPr>
      <w:hyperlink r:id="rId19" w:history="1">
        <w:r w:rsidR="00EA3732" w:rsidRPr="002F7BC3">
          <w:rPr>
            <w:rStyle w:val="Hyperlink"/>
          </w:rPr>
          <w:t>https://doi.org/10.1007/s11707-010-0015-7</w:t>
        </w:r>
      </w:hyperlink>
      <w:r w:rsidR="00464F26">
        <w:t>.</w:t>
      </w:r>
    </w:p>
    <w:p w14:paraId="47243EDB" w14:textId="3ACBDAF4" w:rsidR="00EA3732" w:rsidRPr="00543885" w:rsidRDefault="00EA3732" w:rsidP="00EA3732">
      <w:pPr>
        <w:spacing w:line="480" w:lineRule="auto"/>
      </w:pPr>
      <w:r w:rsidRPr="00543885">
        <w:t>Navrud</w:t>
      </w:r>
      <w:r w:rsidR="00543885" w:rsidRPr="00543885">
        <w:t xml:space="preserve"> </w:t>
      </w:r>
      <w:r w:rsidRPr="00543885">
        <w:t>S and Richard R</w:t>
      </w:r>
      <w:r w:rsidR="00543885" w:rsidRPr="00543885">
        <w:t xml:space="preserve"> (2007) </w:t>
      </w:r>
      <w:r w:rsidRPr="00543885">
        <w:t>Review of methods for value transfer. In </w:t>
      </w:r>
      <w:r w:rsidR="00543885" w:rsidRPr="00543885">
        <w:t>e</w:t>
      </w:r>
      <w:r w:rsidRPr="00543885">
        <w:t xml:space="preserve">nvironmental </w:t>
      </w:r>
    </w:p>
    <w:p w14:paraId="3918FB4E" w14:textId="23246ADC" w:rsidR="00EA3732" w:rsidRPr="00232FD1" w:rsidRDefault="00EA3732" w:rsidP="00EA3732">
      <w:pPr>
        <w:spacing w:line="480" w:lineRule="auto"/>
        <w:ind w:firstLine="720"/>
      </w:pPr>
      <w:r w:rsidRPr="00543885">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Pr="00543885"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w:t>
      </w:r>
      <w:r w:rsidR="00585F81" w:rsidRPr="00543885">
        <w:t>8009(01)00233-6.</w:t>
      </w:r>
    </w:p>
    <w:p w14:paraId="0BABB741" w14:textId="24C00C74" w:rsidR="00585F81" w:rsidRPr="00543885" w:rsidRDefault="00585F81" w:rsidP="00585F81">
      <w:pPr>
        <w:spacing w:line="480" w:lineRule="auto"/>
      </w:pPr>
      <w:r w:rsidRPr="00543885">
        <w:t>Oliver TH, Heard</w:t>
      </w:r>
      <w:r w:rsidR="000065D4" w:rsidRPr="00543885">
        <w:t xml:space="preserve"> </w:t>
      </w:r>
      <w:r w:rsidRPr="00543885">
        <w:t xml:space="preserve">MS, Isaac NJ, Roy DB, Procter D, </w:t>
      </w:r>
      <w:proofErr w:type="spellStart"/>
      <w:r w:rsidRPr="00543885">
        <w:t>Eigenbrod</w:t>
      </w:r>
      <w:proofErr w:type="spellEnd"/>
      <w:r w:rsidRPr="00543885">
        <w:t xml:space="preserve"> F, </w:t>
      </w:r>
      <w:proofErr w:type="spellStart"/>
      <w:r w:rsidRPr="00543885">
        <w:t>Freckleton</w:t>
      </w:r>
      <w:proofErr w:type="spellEnd"/>
      <w:r w:rsidRPr="00543885">
        <w:t xml:space="preserve"> R, </w:t>
      </w:r>
    </w:p>
    <w:p w14:paraId="55A1F202" w14:textId="6D885DED" w:rsidR="00585F81" w:rsidRPr="00232FD1" w:rsidRDefault="00585F81" w:rsidP="00585F81">
      <w:pPr>
        <w:spacing w:line="480" w:lineRule="auto"/>
        <w:ind w:left="720"/>
      </w:pPr>
      <w:r w:rsidRPr="00543885">
        <w:t>Hector A, Orme CDL, Petchey OL</w:t>
      </w:r>
      <w:r w:rsidR="005F7D5A" w:rsidRPr="00543885">
        <w:t>,</w:t>
      </w:r>
      <w:r w:rsidRPr="00543885">
        <w:t xml:space="preserve"> </w:t>
      </w:r>
      <w:proofErr w:type="spellStart"/>
      <w:r w:rsidRPr="00543885">
        <w:t>Proença</w:t>
      </w:r>
      <w:proofErr w:type="spellEnd"/>
      <w:r w:rsidRPr="00543885">
        <w:t xml:space="preserve"> V</w:t>
      </w:r>
      <w:r w:rsidR="000065D4" w:rsidRPr="00543885">
        <w:t xml:space="preserve"> (</w:t>
      </w:r>
      <w:r w:rsidRPr="00543885">
        <w:t>2015</w:t>
      </w:r>
      <w:r w:rsidR="000065D4" w:rsidRPr="00543885">
        <w:t>)</w:t>
      </w:r>
      <w:r w:rsidRPr="00543885">
        <w:t xml:space="preserve"> Biodiversity and resilience of ecosystem functions. Trends in ecology </w:t>
      </w:r>
      <w:r w:rsidR="00EA7A03" w:rsidRPr="00543885">
        <w:t>and</w:t>
      </w:r>
      <w:r w:rsidRPr="00543885">
        <w:t xml:space="preserve"> evolution, 30(11), pp.</w:t>
      </w:r>
      <w:r w:rsidR="00C32CDA" w:rsidRPr="00543885">
        <w:t xml:space="preserve"> </w:t>
      </w:r>
      <w:r w:rsidRPr="00543885">
        <w:t>673-684.</w:t>
      </w:r>
    </w:p>
    <w:p w14:paraId="40CE15D0" w14:textId="35B87CDB" w:rsidR="00585F81" w:rsidRPr="00F1082B" w:rsidRDefault="00585F81" w:rsidP="00585F81">
      <w:pPr>
        <w:spacing w:line="480" w:lineRule="auto"/>
      </w:pPr>
      <w:proofErr w:type="spellStart"/>
      <w:r w:rsidRPr="00F1082B">
        <w:t>Peimer</w:t>
      </w:r>
      <w:proofErr w:type="spellEnd"/>
      <w:r w:rsidRPr="00F1082B">
        <w:t xml:space="preserve">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lastRenderedPageBreak/>
        <w:t>https://doi.org/10.1016/j.ecolecon.2014.02.018</w:t>
      </w:r>
      <w:r>
        <w:t>.</w:t>
      </w:r>
    </w:p>
    <w:p w14:paraId="3C6CE117" w14:textId="7792DCD0" w:rsidR="00585F81" w:rsidRPr="00543885" w:rsidRDefault="00585F81" w:rsidP="00585F81">
      <w:pPr>
        <w:spacing w:line="480" w:lineRule="auto"/>
      </w:pPr>
      <w:r w:rsidRPr="00543885">
        <w:t>Rosenberger RS</w:t>
      </w:r>
      <w:r w:rsidR="00075A5A" w:rsidRPr="00543885">
        <w:t xml:space="preserve"> (</w:t>
      </w:r>
      <w:r w:rsidRPr="00543885">
        <w:t>2015</w:t>
      </w:r>
      <w:r w:rsidR="00075A5A" w:rsidRPr="00543885">
        <w:t xml:space="preserve">) </w:t>
      </w:r>
      <w:r w:rsidRPr="00543885">
        <w:t xml:space="preserve">Benefit transfer validity and reliability. In: Johnston RJ, Rolfe J, </w:t>
      </w:r>
    </w:p>
    <w:p w14:paraId="3803FACF" w14:textId="7F112374" w:rsidR="00585F81" w:rsidRPr="00232FD1" w:rsidRDefault="00585F81" w:rsidP="00585F81">
      <w:pPr>
        <w:spacing w:line="480" w:lineRule="auto"/>
        <w:ind w:left="720"/>
      </w:pPr>
      <w:r w:rsidRPr="00543885">
        <w:t>Rosenberger RS, Brouwer R (eds) Benefit transfer of environmental and resource values: a guide for researchers and practitioners. Springer, Netherlands, Dordrecht, pp</w:t>
      </w:r>
      <w:r w:rsidR="00C32CDA" w:rsidRPr="00543885">
        <w:t xml:space="preserve">. </w:t>
      </w:r>
      <w:r w:rsidRPr="00543885">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543885" w:rsidRDefault="00F94E1A" w:rsidP="00F94E1A">
      <w:pPr>
        <w:spacing w:line="480" w:lineRule="auto"/>
        <w:rPr>
          <w:color w:val="222222"/>
          <w:shd w:val="clear" w:color="auto" w:fill="FFFFFF"/>
        </w:rPr>
      </w:pPr>
      <w:r w:rsidRPr="00543885">
        <w:rPr>
          <w:color w:val="222222"/>
          <w:shd w:val="clear" w:color="auto" w:fill="FFFFFF"/>
        </w:rPr>
        <w:t>Schuijt K (2002)</w:t>
      </w:r>
      <w:r w:rsidR="00381845" w:rsidRPr="00543885">
        <w:rPr>
          <w:color w:val="222222"/>
          <w:shd w:val="clear" w:color="auto" w:fill="FFFFFF"/>
        </w:rPr>
        <w:t xml:space="preserve"> </w:t>
      </w:r>
      <w:r w:rsidRPr="00543885">
        <w:rPr>
          <w:color w:val="222222"/>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543885">
        <w:rPr>
          <w:color w:val="222222"/>
          <w:shd w:val="clear" w:color="auto" w:fill="FFFFFF"/>
        </w:rPr>
        <w:t>wetlands. International Institute for Applied Systems Analysis, Austria. Interim Report IR-02-063.</w:t>
      </w:r>
    </w:p>
    <w:p w14:paraId="086A52A6" w14:textId="335348A6" w:rsidR="00585F81" w:rsidRPr="00543885" w:rsidRDefault="00585F81" w:rsidP="00585F81">
      <w:pPr>
        <w:spacing w:line="480" w:lineRule="auto"/>
      </w:pPr>
      <w:proofErr w:type="spellStart"/>
      <w:r w:rsidRPr="00543885">
        <w:t>Schütt</w:t>
      </w:r>
      <w:proofErr w:type="spellEnd"/>
      <w:r w:rsidRPr="00543885">
        <w:t>, M</w:t>
      </w:r>
      <w:r w:rsidR="00075A5A" w:rsidRPr="00543885">
        <w:t xml:space="preserve"> (</w:t>
      </w:r>
      <w:r w:rsidRPr="00543885">
        <w:t>2021</w:t>
      </w:r>
      <w:r w:rsidR="00075A5A" w:rsidRPr="00543885">
        <w:t>)</w:t>
      </w:r>
      <w:r w:rsidRPr="00543885">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543885">
        <w:t>meta-regression analysis and benefit transfer. Environmental and Resource Economics, 78(3), pp.</w:t>
      </w:r>
      <w:r w:rsidR="00C32CDA" w:rsidRPr="00543885">
        <w:t xml:space="preserve"> </w:t>
      </w:r>
      <w:r w:rsidRPr="00543885">
        <w:t>381-416.</w:t>
      </w:r>
      <w:r w:rsidR="008A11D9" w:rsidRPr="00543885">
        <w:t xml:space="preserve"> https://doi.org/10.1007/s10640-021-00536-2.</w:t>
      </w:r>
    </w:p>
    <w:p w14:paraId="55230242" w14:textId="1E72BAED" w:rsidR="00585F81" w:rsidRDefault="00585F81" w:rsidP="00585F81">
      <w:pPr>
        <w:spacing w:line="480" w:lineRule="auto"/>
      </w:pPr>
      <w:r>
        <w:t>Serajuddin</w:t>
      </w:r>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43885" w:rsidRDefault="00585F81" w:rsidP="00585F81">
      <w:pPr>
        <w:spacing w:line="480" w:lineRule="auto"/>
        <w:ind w:left="720"/>
      </w:pPr>
      <w:r w:rsidRPr="005614C2">
        <w:t>2020-2021</w:t>
      </w:r>
      <w:r>
        <w:t xml:space="preserve">. </w:t>
      </w:r>
      <w:r w:rsidRPr="00F1082B">
        <w:t>https://blogs.worldbank.org/opendata/new-world-bank-country-</w:t>
      </w:r>
      <w:r w:rsidRPr="00543885">
        <w:t>classifications-income-level-2020-2021. Accessed on August 30, 2020.</w:t>
      </w:r>
    </w:p>
    <w:p w14:paraId="005F6B04" w14:textId="0D5B5EC9" w:rsidR="00585F81" w:rsidRPr="00543885" w:rsidRDefault="00585F81" w:rsidP="00585F81">
      <w:pPr>
        <w:spacing w:line="480" w:lineRule="auto"/>
      </w:pPr>
      <w:r w:rsidRPr="00543885">
        <w:t>Sutton AJ</w:t>
      </w:r>
      <w:r w:rsidR="00075A5A" w:rsidRPr="00543885">
        <w:t xml:space="preserve">, </w:t>
      </w:r>
      <w:r w:rsidRPr="00543885">
        <w:t>Song</w:t>
      </w:r>
      <w:r w:rsidR="00075A5A" w:rsidRPr="00543885">
        <w:t xml:space="preserve"> </w:t>
      </w:r>
      <w:r w:rsidRPr="00543885">
        <w:t xml:space="preserve">F, </w:t>
      </w:r>
      <w:proofErr w:type="spellStart"/>
      <w:r w:rsidRPr="00543885">
        <w:t>Gilbody</w:t>
      </w:r>
      <w:proofErr w:type="spellEnd"/>
      <w:r w:rsidRPr="00543885">
        <w:t xml:space="preserve"> SM</w:t>
      </w:r>
      <w:r w:rsidR="005F7D5A" w:rsidRPr="00543885">
        <w:t xml:space="preserve">, </w:t>
      </w:r>
      <w:r w:rsidRPr="00543885">
        <w:t>Abrams KR</w:t>
      </w:r>
      <w:r w:rsidR="00075A5A" w:rsidRPr="00543885">
        <w:t xml:space="preserve"> (</w:t>
      </w:r>
      <w:r w:rsidRPr="00543885">
        <w:t>2000</w:t>
      </w:r>
      <w:r w:rsidR="00075A5A" w:rsidRPr="00543885">
        <w:t>)</w:t>
      </w:r>
      <w:r w:rsidRPr="00543885">
        <w:t xml:space="preserve"> Modelling publication bias in </w:t>
      </w:r>
    </w:p>
    <w:p w14:paraId="67993777" w14:textId="58059EED" w:rsidR="00585F81" w:rsidRDefault="00585F81" w:rsidP="00585F81">
      <w:pPr>
        <w:spacing w:line="480" w:lineRule="auto"/>
        <w:ind w:firstLine="720"/>
      </w:pPr>
      <w:r w:rsidRPr="00543885">
        <w:t>meta-analysis: a review. Statistical methods in medical research, 9(5), pp.</w:t>
      </w:r>
      <w:r w:rsidR="00C32CDA" w:rsidRPr="00543885">
        <w:t xml:space="preserve"> </w:t>
      </w:r>
      <w:r w:rsidRPr="00543885">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lastRenderedPageBreak/>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543885" w:rsidRDefault="00176660" w:rsidP="00585F81">
      <w:pPr>
        <w:spacing w:line="480" w:lineRule="auto"/>
        <w:ind w:firstLine="720"/>
      </w:pPr>
      <w:r w:rsidRPr="00543885">
        <w:t>https://doi.org/10.1515/sab-2017-0009.</w:t>
      </w:r>
    </w:p>
    <w:p w14:paraId="2DD0457F" w14:textId="545E1A41" w:rsidR="00585F81" w:rsidRPr="00543885" w:rsidRDefault="00585F81" w:rsidP="00585F81">
      <w:pPr>
        <w:spacing w:line="480" w:lineRule="auto"/>
      </w:pPr>
      <w:proofErr w:type="spellStart"/>
      <w:r w:rsidRPr="00543885">
        <w:t>Watmough</w:t>
      </w:r>
      <w:proofErr w:type="spellEnd"/>
      <w:r w:rsidR="00075A5A" w:rsidRPr="00543885">
        <w:t xml:space="preserve"> </w:t>
      </w:r>
      <w:r w:rsidRPr="00543885">
        <w:t>M</w:t>
      </w:r>
      <w:r w:rsidR="005F7D5A" w:rsidRPr="00543885">
        <w:t xml:space="preserve">, </w:t>
      </w:r>
      <w:proofErr w:type="spellStart"/>
      <w:r w:rsidRPr="00543885">
        <w:t>Schmoll</w:t>
      </w:r>
      <w:proofErr w:type="spellEnd"/>
      <w:r w:rsidR="00075A5A" w:rsidRPr="00543885">
        <w:t xml:space="preserve"> </w:t>
      </w:r>
      <w:r w:rsidRPr="00543885">
        <w:t>MJ</w:t>
      </w:r>
      <w:r w:rsidR="00075A5A" w:rsidRPr="00543885">
        <w:t xml:space="preserve"> (</w:t>
      </w:r>
      <w:r w:rsidRPr="00543885">
        <w:t>2007</w:t>
      </w:r>
      <w:r w:rsidR="00075A5A" w:rsidRPr="00543885">
        <w:t>)</w:t>
      </w:r>
      <w:r w:rsidRPr="00543885">
        <w:t xml:space="preserve"> Environment Canada's Prairie </w:t>
      </w:r>
      <w:r w:rsidR="00EA7A03" w:rsidRPr="00543885">
        <w:t>and</w:t>
      </w:r>
      <w:r w:rsidRPr="00543885">
        <w:t xml:space="preserve"> Northern Region </w:t>
      </w:r>
    </w:p>
    <w:p w14:paraId="2A06DDFF" w14:textId="77777777" w:rsidR="00585F81" w:rsidRPr="00543885" w:rsidRDefault="00585F81" w:rsidP="00585F81">
      <w:pPr>
        <w:spacing w:line="480" w:lineRule="auto"/>
        <w:ind w:left="720"/>
      </w:pPr>
      <w:r w:rsidRPr="00543885">
        <w:t>Habitat Monitoring Program phase II: recent habitat trends in the Prairie Habitat Joint Venture. Canadian Wildlife Service, Prairie and Northern Region.</w:t>
      </w:r>
    </w:p>
    <w:p w14:paraId="647F56B4" w14:textId="4712D1F8" w:rsidR="00585F81" w:rsidRPr="00543885" w:rsidRDefault="00585F81" w:rsidP="00585F81">
      <w:pPr>
        <w:spacing w:line="480" w:lineRule="auto"/>
      </w:pPr>
      <w:r w:rsidRPr="00543885">
        <w:t>Watson K., Ricketts</w:t>
      </w:r>
      <w:r w:rsidR="00075A5A" w:rsidRPr="00543885">
        <w:t xml:space="preserve"> </w:t>
      </w:r>
      <w:r w:rsidRPr="00543885">
        <w:t xml:space="preserve">T, </w:t>
      </w:r>
      <w:proofErr w:type="spellStart"/>
      <w:r w:rsidRPr="00543885">
        <w:t>Galford</w:t>
      </w:r>
      <w:proofErr w:type="spellEnd"/>
      <w:r w:rsidR="00075A5A" w:rsidRPr="00543885">
        <w:t xml:space="preserve"> </w:t>
      </w:r>
      <w:r w:rsidRPr="00543885">
        <w:t xml:space="preserve">G, </w:t>
      </w:r>
      <w:proofErr w:type="spellStart"/>
      <w:r w:rsidRPr="00543885">
        <w:t>Polasky</w:t>
      </w:r>
      <w:proofErr w:type="spellEnd"/>
      <w:r w:rsidR="00075A5A" w:rsidRPr="00543885">
        <w:t xml:space="preserve"> </w:t>
      </w:r>
      <w:r w:rsidRPr="00543885">
        <w:t xml:space="preserve">S. </w:t>
      </w:r>
      <w:proofErr w:type="spellStart"/>
      <w:r w:rsidRPr="00543885">
        <w:t>O'Niel</w:t>
      </w:r>
      <w:proofErr w:type="spellEnd"/>
      <w:r w:rsidRPr="00543885">
        <w:t>-Dunne</w:t>
      </w:r>
      <w:r w:rsidR="00075A5A" w:rsidRPr="00543885">
        <w:t xml:space="preserve"> </w:t>
      </w:r>
      <w:r w:rsidRPr="00543885">
        <w:t>J</w:t>
      </w:r>
      <w:r w:rsidR="00075A5A" w:rsidRPr="00543885">
        <w:t xml:space="preserve"> (</w:t>
      </w:r>
      <w:r w:rsidRPr="00543885">
        <w:t>2016</w:t>
      </w:r>
      <w:r w:rsidR="00075A5A" w:rsidRPr="00543885">
        <w:t xml:space="preserve">) </w:t>
      </w:r>
      <w:r w:rsidRPr="00543885">
        <w:t xml:space="preserve">Quantifying </w:t>
      </w:r>
    </w:p>
    <w:p w14:paraId="042E13C8" w14:textId="5ED71C96" w:rsidR="00585F81" w:rsidRDefault="00585F81" w:rsidP="00585F81">
      <w:pPr>
        <w:spacing w:line="480" w:lineRule="auto"/>
        <w:ind w:left="720"/>
      </w:pPr>
      <w:r w:rsidRPr="00543885">
        <w:t>flood mitigation services: The economic value of Otter Creek wetlands and floodplains to Middlebury, VT. Ecological Economics, 130, pp.</w:t>
      </w:r>
      <w:r w:rsidR="00BA61A4" w:rsidRPr="00543885">
        <w:t xml:space="preserve"> </w:t>
      </w:r>
      <w:r w:rsidRPr="00543885">
        <w:t>16-24.</w:t>
      </w:r>
    </w:p>
    <w:p w14:paraId="76B991B5" w14:textId="28745161"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r w:rsidR="00543885" w:rsidRPr="004B29ED">
        <w:t>meta-</w:t>
      </w:r>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r>
              <w:t>water treatment/purification</w:t>
            </w:r>
          </w:p>
        </w:tc>
        <w:tc>
          <w:tcPr>
            <w:tcW w:w="4675" w:type="dxa"/>
          </w:tcPr>
          <w:p w14:paraId="71242678" w14:textId="77777777" w:rsidR="000B04EC" w:rsidRDefault="000B04EC" w:rsidP="000B04EC">
            <w:r>
              <w:t>livestock grazing/pasture</w:t>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EF6DC9"/>
        </w:tc>
        <w:tc>
          <w:tcPr>
            <w:tcW w:w="4675" w:type="dxa"/>
            <w:tcBorders>
              <w:top w:val="single" w:sz="4" w:space="0" w:color="auto"/>
            </w:tcBorders>
          </w:tcPr>
          <w:p w14:paraId="3A124C81" w14:textId="77777777" w:rsidR="000B04EC" w:rsidRDefault="000B04EC" w:rsidP="00EF6DC9"/>
        </w:tc>
      </w:tr>
      <w:tr w:rsidR="000B04EC" w14:paraId="3907E1D1" w14:textId="77777777" w:rsidTr="000B04EC">
        <w:tc>
          <w:tcPr>
            <w:tcW w:w="4675" w:type="dxa"/>
          </w:tcPr>
          <w:p w14:paraId="088B4B12" w14:textId="77777777" w:rsidR="000B04EC" w:rsidRDefault="000B04EC" w:rsidP="00EF6DC9"/>
        </w:tc>
        <w:tc>
          <w:tcPr>
            <w:tcW w:w="4675" w:type="dxa"/>
          </w:tcPr>
          <w:p w14:paraId="62CBA1B7" w14:textId="77777777" w:rsidR="000B04EC" w:rsidRDefault="000B04EC" w:rsidP="00EF6DC9"/>
        </w:tc>
      </w:tr>
      <w:tr w:rsidR="000B04EC" w14:paraId="16D59EBB" w14:textId="77777777" w:rsidTr="000B04EC">
        <w:tc>
          <w:tcPr>
            <w:tcW w:w="4675" w:type="dxa"/>
          </w:tcPr>
          <w:p w14:paraId="7E6EDDD2" w14:textId="77777777" w:rsidR="000B04EC" w:rsidRDefault="000B04EC" w:rsidP="00EF6DC9"/>
        </w:tc>
        <w:tc>
          <w:tcPr>
            <w:tcW w:w="4675" w:type="dxa"/>
          </w:tcPr>
          <w:p w14:paraId="7E40CBC1" w14:textId="77777777" w:rsidR="000B04EC" w:rsidRDefault="000B04EC" w:rsidP="00EF6DC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12"/>
            <w:r w:rsidRPr="00F723F5">
              <w:rPr>
                <w:b/>
                <w:bCs/>
                <w:sz w:val="20"/>
                <w:szCs w:val="20"/>
                <w:lang w:val="en-CA" w:eastAsia="en-CA"/>
              </w:rPr>
              <w:t>Paper</w:t>
            </w:r>
            <w:commentRangeEnd w:id="12"/>
            <w:r w:rsidR="00F64A4F">
              <w:rPr>
                <w:rStyle w:val="CommentReference"/>
                <w:rFonts w:ascii="Liberation Serif" w:eastAsia="SimSun" w:hAnsi="Liberation Serif" w:cs="Mangal"/>
                <w:kern w:val="3"/>
                <w:lang w:eastAsia="zh-CN" w:bidi="hi-IN"/>
              </w:rPr>
              <w:commentReference w:id="12"/>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5726F6CC" w14:textId="7DDCF1A9" w:rsidR="0002021D" w:rsidRDefault="0002021D" w:rsidP="0002021D">
      <w:pPr>
        <w:pStyle w:val="CommentText"/>
        <w:rPr>
          <w:rFonts w:hint="eastAsia"/>
        </w:rPr>
      </w:pPr>
      <w:r>
        <w:rPr>
          <w:rStyle w:val="CommentReference"/>
          <w:rFonts w:hint="eastAsia"/>
        </w:rPr>
        <w:annotationRef/>
      </w:r>
    </w:p>
  </w:comment>
  <w:comment w:id="1" w:author="Author" w:initials="A">
    <w:p w14:paraId="0CD6D02C" w14:textId="77777777" w:rsidR="0002021D" w:rsidRDefault="0002021D" w:rsidP="0002021D">
      <w:pPr>
        <w:pStyle w:val="CommentText"/>
        <w:rPr>
          <w:rFonts w:hint="eastAsia"/>
        </w:rPr>
      </w:pPr>
      <w:r>
        <w:rPr>
          <w:rStyle w:val="CommentReference"/>
          <w:rFonts w:hint="eastAsia"/>
        </w:rPr>
        <w:annotationRef/>
      </w:r>
      <w:r>
        <w:rPr>
          <w:rStyle w:val="CommentReference"/>
        </w:rPr>
        <w:t xml:space="preserve">I am used to seeing figure captions below the figures. Also, figures should be able to stand alone. Thus, </w:t>
      </w:r>
      <w:proofErr w:type="gramStart"/>
      <w:r>
        <w:rPr>
          <w:rStyle w:val="CommentReference"/>
        </w:rPr>
        <w:t>the  information</w:t>
      </w:r>
      <w:proofErr w:type="gramEnd"/>
      <w:r>
        <w:rPr>
          <w:rStyle w:val="CommentReference"/>
        </w:rPr>
        <w:t xml:space="preserve"> on what the symbols represent should be included in the figure caption, not as a footnote at the bottom of the page. </w:t>
      </w:r>
    </w:p>
  </w:comment>
  <w:comment w:id="7" w:author="Author" w:initials="A">
    <w:p w14:paraId="63F74474" w14:textId="107D8AAA" w:rsidR="005B449A" w:rsidRDefault="005B449A">
      <w:pPr>
        <w:pStyle w:val="CommentText"/>
        <w:rPr>
          <w:rFonts w:hint="eastAsia"/>
        </w:rPr>
      </w:pPr>
      <w:r>
        <w:rPr>
          <w:rStyle w:val="CommentReference"/>
          <w:rFonts w:hint="eastAsia"/>
        </w:rPr>
        <w:annotationRef/>
      </w:r>
      <w:r>
        <w:t xml:space="preserve">Can you provide a scale for this and the other $ values in this </w:t>
      </w:r>
      <w:proofErr w:type="gramStart"/>
      <w:r>
        <w:t>paragraph.</w:t>
      </w:r>
      <w:proofErr w:type="gramEnd"/>
      <w:r>
        <w:t xml:space="preserve">  The extremely small differences need some explaining as to scaling.</w:t>
      </w:r>
    </w:p>
  </w:comment>
  <w:comment w:id="8" w:author="Author" w:initials="A">
    <w:p w14:paraId="4253F5AD" w14:textId="5108087F" w:rsidR="00B8296C" w:rsidRDefault="00B8296C">
      <w:pPr>
        <w:pStyle w:val="CommentText"/>
        <w:rPr>
          <w:rFonts w:hint="eastAsia"/>
        </w:rPr>
      </w:pPr>
      <w:r>
        <w:rPr>
          <w:rStyle w:val="CommentReference"/>
          <w:rFonts w:hint="eastAsia"/>
        </w:rPr>
        <w:annotationRef/>
      </w:r>
      <w:r w:rsidR="00415EB2">
        <w:t xml:space="preserve">I have </w:t>
      </w:r>
      <w:proofErr w:type="gramStart"/>
      <w:r w:rsidR="00415EB2">
        <w:t>provide</w:t>
      </w:r>
      <w:proofErr w:type="gramEnd"/>
      <w:r w:rsidR="00415EB2">
        <w:t xml:space="preserve"> the units for the values ($/ha/year)</w:t>
      </w:r>
      <w:r w:rsidR="00BB37FD">
        <w:t xml:space="preserve">. </w:t>
      </w:r>
      <w:r>
        <w:t>Ken, do you</w:t>
      </w:r>
      <w:r w:rsidR="00BB37FD">
        <w:t xml:space="preserve"> think this is what the reviewer meant by scale? </w:t>
      </w:r>
    </w:p>
  </w:comment>
  <w:comment w:id="12" w:author="Author" w:initials="A">
    <w:p w14:paraId="62611972" w14:textId="5366C704" w:rsidR="00F64A4F" w:rsidRDefault="00F64A4F">
      <w:pPr>
        <w:pStyle w:val="CommentText"/>
        <w:rPr>
          <w:rFonts w:hint="eastAsia"/>
        </w:rPr>
      </w:pPr>
      <w:r>
        <w:rPr>
          <w:rStyle w:val="CommentReference"/>
          <w:rFonts w:hint="eastAsia"/>
        </w:rPr>
        <w:annotationRef/>
      </w:r>
      <w:r>
        <w:t>You should provide a complete citation for each paper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6F6CC" w15:done="0"/>
  <w15:commentEx w15:paraId="0CD6D02C" w15:done="0"/>
  <w15:commentEx w15:paraId="63F74474" w15:done="0"/>
  <w15:commentEx w15:paraId="4253F5AD" w15:paraIdParent="63F74474" w15:done="0"/>
  <w15:commentEx w15:paraId="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6F6CC" w16cid:durableId="2541B97B"/>
  <w16cid:commentId w16cid:paraId="0CD6D02C" w16cid:durableId="2541B97A"/>
  <w16cid:commentId w16cid:paraId="63F74474" w16cid:durableId="2517B4C5"/>
  <w16cid:commentId w16cid:paraId="4253F5AD" w16cid:durableId="254600CF"/>
  <w16cid:commentId w16cid:paraId="62611972" w16cid:durableId="2515B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6401" w14:textId="77777777" w:rsidR="0085191A" w:rsidRDefault="0085191A">
      <w:r>
        <w:separator/>
      </w:r>
    </w:p>
  </w:endnote>
  <w:endnote w:type="continuationSeparator" w:id="0">
    <w:p w14:paraId="5004F3F6" w14:textId="77777777" w:rsidR="0085191A" w:rsidRDefault="0085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3D2FE1">
          <w:rPr>
            <w:noProof/>
          </w:rPr>
          <w:t>1</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7BFB" w14:textId="77777777" w:rsidR="0085191A" w:rsidRDefault="0085191A">
      <w:r>
        <w:separator/>
      </w:r>
    </w:p>
  </w:footnote>
  <w:footnote w:type="continuationSeparator" w:id="0">
    <w:p w14:paraId="2ADADDE8" w14:textId="77777777" w:rsidR="0085191A" w:rsidRDefault="00851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5"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
  </w:num>
  <w:num w:numId="3">
    <w:abstractNumId w:val="2"/>
  </w:num>
  <w:num w:numId="4">
    <w:abstractNumId w:val="11"/>
  </w:num>
  <w:num w:numId="5">
    <w:abstractNumId w:val="9"/>
  </w:num>
  <w:num w:numId="6">
    <w:abstractNumId w:val="17"/>
  </w:num>
  <w:num w:numId="7">
    <w:abstractNumId w:val="10"/>
  </w:num>
  <w:num w:numId="8">
    <w:abstractNumId w:val="12"/>
  </w:num>
  <w:num w:numId="9">
    <w:abstractNumId w:val="13"/>
  </w:num>
  <w:num w:numId="10">
    <w:abstractNumId w:val="8"/>
  </w:num>
  <w:num w:numId="11">
    <w:abstractNumId w:val="6"/>
  </w:num>
  <w:num w:numId="12">
    <w:abstractNumId w:val="16"/>
  </w:num>
  <w:num w:numId="13">
    <w:abstractNumId w:val="15"/>
  </w:num>
  <w:num w:numId="14">
    <w:abstractNumId w:val="4"/>
  </w:num>
  <w:num w:numId="15">
    <w:abstractNumId w:val="0"/>
  </w:num>
  <w:num w:numId="16">
    <w:abstractNumId w:val="7"/>
  </w:num>
  <w:num w:numId="17">
    <w:abstractNumId w:val="1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F12"/>
    <w:rsid w:val="00085199"/>
    <w:rsid w:val="0008541B"/>
    <w:rsid w:val="00085944"/>
    <w:rsid w:val="00086084"/>
    <w:rsid w:val="0008673F"/>
    <w:rsid w:val="000872DE"/>
    <w:rsid w:val="00087AF5"/>
    <w:rsid w:val="0009047D"/>
    <w:rsid w:val="00090551"/>
    <w:rsid w:val="00090B75"/>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04EC"/>
    <w:rsid w:val="000B170A"/>
    <w:rsid w:val="000B1A6B"/>
    <w:rsid w:val="000B1FB0"/>
    <w:rsid w:val="000B2DD9"/>
    <w:rsid w:val="000B3EC7"/>
    <w:rsid w:val="000B4A4B"/>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24E8"/>
    <w:rsid w:val="000D3189"/>
    <w:rsid w:val="000D3CC2"/>
    <w:rsid w:val="000D3DBA"/>
    <w:rsid w:val="000D4F86"/>
    <w:rsid w:val="000D589D"/>
    <w:rsid w:val="000D660C"/>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09D4"/>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830"/>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5241"/>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29BD"/>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6BFD"/>
    <w:rsid w:val="002F70F5"/>
    <w:rsid w:val="002F7230"/>
    <w:rsid w:val="002F7D64"/>
    <w:rsid w:val="00300212"/>
    <w:rsid w:val="003010A1"/>
    <w:rsid w:val="003016B4"/>
    <w:rsid w:val="0030282F"/>
    <w:rsid w:val="0030384E"/>
    <w:rsid w:val="003038DC"/>
    <w:rsid w:val="00307054"/>
    <w:rsid w:val="003070D3"/>
    <w:rsid w:val="00307CC6"/>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237A"/>
    <w:rsid w:val="0033587F"/>
    <w:rsid w:val="00336477"/>
    <w:rsid w:val="003401B8"/>
    <w:rsid w:val="003404A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5CE6"/>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1EC4"/>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9DF"/>
    <w:rsid w:val="00412AA5"/>
    <w:rsid w:val="004140F3"/>
    <w:rsid w:val="00414FF0"/>
    <w:rsid w:val="00415EB2"/>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4687"/>
    <w:rsid w:val="004B606E"/>
    <w:rsid w:val="004B7517"/>
    <w:rsid w:val="004C1163"/>
    <w:rsid w:val="004C2406"/>
    <w:rsid w:val="004C26B7"/>
    <w:rsid w:val="004C2B70"/>
    <w:rsid w:val="004C39F8"/>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885"/>
    <w:rsid w:val="00543A0A"/>
    <w:rsid w:val="005445CE"/>
    <w:rsid w:val="00546398"/>
    <w:rsid w:val="00546B49"/>
    <w:rsid w:val="0054759B"/>
    <w:rsid w:val="005476EE"/>
    <w:rsid w:val="00550C6D"/>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C189E"/>
    <w:rsid w:val="005C2387"/>
    <w:rsid w:val="005C39EE"/>
    <w:rsid w:val="005C410F"/>
    <w:rsid w:val="005C56FF"/>
    <w:rsid w:val="005C5B70"/>
    <w:rsid w:val="005C6339"/>
    <w:rsid w:val="005C63F0"/>
    <w:rsid w:val="005C6D78"/>
    <w:rsid w:val="005C72A6"/>
    <w:rsid w:val="005C7361"/>
    <w:rsid w:val="005C790E"/>
    <w:rsid w:val="005D132D"/>
    <w:rsid w:val="005D2031"/>
    <w:rsid w:val="005D286D"/>
    <w:rsid w:val="005D3EF2"/>
    <w:rsid w:val="005D4779"/>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A0372"/>
    <w:rsid w:val="006A0D1A"/>
    <w:rsid w:val="006A11F4"/>
    <w:rsid w:val="006A1701"/>
    <w:rsid w:val="006A1FE0"/>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C7FF8"/>
    <w:rsid w:val="006D0907"/>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70143F"/>
    <w:rsid w:val="0070286B"/>
    <w:rsid w:val="00702C77"/>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1E45"/>
    <w:rsid w:val="007437DA"/>
    <w:rsid w:val="00743D39"/>
    <w:rsid w:val="0074542B"/>
    <w:rsid w:val="00745485"/>
    <w:rsid w:val="00745756"/>
    <w:rsid w:val="007457B5"/>
    <w:rsid w:val="007459DD"/>
    <w:rsid w:val="00746345"/>
    <w:rsid w:val="00747ECE"/>
    <w:rsid w:val="007555ED"/>
    <w:rsid w:val="007556C6"/>
    <w:rsid w:val="00760C6F"/>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3B48"/>
    <w:rsid w:val="008241DE"/>
    <w:rsid w:val="008249A9"/>
    <w:rsid w:val="00827509"/>
    <w:rsid w:val="00827B2C"/>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91A"/>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782"/>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C38"/>
    <w:rsid w:val="008A3656"/>
    <w:rsid w:val="008A3F25"/>
    <w:rsid w:val="008A4F2A"/>
    <w:rsid w:val="008A4FEA"/>
    <w:rsid w:val="008A591D"/>
    <w:rsid w:val="008B010B"/>
    <w:rsid w:val="008B035D"/>
    <w:rsid w:val="008B094D"/>
    <w:rsid w:val="008B2CC3"/>
    <w:rsid w:val="008B36DD"/>
    <w:rsid w:val="008B5A50"/>
    <w:rsid w:val="008B5B64"/>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A7A"/>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0DDF"/>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44A5"/>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2CA0"/>
    <w:rsid w:val="00A83A55"/>
    <w:rsid w:val="00A85C2E"/>
    <w:rsid w:val="00A90ADE"/>
    <w:rsid w:val="00A90C0F"/>
    <w:rsid w:val="00A9251D"/>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67EED"/>
    <w:rsid w:val="00B71782"/>
    <w:rsid w:val="00B73C39"/>
    <w:rsid w:val="00B74CE8"/>
    <w:rsid w:val="00B777B5"/>
    <w:rsid w:val="00B807CA"/>
    <w:rsid w:val="00B80D47"/>
    <w:rsid w:val="00B80E4A"/>
    <w:rsid w:val="00B8148B"/>
    <w:rsid w:val="00B8296C"/>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A6A8B"/>
    <w:rsid w:val="00BB0855"/>
    <w:rsid w:val="00BB0F10"/>
    <w:rsid w:val="00BB1A18"/>
    <w:rsid w:val="00BB1D24"/>
    <w:rsid w:val="00BB23FF"/>
    <w:rsid w:val="00BB27DF"/>
    <w:rsid w:val="00BB37FD"/>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2676"/>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322"/>
    <w:rsid w:val="00C24797"/>
    <w:rsid w:val="00C24AC0"/>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979A1"/>
    <w:rsid w:val="00CA068F"/>
    <w:rsid w:val="00CA2AC1"/>
    <w:rsid w:val="00CA3A0C"/>
    <w:rsid w:val="00CA459C"/>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370B"/>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418"/>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4CF2"/>
    <w:rsid w:val="00D565A2"/>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37D3"/>
    <w:rsid w:val="00DE5876"/>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FE1"/>
    <w:rsid w:val="00E051EC"/>
    <w:rsid w:val="00E0551D"/>
    <w:rsid w:val="00E056FC"/>
    <w:rsid w:val="00E13FFA"/>
    <w:rsid w:val="00E14124"/>
    <w:rsid w:val="00E15E79"/>
    <w:rsid w:val="00E16172"/>
    <w:rsid w:val="00E16AE8"/>
    <w:rsid w:val="00E17137"/>
    <w:rsid w:val="00E17941"/>
    <w:rsid w:val="00E1797A"/>
    <w:rsid w:val="00E17CE4"/>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16DC"/>
    <w:rsid w:val="00E643A3"/>
    <w:rsid w:val="00E6474C"/>
    <w:rsid w:val="00E647A8"/>
    <w:rsid w:val="00E66197"/>
    <w:rsid w:val="00E67B67"/>
    <w:rsid w:val="00E7251E"/>
    <w:rsid w:val="00E73D48"/>
    <w:rsid w:val="00E746A4"/>
    <w:rsid w:val="00E7486C"/>
    <w:rsid w:val="00E74E76"/>
    <w:rsid w:val="00E7677B"/>
    <w:rsid w:val="00E767B0"/>
    <w:rsid w:val="00E77610"/>
    <w:rsid w:val="00E834DF"/>
    <w:rsid w:val="00E84D63"/>
    <w:rsid w:val="00E854C5"/>
    <w:rsid w:val="00E867DE"/>
    <w:rsid w:val="00E90759"/>
    <w:rsid w:val="00E9122E"/>
    <w:rsid w:val="00E92C01"/>
    <w:rsid w:val="00E92CB9"/>
    <w:rsid w:val="00E93F7E"/>
    <w:rsid w:val="00E94DAD"/>
    <w:rsid w:val="00E954BC"/>
    <w:rsid w:val="00E9729F"/>
    <w:rsid w:val="00EA050E"/>
    <w:rsid w:val="00EA0E32"/>
    <w:rsid w:val="00EA1A32"/>
    <w:rsid w:val="00EA2C88"/>
    <w:rsid w:val="00EA34B9"/>
    <w:rsid w:val="00EA3732"/>
    <w:rsid w:val="00EA3BE1"/>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6AF"/>
    <w:rsid w:val="00EC1737"/>
    <w:rsid w:val="00EC2E70"/>
    <w:rsid w:val="00EC4418"/>
    <w:rsid w:val="00EC48E7"/>
    <w:rsid w:val="00EC4CE5"/>
    <w:rsid w:val="00EC69FB"/>
    <w:rsid w:val="00EC7635"/>
    <w:rsid w:val="00ED0E30"/>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77419"/>
    <w:rsid w:val="00F80CBA"/>
    <w:rsid w:val="00F82188"/>
    <w:rsid w:val="00F82D6D"/>
    <w:rsid w:val="00F84B07"/>
    <w:rsid w:val="00F84D9F"/>
    <w:rsid w:val="00F84F90"/>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3185"/>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styleId="UnresolvedMention">
    <w:name w:val="Unresolved Mention"/>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footer" Target="footer1.xml"/><Relationship Id="rId18" Type="http://schemas.openxmlformats.org/officeDocument/2006/relationships/hyperlink" Target="https://doi.org/10.7927/H4N014G5.%20Accessed%20November%2028th%202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7927/H4RR1W66" TargetMode="External"/><Relationship Id="rId2" Type="http://schemas.openxmlformats.org/officeDocument/2006/relationships/numbering" Target="numbering.xml"/><Relationship Id="rId16" Type="http://schemas.openxmlformats.org/officeDocument/2006/relationships/hyperlink" Target="https://doi.org/10.7910/DVN/IDOC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7927/H4DZ068D" TargetMode="External"/><Relationship Id="rId10" Type="http://schemas.openxmlformats.org/officeDocument/2006/relationships/comments" Target="comments.xml"/><Relationship Id="rId19" Type="http://schemas.openxmlformats.org/officeDocument/2006/relationships/hyperlink" Target="https://doi.org/10.1007/s11707-010-0015-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ink.springer.com/article/10.1007/s10640-021-00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48186-073F-4C1C-AB99-A043F91A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10123</Words>
  <Characters>57706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2021-11-23T09:03:00Z</dcterms:created>
  <dcterms:modified xsi:type="dcterms:W3CDTF">2021-11-24T04:32:00Z</dcterms:modified>
</cp:coreProperties>
</file>