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77777777" w:rsidR="0009047D" w:rsidRDefault="0009047D" w:rsidP="0009047D">
      <w:pPr>
        <w:spacing w:line="480" w:lineRule="auto"/>
        <w:jc w:val="center"/>
        <w:rPr>
          <w:b/>
        </w:rPr>
      </w:pPr>
      <w:r w:rsidRPr="0044766D">
        <w:rPr>
          <w:b/>
        </w:rPr>
        <w:t>Valu</w:t>
      </w:r>
      <w:r>
        <w:rPr>
          <w:b/>
        </w:rPr>
        <w:t>ing</w:t>
      </w:r>
      <w:r w:rsidRPr="0044766D">
        <w:rPr>
          <w:b/>
        </w:rPr>
        <w:t xml:space="preserve"> </w:t>
      </w:r>
      <w:r>
        <w:rPr>
          <w:b/>
        </w:rPr>
        <w:t>Ecosystem</w:t>
      </w:r>
      <w:r w:rsidRPr="0044766D">
        <w:rPr>
          <w:b/>
        </w:rPr>
        <w:t xml:space="preserve"> Services </w:t>
      </w:r>
      <w:r>
        <w:rPr>
          <w:b/>
        </w:rPr>
        <w:t>for</w:t>
      </w:r>
      <w:r w:rsidRPr="0044766D">
        <w:rPr>
          <w:b/>
        </w:rPr>
        <w:t xml:space="preserve"> Agricultural </w:t>
      </w:r>
      <w:r>
        <w:rPr>
          <w:b/>
        </w:rPr>
        <w:t>Wetlands</w:t>
      </w:r>
      <w:r w:rsidRPr="0044766D">
        <w:rPr>
          <w:b/>
        </w:rPr>
        <w:t xml:space="preserve">: A </w:t>
      </w:r>
      <w:r>
        <w:rPr>
          <w:b/>
        </w:rPr>
        <w:t>systematic review and</w:t>
      </w:r>
    </w:p>
    <w:p w14:paraId="246DFC47" w14:textId="77777777" w:rsidR="0009047D" w:rsidRDefault="0009047D" w:rsidP="0009047D">
      <w:pPr>
        <w:spacing w:line="480" w:lineRule="auto"/>
        <w:jc w:val="center"/>
        <w:rPr>
          <w:b/>
        </w:rPr>
      </w:pPr>
      <w:r>
        <w:rPr>
          <w:b/>
        </w:rPr>
        <w:t>meta-analysis</w:t>
      </w:r>
    </w:p>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gramStart"/>
      <w:r>
        <w:rPr>
          <w:bCs/>
        </w:rPr>
        <w:t>Chrystal</w:t>
      </w:r>
      <w:r>
        <w:rPr>
          <w:bCs/>
          <w:vertAlign w:val="superscript"/>
        </w:rPr>
        <w:t>b,e</w:t>
      </w:r>
      <w:proofErr w:type="gramEnd"/>
      <w:r>
        <w:rPr>
          <w:bCs/>
        </w:rPr>
        <w:t>, Anderson Erik</w:t>
      </w:r>
      <w:r>
        <w:rPr>
          <w:bCs/>
          <w:vertAlign w:val="superscript"/>
        </w:rPr>
        <w:t>c, d</w:t>
      </w:r>
      <w:r>
        <w:rPr>
          <w:bCs/>
        </w:rPr>
        <w:t>, Belcher Kenneth</w:t>
      </w:r>
      <w:r>
        <w:rPr>
          <w:bCs/>
          <w:vertAlign w:val="superscript"/>
        </w:rPr>
        <w:t>g</w:t>
      </w:r>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We thank Mark Balman from BirdLife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proofErr w:type="gramStart"/>
      <w:r w:rsidR="000D3DBA">
        <w:t>regulating</w:t>
      </w:r>
      <w:proofErr w:type="gramEnd"/>
      <w:r w:rsidR="000D3DBA">
        <w:t xml:space="preserve">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t>
      </w:r>
      <w:proofErr w:type="gramStart"/>
      <w:r>
        <w:t>wetland</w:t>
      </w:r>
      <w:proofErr w:type="gramEnd"/>
      <w:r>
        <w:t xml:space="preserve">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C0D8CAB"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t>
      </w:r>
      <w:r>
        <w:lastRenderedPageBreak/>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w:t>
      </w:r>
      <w:r w:rsidR="00FB662C" w:rsidRPr="003B1DDE">
        <w:rPr>
          <w:rFonts w:ascii="Times New Roman" w:eastAsia="Times New Roman" w:hAnsi="Times New Roman" w:cs="Times New Roman"/>
          <w:color w:val="0E101A"/>
          <w:kern w:val="0"/>
          <w:sz w:val="24"/>
          <w:szCs w:val="24"/>
          <w:lang w:eastAsia="en-US" w:bidi="ar-SA"/>
        </w:rPr>
        <w:lastRenderedPageBreak/>
        <w:t>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w:t>
      </w:r>
      <w:proofErr w:type="gramStart"/>
      <w:r w:rsidR="008208FF" w:rsidRPr="000B68D2">
        <w:t>sequestration</w:t>
      </w:r>
      <w:proofErr w:type="gramEnd"/>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w:t>
      </w:r>
      <w:proofErr w:type="gramStart"/>
      <w:r>
        <w:rPr>
          <w:color w:val="0E101A"/>
        </w:rPr>
        <w:t>provided</w:t>
      </w:r>
      <w:proofErr w:type="gramEnd"/>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w:t>
      </w:r>
      <w:r>
        <w:rPr>
          <w:color w:val="0E101A"/>
        </w:rPr>
        <w:lastRenderedPageBreak/>
        <w:t>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A068466" w:rsidR="00A43157" w:rsidRDefault="00A43157" w:rsidP="00CC4C62">
      <w:pPr>
        <w:rPr>
          <w:b/>
        </w:rPr>
      </w:pPr>
      <w:r>
        <w:rPr>
          <w:b/>
        </w:rPr>
        <w:lastRenderedPageBreak/>
        <w:t>Fig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1152CDBE" w:rsidR="00DA400C" w:rsidRDefault="003719F0" w:rsidP="00AE4002">
      <w:pPr>
        <w:spacing w:after="240"/>
        <w:rPr>
          <w:noProof/>
        </w:rPr>
      </w:pPr>
      <w:r>
        <w:rPr>
          <w:noProof/>
        </w:rPr>
        <w:drawing>
          <wp:inline distT="0" distB="0" distL="0" distR="0" wp14:anchorId="30ABA1E7" wp14:editId="1DE48A7D">
            <wp:extent cx="5943600" cy="3511550"/>
            <wp:effectExtent l="19050" t="19050" r="19050" b="1270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solidFill>
                        <a:schemeClr val="tx1"/>
                      </a:solidFill>
                    </a:ln>
                  </pic:spPr>
                </pic:pic>
              </a:graphicData>
            </a:graphic>
          </wp:inline>
        </w:drawing>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t>
      </w:r>
      <w:r w:rsidR="00091045">
        <w:lastRenderedPageBreak/>
        <w:t xml:space="preserve">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D77AF2"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D77AF2"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D77AF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D77AF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w:t>
      </w:r>
      <w:r w:rsidR="00906CA2">
        <w:rPr>
          <w:color w:val="0E101A"/>
        </w:rPr>
        <w:lastRenderedPageBreak/>
        <w:t>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28A12C3F"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w:t>
      </w:r>
      <w:proofErr w:type="gramStart"/>
      <w:r>
        <w:rPr>
          <w:color w:val="0E101A"/>
        </w:rPr>
        <w:t>mitigation</w:t>
      </w:r>
      <w:proofErr w:type="gramEnd"/>
      <w:r>
        <w:rPr>
          <w:color w:val="0E101A"/>
        </w:rPr>
        <w:t xml:space="preserve">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10"/>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r w:rsidRPr="00765158">
              <w:rPr>
                <w:sz w:val="20"/>
                <w:szCs w:val="20"/>
              </w:rPr>
              <w:t>Wetland</w:t>
            </w:r>
            <w:r w:rsidR="00507B34">
              <w:rPr>
                <w:sz w:val="20"/>
                <w:szCs w:val="20"/>
              </w:rPr>
              <w:t xml:space="preserve"> Area</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1F8E928F" w:rsidR="00765158" w:rsidRPr="00AC11AC" w:rsidRDefault="00765158" w:rsidP="008C2D6F">
      <w:pPr>
        <w:spacing w:after="120" w:line="480" w:lineRule="auto"/>
        <w:rPr>
          <w:sz w:val="22"/>
          <w:szCs w:val="22"/>
        </w:rPr>
      </w:pPr>
      <w:r>
        <w:rPr>
          <w:b/>
        </w:rPr>
        <w:t>Table 1</w:t>
      </w:r>
      <w:r w:rsidRPr="00704B4F">
        <w:rPr>
          <w:b/>
        </w:rPr>
        <w:t xml:space="preserve">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2649A1EB"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proofErr w:type="gramStart"/>
      <w:r w:rsidR="00A02196" w:rsidRPr="00951FB2">
        <w:t>were</w:t>
      </w:r>
      <w:proofErr w:type="gramEnd"/>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69623704" w:rsidR="00452BC5" w:rsidRPr="00025BBE" w:rsidRDefault="00452BC5" w:rsidP="00452BC5">
      <w:pPr>
        <w:rPr>
          <w:b/>
          <w:bCs/>
        </w:rPr>
      </w:pPr>
      <w:r w:rsidRPr="00AE7D49">
        <w:rPr>
          <w:b/>
          <w:bCs/>
        </w:rPr>
        <w:lastRenderedPageBreak/>
        <w:t xml:space="preserve">Table </w:t>
      </w:r>
      <w:proofErr w:type="gramStart"/>
      <w:r w:rsidRPr="00AE7D49">
        <w:rPr>
          <w:b/>
          <w:bCs/>
        </w:rPr>
        <w:t xml:space="preserve">3  </w:t>
      </w:r>
      <w:r w:rsidR="00A20DF2">
        <w:rPr>
          <w:b/>
          <w:bCs/>
        </w:rPr>
        <w:t>Provision</w:t>
      </w:r>
      <w:r w:rsidR="00D625CE">
        <w:rPr>
          <w:b/>
          <w:bCs/>
        </w:rPr>
        <w:t>ing</w:t>
      </w:r>
      <w:proofErr w:type="gramEnd"/>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9E752AB"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r w:rsidR="00012A29">
        <w:t>The results above are provided in Table 4.</w:t>
      </w:r>
    </w:p>
    <w:p w14:paraId="0B6D8277" w14:textId="2EF1E084" w:rsidR="00072843" w:rsidRDefault="00AE7D49" w:rsidP="00507B34">
      <w:pPr>
        <w:spacing w:before="240"/>
        <w:rPr>
          <w:b/>
          <w:bCs/>
        </w:rPr>
      </w:pPr>
      <w:r w:rsidRPr="00AE7D49">
        <w:rPr>
          <w:b/>
          <w:bCs/>
        </w:rPr>
        <w:t xml:space="preserve">Table </w:t>
      </w:r>
      <w:proofErr w:type="gramStart"/>
      <w:r w:rsidR="002B54D4">
        <w:rPr>
          <w:b/>
          <w:bCs/>
        </w:rPr>
        <w:t>4</w:t>
      </w:r>
      <w:r w:rsidRPr="00AE7D49">
        <w:rPr>
          <w:b/>
          <w:bCs/>
        </w:rPr>
        <w:t xml:space="preserve">  </w:t>
      </w:r>
      <w:r w:rsidR="00847B68">
        <w:rPr>
          <w:b/>
          <w:bCs/>
        </w:rPr>
        <w:t>Regulating</w:t>
      </w:r>
      <w:proofErr w:type="gramEnd"/>
      <w:r w:rsidR="00847B68">
        <w:rPr>
          <w:b/>
          <w:bCs/>
        </w:rPr>
        <w:t xml:space="preserve">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 xml:space="preserve">Our study applies a meta-regression model to tailor those values from comparable wetland study sites to more effectively develop values that represent the biophysical, </w:t>
      </w:r>
      <w:proofErr w:type="gramStart"/>
      <w:r w:rsidR="00A41B50" w:rsidRPr="003D7C67">
        <w:rPr>
          <w:rFonts w:ascii="Times New Roman" w:eastAsia="Times New Roman" w:hAnsi="Times New Roman" w:cs="Times New Roman"/>
          <w:color w:val="0E101A"/>
          <w:kern w:val="0"/>
          <w:sz w:val="24"/>
          <w:szCs w:val="24"/>
          <w:lang w:eastAsia="en-US" w:bidi="ar-SA"/>
        </w:rPr>
        <w:t>social</w:t>
      </w:r>
      <w:proofErr w:type="gramEnd"/>
      <w:r w:rsidR="00A41B50" w:rsidRPr="003D7C67">
        <w:rPr>
          <w:rFonts w:ascii="Times New Roman" w:eastAsia="Times New Roman" w:hAnsi="Times New Roman" w:cs="Times New Roman"/>
          <w:color w:val="0E101A"/>
          <w:kern w:val="0"/>
          <w:sz w:val="24"/>
          <w:szCs w:val="24"/>
          <w:lang w:eastAsia="en-US" w:bidi="ar-SA"/>
        </w:rPr>
        <w:t xml:space="preserve">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1"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2F8ABE90"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4FB787D0" w:rsidR="00A6438B" w:rsidRDefault="00DA0C09" w:rsidP="00DF3CB0">
      <w:pPr>
        <w:pStyle w:val="NormalWeb"/>
        <w:spacing w:before="0" w:beforeAutospacing="0" w:after="0" w:afterAutospacing="0" w:line="480" w:lineRule="auto"/>
        <w:ind w:firstLine="720"/>
        <w:rPr>
          <w:color w:val="0E101A"/>
        </w:rPr>
      </w:pPr>
      <w:r w:rsidRPr="00DA0C09">
        <w:rPr>
          <w:color w:val="0E101A"/>
        </w:rPr>
        <w:lastRenderedPageBreak/>
        <w:t xml:space="preserve"> </w:t>
      </w:r>
      <w:r>
        <w:rPr>
          <w:color w:val="0E101A"/>
        </w:rPr>
        <w:t xml:space="preserve">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 service valuations. In the meantime, our benefit transfer study </w:t>
      </w:r>
      <w:r w:rsidR="00893D86">
        <w:rPr>
          <w:color w:val="0E101A"/>
        </w:rPr>
        <w:t xml:space="preserve">can be useful to support </w:t>
      </w:r>
      <w:r>
        <w:rPr>
          <w:color w:val="0E101A"/>
        </w:rPr>
        <w:t xml:space="preserve">their own localized calculations to make policies that consider the total ecosystem services that wetlands provide, and integrate them into land use planning. </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We thank Mark Balman from BirdLife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r w:rsidRPr="00232FD1">
        <w:t>Badiou</w:t>
      </w:r>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2C5892DE" w:rsidR="00585F81" w:rsidRPr="00232FD1" w:rsidRDefault="00585F81" w:rsidP="00585F81">
      <w:pPr>
        <w:spacing w:line="480" w:lineRule="auto"/>
      </w:pPr>
      <w:r w:rsidRPr="00232FD1">
        <w:t>Brander</w:t>
      </w:r>
      <w:r w:rsidR="006655DD">
        <w:t xml:space="preserve"> </w:t>
      </w:r>
      <w:r w:rsidRPr="00232FD1">
        <w:t>LM, Florax RJ</w:t>
      </w:r>
      <w:r w:rsidR="000E45B2">
        <w:t xml:space="preserve">, </w:t>
      </w:r>
      <w:r w:rsidRPr="00232FD1">
        <w:t>Vermaat</w:t>
      </w:r>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5FC97816"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7FFAA0E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w:t>
      </w:r>
      <w:r w:rsidR="00021658">
        <w:t>p</w:t>
      </w:r>
      <w:r w:rsidR="00585F81" w:rsidRPr="00232FD1">
        <w:t xml:space="preserve">opulation of the </w:t>
      </w:r>
      <w:r w:rsidR="00021658">
        <w:t>w</w:t>
      </w:r>
      <w:r w:rsidR="00585F81" w:rsidRPr="00232FD1">
        <w:t xml:space="preserve">orld, Version 4 (GPWv4): Population Density, Revision 10. Palisades, NY: NASA Socioeconomic Data and Applications Center (SEDAC). </w:t>
      </w:r>
      <w:hyperlink r:id="rId12" w:history="1">
        <w:r w:rsidR="00585F81" w:rsidRPr="00232FD1">
          <w:t>https://doi.org/10.7927/H4DZ068D</w:t>
        </w:r>
      </w:hyperlink>
      <w:r w:rsidR="00585F81" w:rsidRPr="00232FD1">
        <w:t>. Accessed November 14th</w:t>
      </w:r>
      <w:proofErr w:type="gramStart"/>
      <w:r w:rsidR="00585F81" w:rsidRPr="00232FD1">
        <w:t xml:space="preserve"> 2018</w:t>
      </w:r>
      <w:proofErr w:type="gramEnd"/>
      <w:r w:rsidR="00585F81" w:rsidRPr="00232FD1">
        <w:t>.</w:t>
      </w:r>
    </w:p>
    <w:p w14:paraId="2E303EC9" w14:textId="6AE523EC"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322C12DC"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7A8E8526" w:rsidR="00585F81" w:rsidRDefault="00585F81" w:rsidP="00585F81">
      <w:pPr>
        <w:spacing w:line="480" w:lineRule="auto"/>
      </w:pPr>
      <w:r w:rsidRPr="00862685">
        <w:t>Ghermandi A</w:t>
      </w:r>
      <w:r w:rsidR="005F7D5A">
        <w:t>,</w:t>
      </w:r>
      <w:r w:rsidRPr="00862685">
        <w:t xml:space="preserve">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13E8F267"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3"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14" w:history="1">
        <w:r w:rsidRPr="00232FD1">
          <w:t>https://doi.org/10.7927/H4RR1W66</w:t>
        </w:r>
      </w:hyperlink>
      <w:r w:rsidRPr="00232FD1">
        <w:t>. Accessed November 28th, 2018</w:t>
      </w:r>
    </w:p>
    <w:p w14:paraId="663B1E0E" w14:textId="736A64CF" w:rsidR="00585F81" w:rsidRPr="00232FD1" w:rsidRDefault="00585F81" w:rsidP="00585F81">
      <w:pPr>
        <w:spacing w:line="480" w:lineRule="auto"/>
      </w:pPr>
      <w:r w:rsidRPr="00232FD1">
        <w:t>International Union for Conservation of Nature - IUCN,</w:t>
      </w:r>
      <w:r w:rsidR="005F7D5A">
        <w:t xml:space="preserve"> </w:t>
      </w:r>
      <w:r w:rsidRPr="00232FD1">
        <w:t xml:space="preserve">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15"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0E8AD6AB" w:rsidR="00F94E1A" w:rsidRDefault="00F94E1A" w:rsidP="00F94E1A">
      <w:pPr>
        <w:spacing w:line="480" w:lineRule="auto"/>
      </w:pPr>
      <w:proofErr w:type="spellStart"/>
      <w:r w:rsidRPr="00F94E1A">
        <w:t>Leschine</w:t>
      </w:r>
      <w:proofErr w:type="spellEnd"/>
      <w:r w:rsidRPr="00F94E1A">
        <w:t xml:space="preserve"> TM, Wellman KF,</w:t>
      </w:r>
      <w:r w:rsidR="005F7D5A">
        <w:t xml:space="preserve"> </w:t>
      </w:r>
      <w:r w:rsidRPr="00F94E1A">
        <w:t xml:space="preserve">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F21C2BB" w:rsidR="00F94E1A" w:rsidRDefault="00F94E1A" w:rsidP="00F94E1A">
      <w:pPr>
        <w:spacing w:line="480" w:lineRule="auto"/>
        <w:rPr>
          <w:color w:val="222222"/>
          <w:shd w:val="clear" w:color="auto" w:fill="FFFFFF"/>
        </w:rPr>
      </w:pPr>
      <w:r w:rsidRPr="005B6F17">
        <w:rPr>
          <w:color w:val="222222"/>
          <w:shd w:val="clear" w:color="auto" w:fill="FFFFFF"/>
        </w:rPr>
        <w:t>Meyerhoff J</w:t>
      </w:r>
      <w:r w:rsidR="005F7D5A">
        <w:rPr>
          <w:color w:val="222222"/>
          <w:shd w:val="clear" w:color="auto" w:fill="FFFFFF"/>
        </w:rPr>
        <w:t xml:space="preserve">, </w:t>
      </w:r>
      <w:r w:rsidRPr="005B6F17">
        <w:rPr>
          <w:color w:val="222222"/>
          <w:shd w:val="clear" w:color="auto" w:fill="FFFFFF"/>
        </w:rPr>
        <w:t xml:space="preserve">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0845123E" w:rsidR="00585F81" w:rsidRPr="00232FD1" w:rsidRDefault="00585F81" w:rsidP="00585F81">
      <w:pPr>
        <w:spacing w:line="480" w:lineRule="auto"/>
      </w:pPr>
      <w:r w:rsidRPr="00232FD1">
        <w:t>Mitsch WJ</w:t>
      </w:r>
      <w:r w:rsidR="005F7D5A">
        <w:t xml:space="preserve">, </w:t>
      </w:r>
      <w:r w:rsidRPr="00232FD1">
        <w:t>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79C99228" w:rsidR="00585F81" w:rsidRPr="00232FD1" w:rsidRDefault="00585F81" w:rsidP="00585F81">
      <w:pPr>
        <w:spacing w:line="480" w:lineRule="auto"/>
      </w:pPr>
      <w:r w:rsidRPr="005614C2">
        <w:t>Morris J</w:t>
      </w:r>
      <w:r w:rsidR="005F7D5A">
        <w:t xml:space="preserve">, </w:t>
      </w:r>
      <w:r w:rsidRPr="005614C2">
        <w:t>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56BEE8C0" w:rsidR="00585F81" w:rsidRPr="00232FD1" w:rsidRDefault="00585F81" w:rsidP="00585F81">
      <w:pPr>
        <w:spacing w:line="480" w:lineRule="auto"/>
        <w:ind w:left="720"/>
      </w:pPr>
      <w:r w:rsidRPr="00AA5CEF">
        <w:t>Hector A, Orme CDL, Petchey OL</w:t>
      </w:r>
      <w:r w:rsidR="005F7D5A">
        <w:t>,</w:t>
      </w:r>
      <w:r w:rsidRPr="00AA5CEF">
        <w:t xml:space="preserve">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31A270A6"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2B9C3F83" w:rsidR="00585F81" w:rsidRDefault="00585F81" w:rsidP="00585F81">
      <w:pPr>
        <w:spacing w:line="480" w:lineRule="auto"/>
      </w:pPr>
      <w:r w:rsidRPr="00683643">
        <w:t xml:space="preserve">Reynaud </w:t>
      </w:r>
      <w:r w:rsidR="005F7D5A">
        <w:t xml:space="preserve">A, </w:t>
      </w:r>
      <w:r w:rsidRPr="00683643">
        <w:t>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5B5EC9"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w:t>
      </w:r>
      <w:r w:rsidR="005F7D5A">
        <w:t xml:space="preserve">, </w:t>
      </w:r>
      <w:r w:rsidRPr="00372D2D">
        <w:t>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2388D992" w:rsidR="00585F81" w:rsidRPr="00232FD1" w:rsidRDefault="00585F81" w:rsidP="00585F81">
      <w:pPr>
        <w:spacing w:line="480" w:lineRule="auto"/>
      </w:pPr>
      <w:r w:rsidRPr="00232FD1">
        <w:t>Watmough</w:t>
      </w:r>
      <w:r w:rsidR="00075A5A">
        <w:t xml:space="preserve"> </w:t>
      </w:r>
      <w:r w:rsidRPr="00232FD1">
        <w:t>M</w:t>
      </w:r>
      <w:r w:rsidR="005F7D5A">
        <w:t xml:space="preserve">, </w:t>
      </w:r>
      <w:r w:rsidRPr="00232FD1">
        <w:t>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4712D1F8"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76489B39" w:rsidR="00585F81" w:rsidRDefault="00585F81" w:rsidP="00585F81">
      <w:pPr>
        <w:spacing w:line="480" w:lineRule="auto"/>
      </w:pPr>
      <w:r w:rsidRPr="004B29ED">
        <w:t>Woodward</w:t>
      </w:r>
      <w:r w:rsidR="00075A5A">
        <w:t xml:space="preserve"> </w:t>
      </w:r>
      <w:r w:rsidRPr="004B29ED">
        <w:t>RT,</w:t>
      </w:r>
      <w:r w:rsidR="005F7D5A">
        <w:t xml:space="preserve"> </w:t>
      </w:r>
      <w:r w:rsidRPr="004B29ED">
        <w:t>Wui</w:t>
      </w:r>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proofErr w:type="gramStart"/>
      <w:r w:rsidRPr="004B29ED">
        <w:t>a meta-</w:t>
      </w:r>
      <w:proofErr w:type="gramEnd"/>
    </w:p>
    <w:p w14:paraId="4817B37B" w14:textId="77777777" w:rsidR="00585F81" w:rsidRPr="00232FD1" w:rsidRDefault="00585F81" w:rsidP="00585F81">
      <w:pPr>
        <w:spacing w:line="480" w:lineRule="auto"/>
        <w:ind w:firstLine="720"/>
      </w:pPr>
      <w:r w:rsidRPr="004B29ED">
        <w:t>analysis. Ecological economics, 37(2), 257-270.</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20E62490"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F830" w14:textId="77777777" w:rsidR="00D77AF2" w:rsidRDefault="00D77AF2">
      <w:r>
        <w:separator/>
      </w:r>
    </w:p>
  </w:endnote>
  <w:endnote w:type="continuationSeparator" w:id="0">
    <w:p w14:paraId="186BAEFF" w14:textId="77777777" w:rsidR="00D77AF2" w:rsidRDefault="00D77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893D86">
          <w:rPr>
            <w:noProof/>
          </w:rPr>
          <w:t>28</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5509" w14:textId="77777777" w:rsidR="00D77AF2" w:rsidRDefault="00D77AF2">
      <w:r>
        <w:separator/>
      </w:r>
    </w:p>
  </w:footnote>
  <w:footnote w:type="continuationSeparator" w:id="0">
    <w:p w14:paraId="73B3A426" w14:textId="77777777" w:rsidR="00D77AF2" w:rsidRDefault="00D77AF2">
      <w:r>
        <w:continuationSeparator/>
      </w:r>
    </w:p>
  </w:footnote>
  <w:footnote w:id="1">
    <w:p w14:paraId="251F2BBD" w14:textId="7F8A332D" w:rsidR="00722AC4" w:rsidRPr="00765158" w:rsidRDefault="00722AC4"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722AC4" w:rsidRDefault="00722AC4">
      <w:pPr>
        <w:pStyle w:val="FootnoteText"/>
      </w:pPr>
    </w:p>
  </w:footnote>
  <w:footnote w:id="2">
    <w:p w14:paraId="19246408" w14:textId="46195B04" w:rsidR="00722AC4" w:rsidRDefault="00722AC4">
      <w:pPr>
        <w:pStyle w:val="FootnoteText"/>
      </w:pPr>
      <w:r>
        <w:rPr>
          <w:rStyle w:val="FootnoteReference"/>
        </w:rPr>
        <w:footnoteRef/>
      </w:r>
      <w:r>
        <w:t xml:space="preserve"> More information on the variables and their scale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0"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
  </w:num>
  <w:num w:numId="4">
    <w:abstractNumId w:val="6"/>
  </w:num>
  <w:num w:numId="5">
    <w:abstractNumId w:val="4"/>
  </w:num>
  <w:num w:numId="6">
    <w:abstractNumId w:val="11"/>
  </w:num>
  <w:num w:numId="7">
    <w:abstractNumId w:val="5"/>
  </w:num>
  <w:num w:numId="8">
    <w:abstractNumId w:val="7"/>
  </w:num>
  <w:num w:numId="9">
    <w:abstractNumId w:val="8"/>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47D"/>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26F1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65"/>
    <w:rsid w:val="00692BE9"/>
    <w:rsid w:val="006939E8"/>
    <w:rsid w:val="00693C1E"/>
    <w:rsid w:val="00695445"/>
    <w:rsid w:val="0069664F"/>
    <w:rsid w:val="00696C86"/>
    <w:rsid w:val="006A0372"/>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3D86"/>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7CA"/>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6A4"/>
    <w:rsid w:val="00E74E76"/>
    <w:rsid w:val="00E7677B"/>
    <w:rsid w:val="00E767B0"/>
    <w:rsid w:val="00E834DF"/>
    <w:rsid w:val="00E84D63"/>
    <w:rsid w:val="00E867DE"/>
    <w:rsid w:val="00E90759"/>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hyperlink" Target="https://doi.org/10.7910/DVN/IDOC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27/H4DZ068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0640-021-00536-2" TargetMode="External"/><Relationship Id="rId5" Type="http://schemas.openxmlformats.org/officeDocument/2006/relationships/webSettings" Target="webSettings.xml"/><Relationship Id="rId15" Type="http://schemas.openxmlformats.org/officeDocument/2006/relationships/hyperlink" Target="https://doi.org/10.7927/H4N014G5.%20Accessed%20November%2028th%202018"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7DA5-9BF2-478D-A94A-7399660E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41</Pages>
  <Words>9267</Words>
  <Characters>52826</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5</cp:revision>
  <cp:lastPrinted>2019-01-14T15:38:00Z</cp:lastPrinted>
  <dcterms:created xsi:type="dcterms:W3CDTF">2021-10-03T12:20:00Z</dcterms:created>
  <dcterms:modified xsi:type="dcterms:W3CDTF">2021-10-03T12:57:00Z</dcterms:modified>
</cp:coreProperties>
</file>