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33C5D748" w:rsidR="0065512F" w:rsidRDefault="0065512F">
      <w:pPr>
        <w:rPr>
          <w:b/>
          <w:bCs/>
        </w:rPr>
      </w:pPr>
      <w:r>
        <w:rPr>
          <w:b/>
          <w:bCs/>
        </w:rPr>
        <w:br w:type="page"/>
      </w: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7D57CBE"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w:t>
      </w:r>
      <w:proofErr w:type="spellStart"/>
      <w:r w:rsidRPr="004D1057">
        <w:rPr>
          <w:rFonts w:eastAsiaTheme="minorHAnsi"/>
        </w:rPr>
        <w:t>Mitsch</w:t>
      </w:r>
      <w:proofErr w:type="spellEnd"/>
      <w:r w:rsidRPr="004D1057">
        <w:rPr>
          <w:rFonts w:eastAsiaTheme="minorHAnsi"/>
        </w:rPr>
        <w:t xml:space="preserve"> and </w:t>
      </w:r>
      <w:proofErr w:type="spellStart"/>
      <w:r w:rsidRPr="004D1057">
        <w:rPr>
          <w:rFonts w:eastAsiaTheme="minorHAnsi"/>
        </w:rPr>
        <w:t>Gosselink</w:t>
      </w:r>
      <w:proofErr w:type="spellEnd"/>
      <w:r w:rsidRPr="004D1057">
        <w:rPr>
          <w:rFonts w:eastAsiaTheme="minorHAnsi"/>
        </w:rPr>
        <w:t xml:space="preserve">,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proofErr w:type="spellStart"/>
      <w:r w:rsidR="00063F54" w:rsidRPr="004D1057">
        <w:t>Badiou</w:t>
      </w:r>
      <w:proofErr w:type="spellEnd"/>
      <w:r w:rsidR="00063F54" w:rsidRPr="004D1057">
        <w:t xml:space="preserve"> </w:t>
      </w:r>
      <w:proofErr w:type="gramStart"/>
      <w:r w:rsidR="00063F54" w:rsidRPr="004D1057">
        <w:t xml:space="preserve">et al.  </w:t>
      </w:r>
      <w:proofErr w:type="gramEnd"/>
      <w:r w:rsidR="00063F54" w:rsidRPr="004D1057">
        <w:t xml:space="preserve">2011; </w:t>
      </w:r>
      <w:proofErr w:type="spellStart"/>
      <w:r w:rsidR="00063F54" w:rsidRPr="004D1057">
        <w:t>Watmough</w:t>
      </w:r>
      <w:proofErr w:type="spellEnd"/>
      <w:r w:rsidR="00063F54" w:rsidRPr="004D1057">
        <w:t xml:space="preserve"> and </w:t>
      </w:r>
      <w:proofErr w:type="spellStart"/>
      <w:r w:rsidR="00063F54" w:rsidRPr="004D1057">
        <w:t>Schmoll</w:t>
      </w:r>
      <w:proofErr w:type="spellEnd"/>
      <w:r w:rsidR="00063F54" w:rsidRPr="004D1057">
        <w:t>,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since European settlements (Kraus, 2019) at an annual rate of about 0.53% (</w:t>
      </w:r>
      <w:proofErr w:type="spellStart"/>
      <w:r w:rsidR="009C0DC4" w:rsidRPr="004D1057">
        <w:rPr>
          <w:rFonts w:eastAsiaTheme="minorHAnsi"/>
        </w:rPr>
        <w:t>Watmough</w:t>
      </w:r>
      <w:proofErr w:type="spellEnd"/>
      <w:r w:rsidR="009C0DC4" w:rsidRPr="004D1057">
        <w:rPr>
          <w:rFonts w:eastAsiaTheme="minorHAnsi"/>
        </w:rPr>
        <w:t xml:space="preserve"> and </w:t>
      </w:r>
      <w:proofErr w:type="spellStart"/>
      <w:r w:rsidR="009C0DC4" w:rsidRPr="004D1057">
        <w:rPr>
          <w:rFonts w:eastAsiaTheme="minorHAnsi"/>
        </w:rPr>
        <w:t>Schmoll</w:t>
      </w:r>
      <w:proofErr w:type="spellEnd"/>
      <w:r w:rsidR="009C0DC4" w:rsidRPr="004D1057">
        <w:rPr>
          <w:rFonts w:eastAsiaTheme="minorHAnsi"/>
        </w:rPr>
        <w:t>, 2007)</w:t>
      </w:r>
      <w:proofErr w:type="gramStart"/>
      <w:r w:rsidR="009C0DC4" w:rsidRPr="004D1057">
        <w:rPr>
          <w:rFonts w:eastAsiaTheme="minorHAnsi"/>
        </w:rPr>
        <w:t xml:space="preserve">.  </w:t>
      </w:r>
      <w:proofErr w:type="gramEnd"/>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w:t>
      </w:r>
      <w:proofErr w:type="spellStart"/>
      <w:r w:rsidRPr="004D1057">
        <w:rPr>
          <w:rFonts w:eastAsiaTheme="minorHAnsi"/>
        </w:rPr>
        <w:t>Badiou</w:t>
      </w:r>
      <w:proofErr w:type="spellEnd"/>
      <w:r w:rsidRPr="004D1057">
        <w:rPr>
          <w:rFonts w:eastAsiaTheme="minorHAnsi"/>
        </w:rPr>
        <w:t xml:space="preserve"> et al. 2011; Gleason et al. 2011; De Groot et al. 2012), regulating and recharging aquifers (Dixon and Wood 2003) and removal of excess nutrients and pesticides from agricultural lands (</w:t>
      </w:r>
      <w:proofErr w:type="spellStart"/>
      <w:r w:rsidRPr="004D1057">
        <w:rPr>
          <w:rFonts w:eastAsiaTheme="minorHAnsi"/>
        </w:rPr>
        <w:t>Vymazal</w:t>
      </w:r>
      <w:proofErr w:type="spellEnd"/>
      <w:r w:rsidRPr="004D1057">
        <w:rPr>
          <w:rFonts w:eastAsiaTheme="minorHAnsi"/>
        </w:rPr>
        <w:t xml:space="preserve"> 2017). The economic value of ecosystem services has been estimated in several regions of the world, including </w:t>
      </w:r>
      <w:proofErr w:type="spellStart"/>
      <w:r w:rsidRPr="004D1057">
        <w:rPr>
          <w:rFonts w:eastAsiaTheme="minorHAnsi"/>
        </w:rPr>
        <w:t>Nakivubo</w:t>
      </w:r>
      <w:proofErr w:type="spellEnd"/>
      <w:r w:rsidRPr="004D1057">
        <w:rPr>
          <w:rFonts w:eastAsiaTheme="minorHAnsi"/>
        </w:rPr>
        <w:t xml:space="preserve"> wetlands in Uganda (</w:t>
      </w:r>
      <w:proofErr w:type="spellStart"/>
      <w:r w:rsidRPr="004D1057">
        <w:rPr>
          <w:rFonts w:eastAsiaTheme="minorHAnsi"/>
        </w:rPr>
        <w:t>Schuijt</w:t>
      </w:r>
      <w:proofErr w:type="spellEnd"/>
      <w:r w:rsidRPr="004D1057">
        <w:rPr>
          <w:rFonts w:eastAsiaTheme="minorHAnsi"/>
        </w:rPr>
        <w:t xml:space="preserve">, 2002), </w:t>
      </w:r>
      <w:proofErr w:type="spellStart"/>
      <w:r w:rsidRPr="004D1057">
        <w:rPr>
          <w:rFonts w:eastAsiaTheme="minorHAnsi"/>
        </w:rPr>
        <w:t>Muthurajawela</w:t>
      </w:r>
      <w:proofErr w:type="spellEnd"/>
      <w:r w:rsidRPr="004D1057">
        <w:rPr>
          <w:rFonts w:eastAsiaTheme="minorHAnsi"/>
        </w:rPr>
        <w:t xml:space="preserve"> wetland in Sri Lanka (Emerson and </w:t>
      </w:r>
      <w:proofErr w:type="spellStart"/>
      <w:r w:rsidRPr="004D1057">
        <w:rPr>
          <w:rFonts w:eastAsiaTheme="minorHAnsi"/>
        </w:rPr>
        <w:t>Kekulandala</w:t>
      </w:r>
      <w:proofErr w:type="spellEnd"/>
      <w:r w:rsidRPr="004D1057">
        <w:rPr>
          <w:rFonts w:eastAsiaTheme="minorHAnsi"/>
        </w:rPr>
        <w:t xml:space="preserve">, 2003); flood plains of the </w:t>
      </w:r>
      <w:r w:rsidR="006F1C0D" w:rsidRPr="004D1057">
        <w:rPr>
          <w:rFonts w:eastAsiaTheme="minorHAnsi"/>
        </w:rPr>
        <w:t>Elbe River</w:t>
      </w:r>
      <w:r w:rsidRPr="004D1057">
        <w:rPr>
          <w:rFonts w:eastAsiaTheme="minorHAnsi"/>
        </w:rPr>
        <w:t xml:space="preserve"> in Germany (</w:t>
      </w:r>
      <w:proofErr w:type="spellStart"/>
      <w:r w:rsidRPr="004D1057">
        <w:rPr>
          <w:rFonts w:eastAsiaTheme="minorHAnsi"/>
        </w:rPr>
        <w:t>Meyerhoff</w:t>
      </w:r>
      <w:proofErr w:type="spellEnd"/>
      <w:r w:rsidRPr="004D1057">
        <w:rPr>
          <w:rFonts w:eastAsiaTheme="minorHAnsi"/>
        </w:rPr>
        <w:t xml:space="preserve"> and </w:t>
      </w:r>
      <w:proofErr w:type="spellStart"/>
      <w:r w:rsidRPr="004D1057">
        <w:rPr>
          <w:rFonts w:eastAsiaTheme="minorHAnsi"/>
        </w:rPr>
        <w:t>Dehnhardt</w:t>
      </w:r>
      <w:proofErr w:type="spellEnd"/>
      <w:r w:rsidRPr="004D1057">
        <w:rPr>
          <w:rFonts w:eastAsiaTheme="minorHAnsi"/>
        </w:rPr>
        <w:t xml:space="preserve">,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B11BB69" w14:textId="733420AF" w:rsidR="00735601"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735601">
        <w:rPr>
          <w:rFonts w:eastAsiaTheme="minorHAnsi"/>
        </w:rPr>
        <w:t xml:space="preserve">We focus on stated preference valuation studies </w:t>
      </w:r>
    </w:p>
    <w:p w14:paraId="7889437D" w14:textId="1DD328D1" w:rsidR="00821CAB" w:rsidRDefault="00735601" w:rsidP="00821CAB">
      <w:pPr>
        <w:spacing w:line="480" w:lineRule="auto"/>
        <w:ind w:firstLine="720"/>
        <w:rPr>
          <w:rFonts w:eastAsiaTheme="minorHAnsi"/>
        </w:rPr>
      </w:pPr>
      <w:r>
        <w:rPr>
          <w:rFonts w:eastAsiaTheme="minorHAnsi"/>
        </w:rPr>
        <w:t xml:space="preserve">A total of 7 Canadian valuation </w:t>
      </w:r>
      <w:proofErr w:type="spellStart"/>
      <w:r>
        <w:rPr>
          <w:rFonts w:eastAsiaTheme="minorHAnsi"/>
        </w:rPr>
        <w:t>studies</w:t>
      </w:r>
      <w:r w:rsidR="00821CAB" w:rsidRPr="00966EE6">
        <w:rPr>
          <w:rFonts w:eastAsiaTheme="minorHAnsi"/>
        </w:rPr>
        <w:t>The</w:t>
      </w:r>
      <w:proofErr w:type="spellEnd"/>
      <w:r w:rsidR="00821CAB" w:rsidRPr="00966EE6">
        <w:rPr>
          <w:rFonts w:eastAsiaTheme="minorHAnsi"/>
        </w:rPr>
        <w:t xml:space="preserv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Pr>
          <w:rFonts w:eastAsiaTheme="minorHAnsi"/>
        </w:rPr>
        <w:t xml:space="preserve">We estimate several model specifications including log-linear and log-log models. </w:t>
      </w:r>
    </w:p>
    <w:p w14:paraId="56218240" w14:textId="27896F2D" w:rsidR="00735601" w:rsidRPr="004D1057" w:rsidRDefault="00735601" w:rsidP="00821CAB">
      <w:pPr>
        <w:spacing w:line="480" w:lineRule="auto"/>
        <w:ind w:firstLine="720"/>
        <w:rPr>
          <w:rFonts w:eastAsiaTheme="minorHAnsi"/>
        </w:rPr>
      </w:pPr>
      <w:commentRangeStart w:id="2"/>
      <w:r>
        <w:rPr>
          <w:rFonts w:eastAsiaTheme="minorHAnsi"/>
        </w:rPr>
        <w:t xml:space="preserve">We find evidence consistent with sensitivity to scope and estimate that a </w:t>
      </w:r>
      <w:r w:rsidRPr="005A4F6F">
        <w:rPr>
          <w:rFonts w:eastAsiaTheme="minorHAnsi"/>
        </w:rPr>
        <w:t xml:space="preserve">1% increase in wetland acreage change would </w:t>
      </w:r>
      <w:commentRangeEnd w:id="2"/>
      <w:r>
        <w:rPr>
          <w:rStyle w:val="CommentReference"/>
          <w:rFonts w:asciiTheme="minorHAnsi" w:eastAsiaTheme="minorHAnsi" w:hAnsiTheme="minorHAnsi" w:cstheme="minorBidi"/>
        </w:rPr>
        <w:commentReference w:id="2"/>
      </w:r>
      <w:r w:rsidRPr="005A4F6F">
        <w:rPr>
          <w:rFonts w:eastAsiaTheme="minorHAnsi"/>
        </w:rPr>
        <w:t>cause about 0.</w:t>
      </w:r>
      <w:r>
        <w:rPr>
          <w:rFonts w:eastAsiaTheme="minorHAnsi"/>
        </w:rPr>
        <w:t>42</w:t>
      </w:r>
      <w:r w:rsidRPr="005A4F6F">
        <w:rPr>
          <w:rFonts w:eastAsiaTheme="minorHAnsi"/>
        </w:rPr>
        <w:t>% increase in willingness to pay to conserve the wetland acreage change</w:t>
      </w:r>
    </w:p>
    <w:p w14:paraId="4AA092BD" w14:textId="399810A1" w:rsidR="008C1CDB" w:rsidRDefault="00010A66" w:rsidP="008C1CDB">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 xml:space="preserve">that a.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w:t>
      </w:r>
      <w:proofErr w:type="gramStart"/>
      <w:r w:rsidR="00AA192E">
        <w:rPr>
          <w:rFonts w:eastAsiaTheme="minorHAnsi"/>
        </w:rPr>
        <w:t>mean</w:t>
      </w:r>
      <w:proofErr w:type="gramEnd"/>
      <w:r w:rsidR="00AA192E">
        <w:rPr>
          <w:rFonts w:eastAsiaTheme="minorHAnsi"/>
        </w:rPr>
        <w:t xml:space="preserve">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 xml:space="preserve">less than using the US </w:t>
      </w:r>
      <w:r w:rsidR="00D90D98" w:rsidRPr="005A4F6F">
        <w:rPr>
          <w:rFonts w:eastAsiaTheme="minorHAnsi"/>
        </w:rPr>
        <w:lastRenderedPageBreak/>
        <w:t>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31903FC7" w14:textId="2F7C9E48" w:rsidR="008C1CDB" w:rsidDel="00985CCA" w:rsidRDefault="00735601" w:rsidP="008C1CDB">
      <w:pPr>
        <w:pStyle w:val="NormalWeb"/>
        <w:spacing w:before="0" w:beforeAutospacing="0" w:after="0" w:afterAutospacing="0" w:line="480" w:lineRule="auto"/>
        <w:ind w:firstLine="709"/>
        <w:rPr>
          <w:rFonts w:eastAsiaTheme="minorHAnsi"/>
        </w:rPr>
      </w:pPr>
      <w:r>
        <w:rPr>
          <w:rFonts w:eastAsiaTheme="minorHAnsi"/>
        </w:rPr>
        <w:t xml:space="preserve">We then apply our model to </w:t>
      </w:r>
      <w:r w:rsidR="008C1CDB">
        <w:rPr>
          <w:rFonts w:eastAsiaTheme="minorHAnsi"/>
        </w:rPr>
        <w:t>estimate</w:t>
      </w:r>
      <w:r w:rsidRPr="00370ACA">
        <w:rPr>
          <w:rFonts w:eastAsiaTheme="minorHAnsi"/>
        </w:rPr>
        <w:t xml:space="preserve"> </w:t>
      </w:r>
      <w:r>
        <w:rPr>
          <w:rFonts w:eastAsiaTheme="minorHAnsi"/>
        </w:rPr>
        <w:t>to the economic</w:t>
      </w:r>
      <w:r w:rsidR="001D0073" w:rsidRPr="00370ACA">
        <w:rPr>
          <w:rFonts w:eastAsiaTheme="minorHAnsi"/>
        </w:rPr>
        <w:t xml:space="preserve"> value </w:t>
      </w:r>
      <w:r>
        <w:rPr>
          <w:rFonts w:eastAsiaTheme="minorHAnsi"/>
        </w:rPr>
        <w:t xml:space="preserve">of </w:t>
      </w:r>
      <w:r w:rsidR="001D0073" w:rsidRPr="00370ACA">
        <w:rPr>
          <w:rFonts w:eastAsiaTheme="minorHAnsi"/>
        </w:rPr>
        <w:t>wetlands lost</w:t>
      </w:r>
      <w:r>
        <w:rPr>
          <w:rFonts w:eastAsiaTheme="minorHAnsi"/>
        </w:rPr>
        <w:t xml:space="preserve"> over a </w:t>
      </w:r>
      <w:proofErr w:type="gramStart"/>
      <w:r>
        <w:rPr>
          <w:rFonts w:eastAsiaTheme="minorHAnsi"/>
        </w:rPr>
        <w:t>ten year</w:t>
      </w:r>
      <w:proofErr w:type="gramEnd"/>
      <w:r>
        <w:rPr>
          <w:rFonts w:eastAsiaTheme="minorHAnsi"/>
        </w:rPr>
        <w:t xml:space="preserve"> period</w:t>
      </w:r>
      <w:r w:rsidR="001D0073" w:rsidRPr="00370ACA">
        <w:rPr>
          <w:rFonts w:eastAsiaTheme="minorHAnsi"/>
        </w:rPr>
        <w:t xml:space="preserve"> in</w:t>
      </w:r>
      <w:r>
        <w:rPr>
          <w:rFonts w:eastAsiaTheme="minorHAnsi"/>
        </w:rPr>
        <w:t xml:space="preserve"> Canada’s three </w:t>
      </w:r>
      <w:r w:rsidR="008C1CDB">
        <w:rPr>
          <w:rFonts w:eastAsiaTheme="minorHAnsi"/>
        </w:rPr>
        <w:t>Prairie Provinces</w:t>
      </w:r>
      <w:r>
        <w:rPr>
          <w:rFonts w:eastAsiaTheme="minorHAnsi"/>
        </w:rPr>
        <w:t xml:space="preserve"> (Alberta, Saskatchewan, and Manitoba). We focus on the </w:t>
      </w:r>
      <w:r w:rsidR="00B71C98" w:rsidRPr="00370ACA">
        <w:rPr>
          <w:rFonts w:eastAsiaTheme="minorHAnsi"/>
        </w:rPr>
        <w:t xml:space="preserve">Canadian </w:t>
      </w:r>
      <w:r w:rsidR="001D0073" w:rsidRPr="00370ACA">
        <w:rPr>
          <w:rFonts w:eastAsiaTheme="minorHAnsi"/>
        </w:rPr>
        <w:t>Prairie Habitat Joint Venture landscapes</w:t>
      </w:r>
      <w:r>
        <w:rPr>
          <w:rFonts w:eastAsiaTheme="minorHAnsi"/>
        </w:rPr>
        <w:t xml:space="preserve"> in the southern portion of the three provinces which is where substantial wetland loss has occurred due to agricultural expansion</w:t>
      </w:r>
      <w:r w:rsidR="008C1CDB">
        <w:rPr>
          <w:rFonts w:eastAsiaTheme="minorHAnsi"/>
        </w:rPr>
        <w:t>.</w:t>
      </w:r>
      <w:r>
        <w:rPr>
          <w:rFonts w:eastAsiaTheme="minorHAnsi"/>
        </w:rPr>
        <w:t xml:space="preserve"> </w:t>
      </w:r>
      <w:r w:rsidR="008C1CDB" w:rsidRPr="00374568" w:rsidDel="00985CCA">
        <w:rPr>
          <w:rFonts w:eastAsiaTheme="minorHAnsi"/>
        </w:rPr>
        <w:t>The PHJV was established through the North American Waterfowl Management Plan (NAWMP) in 1986 to protect wetlands in the Canadian Prairies which is the most important region for waterfowl breeding in North America (Prairie Habitat Joint Venture, 2014). The</w:t>
      </w:r>
      <w:r w:rsidR="008C1CDB" w:rsidDel="00985CCA">
        <w:rPr>
          <w:rFonts w:eastAsiaTheme="minorHAnsi"/>
        </w:rPr>
        <w:t xml:space="preserve"> PHJV</w:t>
      </w:r>
      <w:r w:rsidR="008C1CDB" w:rsidRPr="00374568" w:rsidDel="00985CCA">
        <w:rPr>
          <w:rFonts w:eastAsiaTheme="minorHAnsi"/>
        </w:rPr>
        <w:t xml:space="preserve"> landscape contains approximately 11.3 million acres of wetlands, excluding lakes, river systems and </w:t>
      </w:r>
      <w:r w:rsidR="008C1CDB" w:rsidDel="00985CCA">
        <w:rPr>
          <w:rFonts w:eastAsiaTheme="minorHAnsi"/>
        </w:rPr>
        <w:t xml:space="preserve">the </w:t>
      </w:r>
      <w:r w:rsidR="008C1CDB" w:rsidRPr="00374568" w:rsidDel="00985CCA">
        <w:rPr>
          <w:rFonts w:eastAsiaTheme="minorHAnsi"/>
        </w:rPr>
        <w:t>Alberta Peace lowlands (</w:t>
      </w:r>
      <w:proofErr w:type="spellStart"/>
      <w:r w:rsidR="008C1CDB" w:rsidRPr="00374568" w:rsidDel="00985CCA">
        <w:rPr>
          <w:rFonts w:eastAsiaTheme="minorHAnsi"/>
        </w:rPr>
        <w:t>Watmough</w:t>
      </w:r>
      <w:proofErr w:type="spellEnd"/>
      <w:r w:rsidR="008C1CDB" w:rsidRPr="00374568" w:rsidDel="00985CCA">
        <w:rPr>
          <w:rFonts w:eastAsiaTheme="minorHAnsi"/>
        </w:rPr>
        <w:t xml:space="preserve"> and </w:t>
      </w:r>
      <w:proofErr w:type="spellStart"/>
      <w:r w:rsidR="008C1CDB" w:rsidRPr="00374568" w:rsidDel="00985CCA">
        <w:rPr>
          <w:rFonts w:eastAsiaTheme="minorHAnsi"/>
        </w:rPr>
        <w:t>Schmoll</w:t>
      </w:r>
      <w:proofErr w:type="spellEnd"/>
      <w:r w:rsidR="008C1CDB" w:rsidRPr="00374568" w:rsidDel="00985CCA">
        <w:rPr>
          <w:rFonts w:eastAsiaTheme="minorHAnsi"/>
        </w:rPr>
        <w:t xml:space="preserve">, 2007). </w:t>
      </w:r>
      <w:r w:rsidR="008C1CDB" w:rsidDel="00985CCA">
        <w:rPr>
          <w:rFonts w:eastAsiaTheme="minorHAnsi"/>
        </w:rPr>
        <w:t xml:space="preserve">In the Canadian Prairies there are 21 PHJV wetland locations in Saskatchewan, 21 in Alberta and 4 in Manitoba </w:t>
      </w:r>
      <w:r w:rsidR="008C1CDB" w:rsidRPr="00374568" w:rsidDel="00985CCA">
        <w:rPr>
          <w:rFonts w:eastAsiaTheme="minorHAnsi"/>
        </w:rPr>
        <w:t>(Prairie Habitat Joint Venture, 2014).</w:t>
      </w:r>
      <w:r w:rsidR="008C1CDB" w:rsidDel="00985CCA">
        <w:rPr>
          <w:rFonts w:eastAsiaTheme="minorHAnsi"/>
        </w:rPr>
        <w:t xml:space="preserve"> Also, between 2001 and 2011, about 112,574 acres, 28,252 acres, and 11,734 acres of wetland areas that have been lost in </w:t>
      </w:r>
      <w:commentRangeStart w:id="3"/>
      <w:r w:rsidR="008C1CDB" w:rsidDel="00985CCA">
        <w:rPr>
          <w:rFonts w:eastAsiaTheme="minorHAnsi"/>
        </w:rPr>
        <w:t xml:space="preserve">Saskatchewan, Alberta, and Manitoba PHJV landscapes, respectively </w:t>
      </w:r>
      <w:r w:rsidR="008C1CDB" w:rsidRPr="00374568" w:rsidDel="00985CCA">
        <w:rPr>
          <w:rFonts w:eastAsiaTheme="minorHAnsi"/>
        </w:rPr>
        <w:t>(Prairie Habitat Joint Venture, 2014).</w:t>
      </w:r>
      <w:commentRangeEnd w:id="3"/>
      <w:r w:rsidR="008C1CDB">
        <w:rPr>
          <w:rStyle w:val="CommentReference"/>
          <w:rFonts w:asciiTheme="minorHAnsi" w:eastAsiaTheme="minorHAnsi" w:hAnsiTheme="minorHAnsi" w:cstheme="minorBidi"/>
        </w:rPr>
        <w:commentReference w:id="3"/>
      </w:r>
    </w:p>
    <w:p w14:paraId="0A930A64" w14:textId="4E9DB5C9" w:rsidR="00AA530B" w:rsidRPr="004D1057" w:rsidRDefault="008C1CDB" w:rsidP="00596ACE">
      <w:pPr>
        <w:pStyle w:val="NormalWeb"/>
        <w:spacing w:before="0" w:beforeAutospacing="0" w:after="0" w:afterAutospacing="0" w:line="480" w:lineRule="auto"/>
        <w:ind w:firstLine="709"/>
        <w:rPr>
          <w:rFonts w:eastAsiaTheme="minorHAnsi"/>
        </w:rPr>
      </w:pPr>
      <w:r>
        <w:rPr>
          <w:rFonts w:eastAsiaTheme="minorHAnsi"/>
        </w:rPr>
        <w:t>We find that</w:t>
      </w:r>
      <w:proofErr w:type="gramStart"/>
      <w:r>
        <w:rPr>
          <w:rFonts w:eastAsiaTheme="minorHAnsi"/>
        </w:rPr>
        <w:t>….</w:t>
      </w:r>
      <w:commentRangeStart w:id="4"/>
      <w:r w:rsidR="001D0073" w:rsidRPr="00370ACA">
        <w:rPr>
          <w:rFonts w:eastAsiaTheme="minorHAnsi"/>
        </w:rPr>
        <w:t>shows</w:t>
      </w:r>
      <w:proofErr w:type="gramEnd"/>
      <w:r w:rsidR="001D0073" w:rsidRPr="00370ACA">
        <w:rPr>
          <w:rFonts w:eastAsiaTheme="minorHAnsi"/>
        </w:rPr>
        <w:t xml:space="preserve"> that the mean willingness to pay to restore wetlands </w:t>
      </w:r>
      <w:r w:rsidR="00437338" w:rsidRPr="00370ACA">
        <w:rPr>
          <w:rFonts w:eastAsiaTheme="minorHAnsi"/>
        </w:rPr>
        <w:t xml:space="preserve">in the Saskatchewan PHJV landscape is </w:t>
      </w:r>
      <w:r w:rsidR="001D0073" w:rsidRPr="00370ACA">
        <w:rPr>
          <w:rFonts w:eastAsiaTheme="minorHAnsi"/>
        </w:rPr>
        <w:t>$</w:t>
      </w:r>
      <w:r w:rsidR="00437338" w:rsidRPr="00370ACA">
        <w:rPr>
          <w:rFonts w:eastAsiaTheme="minorHAnsi"/>
        </w:rPr>
        <w:t>20</w:t>
      </w:r>
      <w:r w:rsidR="001D0073" w:rsidRPr="00370ACA">
        <w:rPr>
          <w:rFonts w:eastAsiaTheme="minorHAnsi"/>
        </w:rPr>
        <w:t>/household/year</w:t>
      </w:r>
      <w:r w:rsidR="00437338" w:rsidRPr="00370ACA">
        <w:rPr>
          <w:rFonts w:eastAsiaTheme="minorHAnsi"/>
        </w:rPr>
        <w:t xml:space="preserve"> with a standard deviation of $7/</w:t>
      </w:r>
      <w:r w:rsidR="001D0073" w:rsidRPr="00370ACA">
        <w:rPr>
          <w:rFonts w:eastAsiaTheme="minorHAnsi"/>
        </w:rPr>
        <w:t>household/year</w:t>
      </w:r>
      <w:r w:rsidR="00437338" w:rsidRPr="00370ACA">
        <w:rPr>
          <w:rFonts w:eastAsiaTheme="minorHAnsi"/>
        </w:rPr>
        <w:t xml:space="preserve">. However, households’ who live outside the locations of </w:t>
      </w:r>
      <w:r w:rsidR="0029035E">
        <w:rPr>
          <w:rFonts w:eastAsiaTheme="minorHAnsi"/>
        </w:rPr>
        <w:t xml:space="preserve">the </w:t>
      </w:r>
      <w:r w:rsidR="00437338" w:rsidRPr="00370ACA">
        <w:rPr>
          <w:rFonts w:eastAsiaTheme="minorHAnsi"/>
        </w:rPr>
        <w:t xml:space="preserve">wetlands are willing to pay less to conserve it (an average of $7/households/year). </w:t>
      </w:r>
      <w:commentRangeEnd w:id="4"/>
      <w:r w:rsidR="009626A9">
        <w:rPr>
          <w:rStyle w:val="CommentReference"/>
          <w:rFonts w:asciiTheme="minorHAnsi" w:eastAsiaTheme="minorHAnsi" w:hAnsiTheme="minorHAnsi" w:cstheme="minorBidi"/>
        </w:rPr>
        <w:commentReference w:id="4"/>
      </w:r>
      <w:r w:rsidR="00735601">
        <w:rPr>
          <w:rFonts w:eastAsiaTheme="minorHAnsi"/>
        </w:rPr>
        <w:t>T</w:t>
      </w:r>
      <w:r w:rsidR="00370ACA" w:rsidRPr="00370ACA">
        <w:rPr>
          <w:rFonts w:eastAsiaTheme="minorHAnsi"/>
        </w:rPr>
        <w:t xml:space="preserve">he total economic </w:t>
      </w:r>
      <w:r w:rsidR="00735601">
        <w:rPr>
          <w:rFonts w:eastAsiaTheme="minorHAnsi"/>
        </w:rPr>
        <w:t xml:space="preserve">value of wetland loss in the Canadian prairies is estimated to be $34.5 million per year </w:t>
      </w:r>
      <w:r w:rsidR="009626A9">
        <w:rPr>
          <w:rFonts w:eastAsiaTheme="minorHAnsi"/>
        </w:rPr>
        <w:t>with Alberta ($19.8 million per year) having the largest losses followed by Saskatchewan ($10.5 million per year), and then Manitoba</w:t>
      </w:r>
      <w:r w:rsidR="00735601">
        <w:rPr>
          <w:rFonts w:eastAsiaTheme="minorHAnsi"/>
        </w:rPr>
        <w:t xml:space="preserve"> </w:t>
      </w:r>
      <w:r w:rsidR="009626A9">
        <w:rPr>
          <w:rFonts w:eastAsiaTheme="minorHAnsi"/>
        </w:rPr>
        <w:t xml:space="preserve">($4.3 million per year). </w:t>
      </w:r>
    </w:p>
    <w:p w14:paraId="63C34936" w14:textId="2DB3823A" w:rsidR="009626A9" w:rsidRDefault="009626A9" w:rsidP="00F62796">
      <w:pPr>
        <w:pStyle w:val="NormalWeb"/>
        <w:tabs>
          <w:tab w:val="left" w:pos="4950"/>
        </w:tabs>
        <w:spacing w:line="480" w:lineRule="auto"/>
        <w:ind w:firstLine="720"/>
        <w:rPr>
          <w:rFonts w:eastAsiaTheme="minorHAnsi"/>
        </w:rPr>
      </w:pPr>
      <w:r>
        <w:rPr>
          <w:rFonts w:eastAsiaTheme="minorHAnsi"/>
        </w:rPr>
        <w:lastRenderedPageBreak/>
        <w:t xml:space="preserve">We contribute to the international meta-analysis literature by using valuation estimates from two countries. </w:t>
      </w:r>
      <w:r>
        <w:t>O</w:t>
      </w:r>
      <w:r w:rsidRPr="004D1057">
        <w:t xml:space="preserve">ur paper supports the observation in Johnson and </w:t>
      </w:r>
      <w:proofErr w:type="spellStart"/>
      <w:r w:rsidRPr="004D1057">
        <w:t>Thomasin</w:t>
      </w:r>
      <w:proofErr w:type="spellEnd"/>
      <w:r w:rsidRPr="004D1057">
        <w:t xml:space="preserve"> (2010) that, relying only on US wetland valuation studies to infer wetland values in Canada is not a best practice. Therefore, the paper agrees with the suggestion of Johnson and </w:t>
      </w:r>
      <w:proofErr w:type="spellStart"/>
      <w:r w:rsidRPr="004D1057">
        <w:t>Thomasin</w:t>
      </w:r>
      <w:proofErr w:type="spellEnd"/>
      <w:r w:rsidRPr="004D1057">
        <w:t xml:space="preserve"> (2010) for policymakers to adjust benefit transfer values, especially from US original studies to Canadian policy contexts to reduce transfer errors. Again, our paper will improve on the application of benefit transfer of wetland values in Canada, by providing the key factors or variables practitioners could use to control for differences between policy and original study sites</w:t>
      </w:r>
      <w:proofErr w:type="gramStart"/>
      <w:r w:rsidRPr="004D1057">
        <w:t xml:space="preserve">.  </w:t>
      </w:r>
      <w:proofErr w:type="gramEnd"/>
    </w:p>
    <w:p w14:paraId="60987828" w14:textId="083C74EB"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w:t>
      </w:r>
      <w:r w:rsidR="009626A9">
        <w:rPr>
          <w:rFonts w:eastAsiaTheme="minorHAnsi"/>
        </w:rPr>
        <w:t xml:space="preserve">also </w:t>
      </w:r>
      <w:r w:rsidRPr="004D1057">
        <w:rPr>
          <w:rFonts w:eastAsiaTheme="minorHAnsi"/>
        </w:rPr>
        <w:t xml:space="preserve">contribute to </w:t>
      </w:r>
      <w:r w:rsidR="00746AD2" w:rsidRPr="004D1057">
        <w:rPr>
          <w:rFonts w:eastAsiaTheme="minorHAnsi"/>
        </w:rPr>
        <w:t>policy debates</w:t>
      </w:r>
      <w:r w:rsidR="00EF1D74" w:rsidRPr="004D1057">
        <w:rPr>
          <w:rFonts w:eastAsiaTheme="minorHAnsi"/>
        </w:rPr>
        <w:t xml:space="preserve"> </w:t>
      </w:r>
      <w:r w:rsidR="009626A9">
        <w:rPr>
          <w:rFonts w:eastAsiaTheme="minorHAnsi"/>
        </w:rPr>
        <w:t xml:space="preserve">in Canada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w:t>
      </w:r>
      <w:r w:rsidR="00586B09" w:rsidRPr="004D1057">
        <w:rPr>
          <w:rFonts w:eastAsiaTheme="minorHAnsi"/>
        </w:rPr>
        <w:t xml:space="preserve"> </w:t>
      </w:r>
      <w:r w:rsidR="009626A9">
        <w:rPr>
          <w:rFonts w:eastAsiaTheme="minorHAnsi"/>
        </w:rPr>
        <w:t xml:space="preserve">Conducting a new primary valuation research is often infeasible due to time, costs, and resource constraints, making the use of benefit transfer techniques widespread in policy settings. </w:t>
      </w:r>
      <w:r w:rsidR="00586B09" w:rsidRPr="004D1057">
        <w:rPr>
          <w:rFonts w:eastAsiaTheme="minorHAnsi"/>
        </w:rPr>
        <w:t xml:space="preserve">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5"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5"/>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p>
    <w:p w14:paraId="6AB76BE2" w14:textId="29ED4520" w:rsidR="00BE2FEA" w:rsidRPr="004D1057" w:rsidRDefault="00F40835" w:rsidP="00F40835">
      <w:pPr>
        <w:spacing w:line="480" w:lineRule="auto"/>
        <w:ind w:firstLine="720"/>
      </w:pPr>
      <w:commentRangeStart w:id="6"/>
      <w:r w:rsidRPr="004D1057">
        <w:t xml:space="preserve">This paper is structured into </w:t>
      </w:r>
      <w:r w:rsidR="001538FC">
        <w:t>6</w:t>
      </w:r>
      <w:r w:rsidRPr="004D1057">
        <w:t xml:space="preserve"> sections.</w:t>
      </w:r>
      <w:commentRangeEnd w:id="6"/>
      <w:r w:rsidR="00985CCA">
        <w:rPr>
          <w:rStyle w:val="CommentReference"/>
          <w:rFonts w:asciiTheme="minorHAnsi" w:eastAsiaTheme="minorHAnsi" w:hAnsiTheme="minorHAnsi" w:cstheme="minorBidi"/>
        </w:rPr>
        <w:commentReference w:id="6"/>
      </w:r>
      <w:r w:rsidRPr="004D1057">
        <w:t xml:space="preserve"> Section </w:t>
      </w:r>
      <w:r w:rsidR="001538FC">
        <w:t>2</w:t>
      </w:r>
      <w:r w:rsidRPr="004D1057">
        <w:t xml:space="preserve"> </w:t>
      </w:r>
      <w:r w:rsidR="00F060FD" w:rsidRPr="004D1057">
        <w:t>compares</w:t>
      </w:r>
      <w:r w:rsidRPr="004D1057">
        <w:t xml:space="preserve"> the few wetland valuations studies that have been conducted in Canada</w:t>
      </w:r>
      <w:r w:rsidR="009A3350">
        <w:t>, and a background information on the policy application setting (PHJV landscape in the Canadian Prairies)</w:t>
      </w:r>
      <w:r w:rsidR="00C52360" w:rsidRPr="004D1057">
        <w:t xml:space="preserve">. </w:t>
      </w:r>
      <w:r w:rsidR="00BF63F4" w:rsidRPr="004D1057">
        <w:t xml:space="preserve">The data that will be used to </w:t>
      </w:r>
      <w:r w:rsidR="00BF63F4" w:rsidRPr="004D1057">
        <w:lastRenderedPageBreak/>
        <w:t xml:space="preserve">estimate our model, and </w:t>
      </w:r>
      <w:r w:rsidR="0088596C" w:rsidRPr="004D1057">
        <w:t>its</w:t>
      </w:r>
      <w:r w:rsidR="00BF63F4" w:rsidRPr="004D1057">
        <w:t xml:space="preserve"> descriptive statistics are discussed in section 3.</w:t>
      </w:r>
      <w:r w:rsidR="009A3350">
        <w:t xml:space="preserve"> </w:t>
      </w:r>
      <w:r w:rsidRPr="004D1057">
        <w:t xml:space="preserve">The methodology of the study, including meta-data and meta-analysis econometric model, is described in section </w:t>
      </w:r>
      <w:r w:rsidR="001538FC">
        <w:t>4</w:t>
      </w:r>
      <w:r w:rsidR="00BF63F4" w:rsidRPr="004D1057">
        <w:t>.</w:t>
      </w:r>
      <w:r w:rsidRPr="004D1057">
        <w:t xml:space="preserve"> </w:t>
      </w:r>
      <w:r w:rsidR="009A3350">
        <w:t>Also, the procedure for estimating the meta-regression and mean value transfer errors, as well as the steps in estimating the economic loss associated with wetland acreage loss in the PHJV Canadian Prairies landscape are provided in section 4</w:t>
      </w:r>
      <w:proofErr w:type="gramStart"/>
      <w:r w:rsidR="009A3350">
        <w:t xml:space="preserve">.  </w:t>
      </w:r>
      <w:proofErr w:type="gramEnd"/>
      <w:r w:rsidRPr="004D1057">
        <w:t xml:space="preserve">Next, the </w:t>
      </w:r>
      <w:r w:rsidR="00DB47F4" w:rsidRPr="004D1057">
        <w:t xml:space="preserve">results of </w:t>
      </w:r>
      <w:r w:rsidR="00C52360" w:rsidRPr="004D1057">
        <w:t>our estimated model, the in-sample meta-function transfer errors</w:t>
      </w:r>
      <w:r w:rsidR="009A3350">
        <w:t xml:space="preserve">, and the policy application </w:t>
      </w:r>
      <w:r w:rsidR="001538FC">
        <w:t xml:space="preserve">are reported in chapter 5. </w:t>
      </w:r>
      <w:r w:rsidR="009A3350">
        <w:t xml:space="preserve">The discussion of the results of the study and the </w:t>
      </w:r>
      <w:r w:rsidR="001538FC">
        <w:t>conclusion</w:t>
      </w:r>
      <w:r w:rsidR="009A3350">
        <w:t>, including t</w:t>
      </w:r>
      <w:r w:rsidRPr="004D1057">
        <w:t>he limitations of the study</w:t>
      </w:r>
      <w:r w:rsidR="001D0073" w:rsidRPr="004D1057">
        <w:t>,</w:t>
      </w:r>
      <w:r w:rsidRPr="004D1057">
        <w:t xml:space="preserve"> and suggestions for future research are provided in sec</w:t>
      </w:r>
      <w:r w:rsidR="001538FC">
        <w:t xml:space="preserve">tion </w:t>
      </w:r>
      <w:r w:rsidR="009A3350">
        <w:t>6</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0F62533" w:rsidR="001B2B31" w:rsidRDefault="00051B63" w:rsidP="006E73CB">
      <w:pPr>
        <w:spacing w:line="480" w:lineRule="auto"/>
        <w:ind w:firstLine="720"/>
        <w:rPr>
          <w:color w:val="0E101A"/>
        </w:rPr>
      </w:pPr>
      <w:commentRangeStart w:id="7"/>
      <w:commentRangeStart w:id="8"/>
      <w:r w:rsidRPr="004D1057">
        <w:rPr>
          <w:color w:val="0E101A"/>
        </w:rPr>
        <w:t>In many cases</w:t>
      </w:r>
      <w:commentRangeEnd w:id="7"/>
      <w:r w:rsidR="00A57D0D">
        <w:rPr>
          <w:rStyle w:val="CommentReference"/>
          <w:rFonts w:asciiTheme="minorHAnsi" w:eastAsiaTheme="minorHAnsi" w:hAnsiTheme="minorHAnsi" w:cstheme="minorBidi"/>
        </w:rPr>
        <w:commentReference w:id="7"/>
      </w:r>
      <w:commentRangeEnd w:id="8"/>
      <w:r w:rsidR="00F060FD">
        <w:rPr>
          <w:rStyle w:val="CommentReference"/>
          <w:rFonts w:asciiTheme="minorHAnsi" w:eastAsiaTheme="minorHAnsi" w:hAnsiTheme="minorHAnsi" w:cstheme="minorBidi"/>
        </w:rPr>
        <w:commentReference w:id="8"/>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9"/>
      <w:r w:rsidRPr="00D54FE9">
        <w:rPr>
          <w:color w:val="0E101A"/>
        </w:rPr>
        <w:t>non-use values</w:t>
      </w:r>
      <w:r w:rsidR="000A1701">
        <w:rPr>
          <w:color w:val="0E101A"/>
        </w:rPr>
        <w:t>, including wetland ecosystem services,</w:t>
      </w:r>
      <w:r w:rsidRPr="00D54FE9">
        <w:rPr>
          <w:color w:val="0E101A"/>
        </w:rPr>
        <w:t xml:space="preserve"> </w:t>
      </w:r>
      <w:commentRangeEnd w:id="9"/>
      <w:r w:rsidR="00A57D0D">
        <w:rPr>
          <w:rStyle w:val="CommentReference"/>
          <w:rFonts w:asciiTheme="minorHAnsi" w:eastAsiaTheme="minorHAnsi" w:hAnsiTheme="minorHAnsi" w:cstheme="minorBidi"/>
        </w:rPr>
        <w:commentReference w:id="9"/>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r w:rsidR="00F060FD">
        <w:rPr>
          <w:color w:val="0E101A"/>
        </w:rPr>
        <w:t>Therefore, we focused on studies that used stated preference to estimate the value of wetlands.</w:t>
      </w:r>
    </w:p>
    <w:p w14:paraId="4A147089" w14:textId="11EB2475"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9626A9">
        <w:rPr>
          <w:color w:val="0E101A"/>
        </w:rPr>
        <w:t xml:space="preserve"> the literature</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w:t>
      </w:r>
      <w:proofErr w:type="spellStart"/>
      <w:r>
        <w:rPr>
          <w:color w:val="0E101A"/>
        </w:rPr>
        <w:t>i</w:t>
      </w:r>
      <w:proofErr w:type="spellEnd"/>
      <w:r>
        <w:rPr>
          <w:color w:val="0E101A"/>
        </w:rPr>
        <w:t xml:space="preserve">)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 xml:space="preserve">key word searches of environmental and resource economics journals as well as online databases such as </w:t>
      </w:r>
      <w:proofErr w:type="spellStart"/>
      <w:r w:rsidR="006729C2" w:rsidRPr="004D1057">
        <w:rPr>
          <w:color w:val="0E101A"/>
        </w:rPr>
        <w:t>EconLit</w:t>
      </w:r>
      <w:proofErr w:type="spellEnd"/>
      <w:r w:rsidR="006729C2" w:rsidRPr="004D1057">
        <w:rPr>
          <w:color w:val="0E101A"/>
        </w:rPr>
        <w:t xml:space="preserve"> and Google Scholar</w:t>
      </w:r>
      <w:r>
        <w:rPr>
          <w:color w:val="0E101A"/>
        </w:rPr>
        <w:t>, iv) as well as a recent comprehensive review of environmental valuation studies in Canada (Lloyd-Smith, 2020)</w:t>
      </w:r>
      <w:proofErr w:type="gramStart"/>
      <w:r>
        <w:rPr>
          <w:color w:val="0E101A"/>
        </w:rPr>
        <w:t xml:space="preserve">. </w:t>
      </w:r>
      <w:r w:rsidR="00801F4C" w:rsidRPr="004D1057">
        <w:rPr>
          <w:color w:val="0E101A"/>
        </w:rPr>
        <w:t xml:space="preserve"> </w:t>
      </w:r>
      <w:proofErr w:type="gramEnd"/>
    </w:p>
    <w:p w14:paraId="1F24D581" w14:textId="69531247"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stated preference method</w:t>
      </w:r>
      <w:r w:rsidR="009626A9">
        <w:rPr>
          <w:color w:val="0E101A"/>
        </w:rPr>
        <w:t>s</w:t>
      </w:r>
      <w:r w:rsidR="001B2B31">
        <w:rPr>
          <w:color w:val="0E101A"/>
        </w:rPr>
        <w:t xml:space="preserve">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w:t>
      </w:r>
      <w:proofErr w:type="spellStart"/>
      <w:r w:rsidR="00E51187" w:rsidRPr="004D1057">
        <w:rPr>
          <w:color w:val="0E101A"/>
        </w:rPr>
        <w:t>Tka</w:t>
      </w:r>
      <w:r w:rsidR="000C1FFD" w:rsidRPr="004D1057">
        <w:rPr>
          <w:color w:val="0E101A"/>
        </w:rPr>
        <w:t>c</w:t>
      </w:r>
      <w:proofErr w:type="spellEnd"/>
      <w:r w:rsidR="00E51187" w:rsidRPr="004D1057">
        <w:rPr>
          <w:color w:val="0E101A"/>
        </w:rPr>
        <w:t>, 200</w:t>
      </w:r>
      <w:r w:rsidR="0011544A" w:rsidRPr="004D1057">
        <w:rPr>
          <w:color w:val="0E101A"/>
        </w:rPr>
        <w:t>2</w:t>
      </w:r>
      <w:r w:rsidR="00E51187" w:rsidRPr="004D1057">
        <w:rPr>
          <w:color w:val="0E101A"/>
        </w:rPr>
        <w:t xml:space="preserve">; </w:t>
      </w:r>
      <w:proofErr w:type="spellStart"/>
      <w:r w:rsidR="00D43C83">
        <w:rPr>
          <w:color w:val="0E101A"/>
        </w:rPr>
        <w:t>Ayokunle</w:t>
      </w:r>
      <w:proofErr w:type="spellEnd"/>
      <w:r w:rsidR="00D43C83">
        <w:rPr>
          <w:color w:val="0E101A"/>
        </w:rPr>
        <w:t xml:space="preserv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proofErr w:type="spellStart"/>
      <w:r w:rsidR="00601DE7" w:rsidRPr="004D1057">
        <w:rPr>
          <w:color w:val="0E101A"/>
        </w:rPr>
        <w:t>Vossler</w:t>
      </w:r>
      <w:proofErr w:type="spellEnd"/>
      <w:r w:rsidR="00601DE7" w:rsidRPr="004D1057">
        <w:rPr>
          <w:color w:val="0E101A"/>
        </w:rPr>
        <w:t xml:space="preserve">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Belcher </w:t>
      </w:r>
      <w:r w:rsidR="00C506FD" w:rsidRPr="004D1057">
        <w:rPr>
          <w:color w:val="0E101A"/>
        </w:rPr>
        <w:lastRenderedPageBreak/>
        <w:t>(</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acreage and extent of wetland change.</w:t>
      </w:r>
      <w:r w:rsidR="00D43C83">
        <w:rPr>
          <w:color w:val="0E101A"/>
        </w:rPr>
        <w:t xml:space="preserve"> </w:t>
      </w:r>
      <w:commentRangeStart w:id="10"/>
      <w:commentRangeStart w:id="11"/>
      <w:commentRangeStart w:id="12"/>
      <w:commentRangeStart w:id="13"/>
      <w:r w:rsidR="00D43C83">
        <w:rPr>
          <w:color w:val="0E101A"/>
        </w:rPr>
        <w:t>Also, we excluded Rudd et al. (2016) because i</w:t>
      </w:r>
      <w:r w:rsidR="005E5710">
        <w:rPr>
          <w:color w:val="0E101A"/>
        </w:rPr>
        <w:t>t focused on saltwater wetlands.</w:t>
      </w:r>
      <w:commentRangeEnd w:id="10"/>
      <w:r w:rsidR="00A57D0D">
        <w:rPr>
          <w:rStyle w:val="CommentReference"/>
          <w:rFonts w:asciiTheme="minorHAnsi" w:eastAsiaTheme="minorHAnsi" w:hAnsiTheme="minorHAnsi" w:cstheme="minorBidi"/>
        </w:rPr>
        <w:commentReference w:id="10"/>
      </w:r>
      <w:commentRangeEnd w:id="11"/>
      <w:r w:rsidR="00AC67C6">
        <w:rPr>
          <w:rStyle w:val="CommentReference"/>
          <w:rFonts w:asciiTheme="minorHAnsi" w:eastAsiaTheme="minorHAnsi" w:hAnsiTheme="minorHAnsi" w:cstheme="minorBidi"/>
        </w:rPr>
        <w:commentReference w:id="11"/>
      </w:r>
      <w:commentRangeEnd w:id="12"/>
      <w:r w:rsidR="00345767">
        <w:rPr>
          <w:rStyle w:val="CommentReference"/>
          <w:rFonts w:asciiTheme="minorHAnsi" w:eastAsiaTheme="minorHAnsi" w:hAnsiTheme="minorHAnsi" w:cstheme="minorBidi"/>
        </w:rPr>
        <w:commentReference w:id="12"/>
      </w:r>
      <w:commentRangeEnd w:id="13"/>
      <w:r w:rsidR="009626A9">
        <w:rPr>
          <w:rStyle w:val="CommentReference"/>
          <w:rFonts w:asciiTheme="minorHAnsi" w:eastAsiaTheme="minorHAnsi" w:hAnsiTheme="minorHAnsi" w:cstheme="minorBidi"/>
        </w:rPr>
        <w:commentReference w:id="13"/>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proofErr w:type="spellStart"/>
      <w:r w:rsidR="00565AE2" w:rsidRPr="004D1057">
        <w:rPr>
          <w:color w:val="0E101A"/>
        </w:rPr>
        <w:t>Tkac</w:t>
      </w:r>
      <w:proofErr w:type="spellEnd"/>
      <w:r w:rsidR="00565AE2" w:rsidRPr="004D1057">
        <w:rPr>
          <w:color w:val="0E101A"/>
        </w:rPr>
        <w:t xml:space="preserve"> </w:t>
      </w:r>
      <w:r w:rsidRPr="004D1057">
        <w:rPr>
          <w:color w:val="0E101A"/>
        </w:rPr>
        <w:t>(2002)</w:t>
      </w:r>
      <w:r w:rsidR="005E5710">
        <w:rPr>
          <w:color w:val="0E101A"/>
        </w:rPr>
        <w:t xml:space="preserve"> and </w:t>
      </w:r>
      <w:proofErr w:type="spellStart"/>
      <w:r w:rsidR="005E5710">
        <w:rPr>
          <w:color w:val="0E101A"/>
        </w:rPr>
        <w:t>Ayokunde</w:t>
      </w:r>
      <w:proofErr w:type="spellEnd"/>
      <w:r w:rsidR="005E5710">
        <w:rPr>
          <w:color w:val="0E101A"/>
        </w:rPr>
        <w:t xml:space="preserve"> (2003</w:t>
      </w:r>
      <w:r w:rsidR="00F62796">
        <w:rPr>
          <w:color w:val="0E101A"/>
        </w:rPr>
        <w:t>).</w:t>
      </w:r>
      <w:r w:rsidRPr="004D1057">
        <w:rPr>
          <w:color w:val="0E101A"/>
        </w:rPr>
        <w:t xml:space="preserve"> Moreover, the studies were different with regards to the sample sizes, location of the study, and data collection </w:t>
      </w:r>
      <w:commentRangeStart w:id="14"/>
      <w:r w:rsidRPr="004D1057">
        <w:rPr>
          <w:color w:val="0E101A"/>
        </w:rPr>
        <w:t xml:space="preserve">year (Table 1). </w:t>
      </w:r>
      <w:commentRangeEnd w:id="14"/>
      <w:r w:rsidR="00985CCA">
        <w:rPr>
          <w:rStyle w:val="CommentReference"/>
          <w:rFonts w:asciiTheme="minorHAnsi" w:eastAsiaTheme="minorHAnsi" w:hAnsiTheme="minorHAnsi" w:cstheme="minorBidi"/>
        </w:rPr>
        <w:commentReference w:id="14"/>
      </w:r>
    </w:p>
    <w:p w14:paraId="5FD3BE55" w14:textId="77777777" w:rsidR="008C116C" w:rsidRPr="004D1057" w:rsidRDefault="008C116C">
      <w:pPr>
        <w:rPr>
          <w:color w:val="0E101A"/>
        </w:rPr>
        <w:sectPr w:rsidR="008C116C" w:rsidRPr="004D1057" w:rsidSect="00487161">
          <w:footerReference w:type="default" r:id="rId12"/>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15" w:name="_Hlk66060711"/>
      <w:r w:rsidRPr="004D1057">
        <w:rPr>
          <w:b/>
          <w:bCs/>
        </w:rPr>
        <w:t xml:space="preserve">Table 1. Comparison of </w:t>
      </w:r>
      <w:r w:rsidR="00B733C8">
        <w:rPr>
          <w:b/>
          <w:bCs/>
        </w:rPr>
        <w:t xml:space="preserve">Stated Preference </w:t>
      </w:r>
      <w:r w:rsidRPr="004D1057">
        <w:rPr>
          <w:b/>
          <w:bCs/>
        </w:rPr>
        <w:t>Wetland Valuation Studies in Canada</w:t>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16"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7"/>
            <w:commentRangeStart w:id="18"/>
            <w:r w:rsidRPr="004D1057">
              <w:rPr>
                <w:b/>
                <w:bCs/>
                <w:sz w:val="20"/>
                <w:szCs w:val="20"/>
              </w:rPr>
              <w:t>Restoration/Retention</w:t>
            </w:r>
            <w:commentRangeEnd w:id="17"/>
            <w:r w:rsidR="00416FCD">
              <w:rPr>
                <w:rStyle w:val="CommentReference"/>
                <w:rFonts w:asciiTheme="minorHAnsi" w:eastAsiaTheme="minorHAnsi" w:hAnsiTheme="minorHAnsi" w:cstheme="minorBidi"/>
              </w:rPr>
              <w:commentReference w:id="17"/>
            </w:r>
            <w:commentRangeEnd w:id="18"/>
            <w:r w:rsidR="006B35DF">
              <w:rPr>
                <w:rStyle w:val="CommentReference"/>
                <w:rFonts w:asciiTheme="minorHAnsi" w:eastAsiaTheme="minorHAnsi" w:hAnsiTheme="minorHAnsi" w:cstheme="minorBidi"/>
              </w:rPr>
              <w:commentReference w:id="18"/>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9"/>
            <w:commentRangeStart w:id="20"/>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9"/>
            <w:r w:rsidR="00416FCD">
              <w:rPr>
                <w:rStyle w:val="CommentReference"/>
                <w:rFonts w:asciiTheme="minorHAnsi" w:eastAsiaTheme="minorHAnsi" w:hAnsiTheme="minorHAnsi" w:cstheme="minorBidi"/>
              </w:rPr>
              <w:commentReference w:id="19"/>
            </w:r>
            <w:commentRangeEnd w:id="20"/>
            <w:r w:rsidR="00337387">
              <w:rPr>
                <w:rStyle w:val="CommentReference"/>
                <w:rFonts w:asciiTheme="minorHAnsi" w:eastAsiaTheme="minorHAnsi" w:hAnsiTheme="minorHAnsi" w:cstheme="minorBidi"/>
              </w:rPr>
              <w:commentReference w:id="20"/>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proofErr w:type="spellStart"/>
            <w:r w:rsidRPr="004D1057">
              <w:rPr>
                <w:color w:val="000000"/>
                <w:sz w:val="20"/>
                <w:szCs w:val="20"/>
              </w:rPr>
              <w:t>Tkac</w:t>
            </w:r>
            <w:proofErr w:type="spellEnd"/>
            <w:r w:rsidRPr="004D1057">
              <w:rPr>
                <w:color w:val="000000"/>
                <w:sz w:val="20"/>
                <w:szCs w:val="20"/>
              </w:rPr>
              <w:t xml:space="preserve">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r w:rsidRPr="004D1057">
              <w:rPr>
                <w:sz w:val="20"/>
                <w:szCs w:val="20"/>
              </w:rPr>
              <w:t>CV (</w:t>
            </w:r>
            <w:r w:rsidR="007E1C0C">
              <w:rPr>
                <w:sz w:val="20"/>
                <w:szCs w:val="20"/>
              </w:rPr>
              <w:t>One Time</w:t>
            </w:r>
            <w:r w:rsidRPr="004D1057">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proofErr w:type="spellStart"/>
            <w:r w:rsidRPr="00FD100E">
              <w:rPr>
                <w:sz w:val="20"/>
                <w:szCs w:val="20"/>
              </w:rPr>
              <w:t>Ayokunle</w:t>
            </w:r>
            <w:proofErr w:type="spellEnd"/>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proofErr w:type="spellStart"/>
            <w:r>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21"/>
            <w:commentRangeStart w:id="22"/>
            <w:r w:rsidRPr="004D1057">
              <w:rPr>
                <w:sz w:val="20"/>
                <w:szCs w:val="20"/>
              </w:rPr>
              <w:t>308,875</w:t>
            </w:r>
            <w:commentRangeEnd w:id="21"/>
            <w:r>
              <w:rPr>
                <w:rStyle w:val="CommentReference"/>
                <w:rFonts w:asciiTheme="minorHAnsi" w:eastAsiaTheme="minorHAnsi" w:hAnsiTheme="minorHAnsi" w:cstheme="minorBidi"/>
              </w:rPr>
              <w:commentReference w:id="21"/>
            </w:r>
            <w:commentRangeEnd w:id="22"/>
            <w:r w:rsidR="00886B32">
              <w:rPr>
                <w:rStyle w:val="CommentReference"/>
                <w:rFonts w:asciiTheme="minorHAnsi" w:eastAsiaTheme="minorHAnsi" w:hAnsiTheme="minorHAnsi" w:cstheme="minorBidi"/>
              </w:rPr>
              <w:commentReference w:id="22"/>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23"/>
            <w:commentRangeStart w:id="24"/>
            <w:r w:rsidRPr="004D1057">
              <w:rPr>
                <w:sz w:val="20"/>
                <w:szCs w:val="20"/>
              </w:rPr>
              <w:t xml:space="preserve">CV (An </w:t>
            </w:r>
            <w:r w:rsidR="00FD100E" w:rsidRPr="004D1057">
              <w:rPr>
                <w:sz w:val="20"/>
                <w:szCs w:val="20"/>
              </w:rPr>
              <w:t>Cont.</w:t>
            </w:r>
            <w:r w:rsidRPr="004D1057">
              <w:rPr>
                <w:sz w:val="20"/>
                <w:szCs w:val="20"/>
              </w:rPr>
              <w:t>)</w:t>
            </w:r>
            <w:commentRangeEnd w:id="23"/>
            <w:r w:rsidRPr="004D1057">
              <w:rPr>
                <w:rStyle w:val="CommentReference"/>
                <w:rFonts w:eastAsiaTheme="minorHAnsi"/>
              </w:rPr>
              <w:commentReference w:id="23"/>
            </w:r>
            <w:commentRangeEnd w:id="24"/>
            <w:r>
              <w:rPr>
                <w:rStyle w:val="CommentReference"/>
                <w:rFonts w:asciiTheme="minorHAnsi" w:eastAsiaTheme="minorHAnsi" w:hAnsiTheme="minorHAnsi" w:cstheme="minorBidi"/>
              </w:rPr>
              <w:commentReference w:id="24"/>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proofErr w:type="spellStart"/>
            <w:r w:rsidRPr="004D1057">
              <w:rPr>
                <w:sz w:val="20"/>
                <w:szCs w:val="20"/>
              </w:rPr>
              <w:t>Vossler</w:t>
            </w:r>
            <w:proofErr w:type="spellEnd"/>
            <w:r w:rsidRPr="004D1057">
              <w:rPr>
                <w:sz w:val="20"/>
                <w:szCs w:val="20"/>
              </w:rPr>
              <w:t xml:space="preserve">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25"/>
            <w:r w:rsidRPr="004D1057">
              <w:rPr>
                <w:sz w:val="20"/>
                <w:szCs w:val="20"/>
              </w:rPr>
              <w:t>CV</w:t>
            </w:r>
            <w:commentRangeEnd w:id="25"/>
            <w:r>
              <w:rPr>
                <w:rStyle w:val="CommentReference"/>
                <w:rFonts w:asciiTheme="minorHAnsi" w:eastAsiaTheme="minorHAnsi" w:hAnsiTheme="minorHAnsi" w:cstheme="minorBidi"/>
              </w:rPr>
              <w:commentReference w:id="25"/>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26"/>
            <w:commentRangeStart w:id="27"/>
            <w:commentRangeStart w:id="28"/>
            <w:commentRangeStart w:id="29"/>
            <w:r w:rsidR="001079E5" w:rsidRPr="004D1057">
              <w:rPr>
                <w:color w:val="000000"/>
                <w:sz w:val="20"/>
                <w:szCs w:val="20"/>
              </w:rPr>
              <w:t>,</w:t>
            </w:r>
            <w:commentRangeEnd w:id="26"/>
            <w:r w:rsidR="001079E5">
              <w:rPr>
                <w:rStyle w:val="CommentReference"/>
                <w:rFonts w:asciiTheme="minorHAnsi" w:eastAsiaTheme="minorHAnsi" w:hAnsiTheme="minorHAnsi" w:cstheme="minorBidi"/>
              </w:rPr>
              <w:commentReference w:id="26"/>
            </w:r>
            <w:commentRangeEnd w:id="27"/>
            <w:r>
              <w:rPr>
                <w:rStyle w:val="CommentReference"/>
                <w:rFonts w:asciiTheme="minorHAnsi" w:eastAsiaTheme="minorHAnsi" w:hAnsiTheme="minorHAnsi" w:cstheme="minorBidi"/>
              </w:rPr>
              <w:commentReference w:id="27"/>
            </w:r>
            <w:commentRangeEnd w:id="28"/>
            <w:r w:rsidR="00A57D0D">
              <w:rPr>
                <w:rStyle w:val="CommentReference"/>
                <w:rFonts w:asciiTheme="minorHAnsi" w:eastAsiaTheme="minorHAnsi" w:hAnsiTheme="minorHAnsi" w:cstheme="minorBidi"/>
              </w:rPr>
              <w:commentReference w:id="28"/>
            </w:r>
            <w:commentRangeEnd w:id="29"/>
            <w:r w:rsidR="00455237">
              <w:rPr>
                <w:rStyle w:val="CommentReference"/>
                <w:rFonts w:asciiTheme="minorHAnsi" w:eastAsiaTheme="minorHAnsi" w:hAnsiTheme="minorHAnsi" w:cstheme="minorBidi"/>
              </w:rPr>
              <w:commentReference w:id="29"/>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16"/>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xml:space="preserve">; </w:t>
      </w:r>
      <w:proofErr w:type="spellStart"/>
      <w:r w:rsidR="008C116C" w:rsidRPr="004D1057">
        <w:rPr>
          <w:sz w:val="18"/>
          <w:szCs w:val="18"/>
        </w:rPr>
        <w:t>Cul</w:t>
      </w:r>
      <w:proofErr w:type="spellEnd"/>
      <w:r w:rsidR="008C116C" w:rsidRPr="004D1057">
        <w:rPr>
          <w:sz w:val="18"/>
          <w:szCs w:val="18"/>
        </w:rPr>
        <w:t>: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08BBBFC1" w:rsidR="008C116C" w:rsidRDefault="008C116C" w:rsidP="00397338">
      <w:pPr>
        <w:rPr>
          <w:sz w:val="18"/>
          <w:szCs w:val="18"/>
        </w:rPr>
      </w:pPr>
      <w:r w:rsidRPr="004D1057">
        <w:rPr>
          <w:sz w:val="18"/>
          <w:szCs w:val="18"/>
        </w:rPr>
        <w:t xml:space="preserve">WTP: willingness to pay to retain or restore wetlands per household </w:t>
      </w:r>
      <w:commentRangeStart w:id="30"/>
      <w:r w:rsidR="000451C7">
        <w:rPr>
          <w:sz w:val="18"/>
          <w:szCs w:val="18"/>
        </w:rPr>
        <w:t xml:space="preserve">per year </w:t>
      </w:r>
      <w:commentRangeEnd w:id="30"/>
      <w:r w:rsidR="009020C2">
        <w:rPr>
          <w:rStyle w:val="CommentReference"/>
          <w:rFonts w:asciiTheme="minorHAnsi" w:eastAsiaTheme="minorHAnsi" w:hAnsiTheme="minorHAnsi" w:cstheme="minorBidi"/>
        </w:rPr>
        <w:commentReference w:id="30"/>
      </w:r>
      <w:r w:rsidR="000451C7">
        <w:rPr>
          <w:sz w:val="18"/>
          <w:szCs w:val="18"/>
        </w:rPr>
        <w:t xml:space="preserve">in </w:t>
      </w:r>
      <w:r w:rsidRPr="004D1057">
        <w:rPr>
          <w:sz w:val="18"/>
          <w:szCs w:val="18"/>
        </w:rPr>
        <w:t>2017 CAD$</w:t>
      </w:r>
      <w:bookmarkEnd w:id="15"/>
      <w:r w:rsidR="00F060FD">
        <w:rPr>
          <w:sz w:val="18"/>
          <w:szCs w:val="18"/>
        </w:rPr>
        <w:t xml:space="preserve"> except for the </w:t>
      </w:r>
      <w:proofErr w:type="spellStart"/>
      <w:proofErr w:type="gramStart"/>
      <w:r w:rsidR="00F060FD">
        <w:rPr>
          <w:sz w:val="18"/>
          <w:szCs w:val="18"/>
        </w:rPr>
        <w:t>one time</w:t>
      </w:r>
      <w:proofErr w:type="spellEnd"/>
      <w:proofErr w:type="gramEnd"/>
      <w:r w:rsidR="00F060FD">
        <w:rPr>
          <w:sz w:val="18"/>
          <w:szCs w:val="18"/>
        </w:rPr>
        <w:t xml:space="preserve"> payment</w:t>
      </w:r>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0A2CCACC" w14:textId="48F2BA7D" w:rsidR="00A95795" w:rsidDel="00985CCA" w:rsidRDefault="00A95795">
      <w:pPr>
        <w:rPr>
          <w:b/>
          <w:bCs/>
          <w:color w:val="0E101A"/>
        </w:rPr>
      </w:pPr>
      <w:r w:rsidDel="00985CCA">
        <w:rPr>
          <w:b/>
          <w:bCs/>
          <w:color w:val="0E101A"/>
        </w:rPr>
        <w:lastRenderedPageBreak/>
        <w:br w:type="page"/>
      </w:r>
    </w:p>
    <w:p w14:paraId="627F77E6" w14:textId="2B386394" w:rsidR="005F6DE4" w:rsidRPr="004D1057" w:rsidRDefault="005F6DE4" w:rsidP="005F6DE4">
      <w:pPr>
        <w:spacing w:line="480" w:lineRule="auto"/>
        <w:rPr>
          <w:color w:val="0E101A"/>
        </w:rPr>
      </w:pPr>
      <w:r w:rsidRPr="004D1057">
        <w:rPr>
          <w:b/>
          <w:bCs/>
          <w:color w:val="0E101A"/>
        </w:rPr>
        <w:lastRenderedPageBreak/>
        <w:t>3</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w:t>
      </w:r>
      <w:proofErr w:type="spellStart"/>
      <w:r w:rsidRPr="004D1057">
        <w:rPr>
          <w:color w:val="0E101A"/>
        </w:rPr>
        <w:t>Ghermandi</w:t>
      </w:r>
      <w:proofErr w:type="spellEnd"/>
      <w:r w:rsidRPr="004D1057">
        <w:rPr>
          <w:color w:val="0E101A"/>
        </w:rPr>
        <w:t xml:space="preserve"> et al. 2010; Brander, </w:t>
      </w:r>
      <w:proofErr w:type="spellStart"/>
      <w:r w:rsidRPr="004D1057">
        <w:rPr>
          <w:color w:val="0E101A"/>
        </w:rPr>
        <w:t>Florax</w:t>
      </w:r>
      <w:proofErr w:type="spellEnd"/>
      <w:r w:rsidRPr="004D1057">
        <w:rPr>
          <w:color w:val="0E101A"/>
        </w:rPr>
        <w:t xml:space="preserve">, and </w:t>
      </w:r>
      <w:proofErr w:type="spellStart"/>
      <w:r w:rsidRPr="004D1057">
        <w:rPr>
          <w:color w:val="0E101A"/>
        </w:rPr>
        <w:t>Vermaat</w:t>
      </w:r>
      <w:proofErr w:type="spellEnd"/>
      <w:r w:rsidRPr="004D1057">
        <w:rPr>
          <w:color w:val="0E101A"/>
        </w:rPr>
        <w:t xml:space="preserve"> 2006; Woodward and </w:t>
      </w:r>
      <w:proofErr w:type="spellStart"/>
      <w:r w:rsidRPr="004D1057">
        <w:rPr>
          <w:color w:val="0E101A"/>
        </w:rPr>
        <w:t>Wui</w:t>
      </w:r>
      <w:proofErr w:type="spellEnd"/>
      <w:r w:rsidRPr="004D1057">
        <w:rPr>
          <w:color w:val="0E101A"/>
        </w:rPr>
        <w:t xml:space="preserve">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the same across studies used for the meta-regression (Vedogbeton and Johnson, 2020)</w:t>
      </w:r>
      <w:proofErr w:type="gramStart"/>
      <w:r w:rsidR="006B7FCA" w:rsidRPr="004D1057">
        <w:rPr>
          <w:color w:val="0E101A"/>
        </w:rPr>
        <w:t xml:space="preserve">. </w:t>
      </w:r>
      <w:r w:rsidRPr="004D1057">
        <w:rPr>
          <w:color w:val="0E101A"/>
        </w:rPr>
        <w:t xml:space="preserve"> </w:t>
      </w:r>
      <w:proofErr w:type="gramEnd"/>
      <w:r w:rsidRPr="004D1057">
        <w:rPr>
          <w:color w:val="0E101A"/>
        </w:rPr>
        <w:t>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31"/>
      <w:commentRangeStart w:id="32"/>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31"/>
      <w:r w:rsidR="00A63C32" w:rsidRPr="004D1057">
        <w:rPr>
          <w:rStyle w:val="CommentReference"/>
          <w:rFonts w:eastAsiaTheme="minorHAnsi"/>
        </w:rPr>
        <w:commentReference w:id="31"/>
      </w:r>
      <w:commentRangeEnd w:id="32"/>
      <w:r w:rsidR="00C02118">
        <w:rPr>
          <w:rStyle w:val="CommentReference"/>
          <w:rFonts w:asciiTheme="minorHAnsi" w:eastAsiaTheme="minorHAnsi" w:hAnsiTheme="minorHAnsi" w:cstheme="minorBidi"/>
        </w:rPr>
        <w:commentReference w:id="32"/>
      </w:r>
    </w:p>
    <w:p w14:paraId="4F67B3DA" w14:textId="6D9C9198" w:rsidR="00F53BB9" w:rsidRPr="004D1057" w:rsidRDefault="00184756" w:rsidP="00C76245">
      <w:pPr>
        <w:spacing w:line="480" w:lineRule="auto"/>
        <w:ind w:firstLine="720"/>
      </w:pPr>
      <w:r>
        <w:t>T</w:t>
      </w:r>
      <w:commentRangeStart w:id="33"/>
      <w:r w:rsidR="00D55208" w:rsidRPr="004D1057">
        <w:t xml:space="preserve">he </w:t>
      </w:r>
      <w:r>
        <w:t>average</w:t>
      </w:r>
      <w:r w:rsidRPr="004D1057">
        <w:t xml:space="preserve"> </w:t>
      </w:r>
      <w:r w:rsidR="00A57D0D">
        <w:t xml:space="preserve">household </w:t>
      </w:r>
      <w:r w:rsidR="00D55208" w:rsidRPr="004D1057">
        <w:t xml:space="preserve">willingness </w:t>
      </w:r>
      <w:commentRangeEnd w:id="33"/>
      <w:r w:rsidR="00D55208">
        <w:rPr>
          <w:rStyle w:val="CommentReference"/>
          <w:rFonts w:asciiTheme="minorHAnsi" w:eastAsiaTheme="minorHAnsi" w:hAnsiTheme="minorHAnsi" w:cstheme="minorBidi"/>
        </w:rPr>
        <w:commentReference w:id="33"/>
      </w:r>
      <w:r w:rsidR="00D55208" w:rsidRPr="004D1057">
        <w:t xml:space="preserve">to pay for </w:t>
      </w:r>
      <w:r>
        <w:t xml:space="preserve">a </w:t>
      </w:r>
      <w:r w:rsidR="00D55208" w:rsidRPr="004D1057">
        <w:t xml:space="preserve">wetland </w:t>
      </w:r>
      <w:r>
        <w:t>conservation program</w:t>
      </w:r>
      <w:r w:rsidR="00F44F0F">
        <w:t xml:space="preserve"> is $156</w:t>
      </w:r>
      <w:r>
        <w:t xml:space="preserve"> in Canada</w:t>
      </w:r>
      <w:r w:rsidR="00071426">
        <w:t xml:space="preserve"> </w:t>
      </w:r>
      <w:commentRangeStart w:id="34"/>
      <w:commentRangeEnd w:id="34"/>
      <w:r w:rsidR="00A57D0D">
        <w:rPr>
          <w:rStyle w:val="CommentReference"/>
          <w:rFonts w:asciiTheme="minorHAnsi" w:eastAsiaTheme="minorHAnsi" w:hAnsiTheme="minorHAnsi" w:cstheme="minorBidi"/>
        </w:rPr>
        <w:commentReference w:id="34"/>
      </w:r>
      <w:commentRangeStart w:id="35"/>
      <w:r w:rsidR="00C21FE5" w:rsidRPr="004D1057">
        <w:t>with a standard deviation of $</w:t>
      </w:r>
      <w:r w:rsidR="00557C8B">
        <w:t>3.</w:t>
      </w:r>
      <w:r w:rsidR="00F44F0F">
        <w:t>82</w:t>
      </w:r>
      <w:commentRangeEnd w:id="35"/>
      <w:r>
        <w:rPr>
          <w:rStyle w:val="CommentReference"/>
          <w:rFonts w:asciiTheme="minorHAnsi" w:eastAsiaTheme="minorHAnsi" w:hAnsiTheme="minorHAnsi" w:cstheme="minorBidi"/>
        </w:rPr>
        <w:commentReference w:id="35"/>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rsidR="00D55208">
        <w:t>) is</w:t>
      </w:r>
      <w:r w:rsidR="00F44F0F">
        <w:t xml:space="preserve"> 85,819 acres</w:t>
      </w:r>
      <w:r w:rsidR="00D55208">
        <w:t xml:space="preserve">. </w:t>
      </w:r>
      <w:r>
        <w:t>For the</w:t>
      </w:r>
      <w:r w:rsidR="00D55208">
        <w:t xml:space="preserve"> US studies, t</w:t>
      </w:r>
      <w:r w:rsidR="00C21FE5" w:rsidRPr="004D1057">
        <w:t>he mean willingness to pay</w:t>
      </w:r>
      <w:r w:rsidR="00D55208">
        <w:t xml:space="preserve"> </w:t>
      </w:r>
      <w:r w:rsidR="00557C8B">
        <w:t xml:space="preserve">is </w:t>
      </w:r>
      <w:r w:rsidR="0010355A" w:rsidRPr="00D54FE9">
        <w:t>$</w:t>
      </w:r>
      <w:r w:rsidR="00D55208">
        <w:t>3</w:t>
      </w:r>
      <w:r w:rsidR="000F519B">
        <w:t>6</w:t>
      </w:r>
      <w:r w:rsidR="00D55208">
        <w:t>.6</w:t>
      </w:r>
      <w:r w:rsidR="000F519B">
        <w:t xml:space="preserve"> </w:t>
      </w:r>
      <w:r w:rsidR="00557C8B">
        <w:t>with a standard deviation of $</w:t>
      </w:r>
      <w:r w:rsidR="00D55208">
        <w:t>4.12</w:t>
      </w:r>
      <w:r>
        <w:t xml:space="preserve"> and </w:t>
      </w:r>
      <w:proofErr w:type="gramStart"/>
      <w:r>
        <w:t xml:space="preserve">a </w:t>
      </w:r>
      <w:r w:rsidR="00D55208">
        <w:t xml:space="preserve"> mean</w:t>
      </w:r>
      <w:proofErr w:type="gramEnd"/>
      <w:r w:rsidR="00D55208">
        <w:t xml:space="preserve"> </w:t>
      </w:r>
      <w:r>
        <w:t xml:space="preserve">change in </w:t>
      </w:r>
      <w:r w:rsidR="00D55208">
        <w:t xml:space="preserve">wetland acreage </w:t>
      </w:r>
      <w:r>
        <w:t xml:space="preserve">of </w:t>
      </w:r>
      <w:r w:rsidR="00D55208">
        <w:t xml:space="preserve">1,119. </w:t>
      </w:r>
      <w:r>
        <w:t>Figure 1 plots the logarithms of WTP value estimates and changes in wetland program acreage for Canadian and US studies. The figure shows that there is generally a positive correlation between WTP and wetland program acreage and that the Canadian wetland valuation studies have generally valued much larger changes in wetland acreages compared to US studies.</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6"/>
      <w:commentRangeStart w:id="37"/>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6"/>
      <w:r w:rsidR="00813D78">
        <w:rPr>
          <w:rStyle w:val="CommentReference"/>
          <w:rFonts w:asciiTheme="minorHAnsi" w:eastAsiaTheme="minorHAnsi" w:hAnsiTheme="minorHAnsi" w:cstheme="minorBidi"/>
        </w:rPr>
        <w:commentReference w:id="36"/>
      </w:r>
      <w:commentRangeEnd w:id="37"/>
      <w:r w:rsidR="00312F9A">
        <w:rPr>
          <w:rStyle w:val="CommentReference"/>
          <w:rFonts w:asciiTheme="minorHAnsi" w:eastAsiaTheme="minorHAnsi" w:hAnsiTheme="minorHAnsi" w:cstheme="minorBidi"/>
        </w:rPr>
        <w:commentReference w:id="37"/>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8"/>
      <w:commentRangeStart w:id="39"/>
      <w:commentRangeEnd w:id="38"/>
      <w:r w:rsidR="00B733C8">
        <w:rPr>
          <w:rStyle w:val="CommentReference"/>
          <w:rFonts w:asciiTheme="minorHAnsi" w:eastAsiaTheme="minorHAnsi" w:hAnsiTheme="minorHAnsi" w:cstheme="minorBidi"/>
        </w:rPr>
        <w:commentReference w:id="38"/>
      </w:r>
      <w:commentRangeEnd w:id="39"/>
      <w:r w:rsidR="00312F9A">
        <w:rPr>
          <w:rStyle w:val="CommentReference"/>
          <w:rFonts w:asciiTheme="minorHAnsi" w:eastAsiaTheme="minorHAnsi" w:hAnsiTheme="minorHAnsi" w:cstheme="minorBidi"/>
        </w:rPr>
        <w:commentReference w:id="39"/>
      </w:r>
    </w:p>
    <w:p w14:paraId="3961FEBA" w14:textId="5871D363" w:rsidR="00BC2DDE" w:rsidRDefault="00A57D0D" w:rsidP="00F53BB9">
      <w:pPr>
        <w:rPr>
          <w:noProof/>
        </w:rPr>
      </w:pPr>
      <w:commentRangeStart w:id="40"/>
      <w:commentRangeStart w:id="41"/>
      <w:commentRangeEnd w:id="40"/>
      <w:r>
        <w:rPr>
          <w:rStyle w:val="CommentReference"/>
          <w:rFonts w:asciiTheme="minorHAnsi" w:eastAsiaTheme="minorHAnsi" w:hAnsiTheme="minorHAnsi" w:cstheme="minorBidi"/>
        </w:rPr>
        <w:commentReference w:id="40"/>
      </w:r>
      <w:commentRangeEnd w:id="41"/>
      <w:r w:rsidR="00EC3AE9">
        <w:rPr>
          <w:rStyle w:val="CommentReference"/>
          <w:rFonts w:asciiTheme="minorHAnsi" w:eastAsiaTheme="minorHAnsi" w:hAnsiTheme="minorHAnsi" w:cstheme="minorBidi"/>
        </w:rPr>
        <w:commentReference w:id="41"/>
      </w:r>
      <w:r w:rsidR="00EC3AE9" w:rsidRPr="00EC3AE9">
        <w:t xml:space="preserve"> </w:t>
      </w:r>
      <w:r w:rsidR="00EC3AE9">
        <w:rPr>
          <w:noProof/>
          <w:lang w:val="en-CA" w:eastAsia="en-CA"/>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commentRangeStart w:id="42"/>
      <w:r w:rsidR="00312F9A">
        <w:t>more</w:t>
      </w:r>
      <w:r w:rsidR="004B0C84" w:rsidRPr="004D1057">
        <w:t xml:space="preserve"> Canadian studies (</w:t>
      </w:r>
      <w:r w:rsidR="00EE6977">
        <w:t>3</w:t>
      </w:r>
      <w:r w:rsidR="00312F9A">
        <w:t>8</w:t>
      </w:r>
      <w:r w:rsidR="004B0C84" w:rsidRPr="004D1057">
        <w:t xml:space="preserve">%), </w:t>
      </w:r>
      <w:commentRangeEnd w:id="42"/>
      <w:r w:rsidR="00985CCA">
        <w:rPr>
          <w:rStyle w:val="CommentReference"/>
          <w:rFonts w:asciiTheme="minorHAnsi" w:eastAsiaTheme="minorHAnsi" w:hAnsiTheme="minorHAnsi" w:cstheme="minorBidi"/>
        </w:rPr>
        <w:commentReference w:id="42"/>
      </w:r>
      <w:r w:rsidR="004B0C84" w:rsidRPr="004D1057">
        <w:t>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w:t>
      </w:r>
      <w:commentRangeStart w:id="43"/>
      <w:r w:rsidR="00AE31ED">
        <w:t>local level (56%) than the for the US studies (44%)</w:t>
      </w:r>
      <w:proofErr w:type="gramStart"/>
      <w:r w:rsidR="00AE31ED">
        <w:t xml:space="preserve">. </w:t>
      </w:r>
      <w:r w:rsidR="004B0C84" w:rsidRPr="004D1057">
        <w:t xml:space="preserve"> </w:t>
      </w:r>
      <w:commentRangeEnd w:id="43"/>
      <w:proofErr w:type="gramEnd"/>
      <w:r w:rsidR="00985CCA">
        <w:rPr>
          <w:rStyle w:val="CommentReference"/>
          <w:rFonts w:asciiTheme="minorHAnsi" w:eastAsiaTheme="minorHAnsi" w:hAnsiTheme="minorHAnsi" w:cstheme="minorBidi"/>
        </w:rPr>
        <w:commentReference w:id="43"/>
      </w:r>
    </w:p>
    <w:p w14:paraId="32222D69" w14:textId="37F7268F"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184756">
        <w:t>for valuation which is much higher than the Canadian proportion of 6%</w:t>
      </w:r>
      <w:r w:rsidR="00AE31ED">
        <w:t xml:space="preserve">. </w:t>
      </w:r>
      <w:r w:rsidRPr="004D1057">
        <w:t>Also</w:t>
      </w:r>
      <w:commentRangeStart w:id="44"/>
      <w:r w:rsidRPr="004D1057">
        <w:t xml:space="preserve">, </w:t>
      </w:r>
      <w:r w:rsidR="00AE31ED">
        <w:t>less</w:t>
      </w:r>
      <w:r w:rsidRPr="004D1057">
        <w:t xml:space="preserve"> studies </w:t>
      </w:r>
      <w:commentRangeEnd w:id="44"/>
      <w:r w:rsidR="00184756">
        <w:rPr>
          <w:rStyle w:val="CommentReference"/>
          <w:rFonts w:asciiTheme="minorHAnsi" w:eastAsiaTheme="minorHAnsi" w:hAnsiTheme="minorHAnsi" w:cstheme="minorBidi"/>
        </w:rPr>
        <w:commentReference w:id="44"/>
      </w:r>
      <w:r w:rsidRPr="004D1057">
        <w:t>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45"/>
      <w:r w:rsidRPr="004D1057">
        <w:t xml:space="preserve">that using US only studies on willing to pay for wetland conservation by households to infer similar </w:t>
      </w:r>
      <w:commentRangeEnd w:id="45"/>
      <w:r w:rsidRPr="004D1057">
        <w:rPr>
          <w:rStyle w:val="CommentReference"/>
          <w:rFonts w:eastAsiaTheme="minorHAnsi"/>
        </w:rPr>
        <w:commentReference w:id="45"/>
      </w:r>
      <w:r w:rsidRPr="004D1057">
        <w:t xml:space="preserve">values in Canada through a benefit </w:t>
      </w:r>
      <w:r w:rsidRPr="004B4FA1">
        <w:t xml:space="preserve">transfer approach, might produce unreliable estimates. In particular, </w:t>
      </w:r>
      <w:commentRangeStart w:id="46"/>
      <w:r w:rsidRPr="004B4FA1">
        <w:t xml:space="preserve">wetland changes, on the average, in the Canadian studies are significantly </w:t>
      </w:r>
      <w:r w:rsidR="004B4615">
        <w:t>smaller</w:t>
      </w:r>
      <w:r w:rsidRPr="004B4FA1">
        <w:t xml:space="preserve"> </w:t>
      </w:r>
      <w:commentRangeEnd w:id="46"/>
      <w:r w:rsidR="00184756">
        <w:rPr>
          <w:rStyle w:val="CommentReference"/>
          <w:rFonts w:asciiTheme="minorHAnsi" w:eastAsiaTheme="minorHAnsi" w:hAnsiTheme="minorHAnsi" w:cstheme="minorBidi"/>
        </w:rPr>
        <w:commentReference w:id="46"/>
      </w:r>
      <w:r w:rsidRPr="004B4FA1">
        <w:t xml:space="preserve">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w:t>
      </w:r>
      <w:proofErr w:type="gramStart"/>
      <w:r w:rsidRPr="004B4FA1">
        <w:t xml:space="preserve">. </w:t>
      </w:r>
      <w:r w:rsidRPr="004D1057">
        <w:t xml:space="preserve"> </w:t>
      </w:r>
      <w:proofErr w:type="gramEnd"/>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47"/>
      <w:commentRangeStart w:id="48"/>
      <w:r w:rsidRPr="004D1057">
        <w:rPr>
          <w:b/>
          <w:bCs/>
        </w:rPr>
        <w:lastRenderedPageBreak/>
        <w:t xml:space="preserve">Table 2. </w:t>
      </w:r>
      <w:commentRangeEnd w:id="47"/>
      <w:r>
        <w:rPr>
          <w:rStyle w:val="CommentReference"/>
          <w:rFonts w:asciiTheme="minorHAnsi" w:eastAsiaTheme="minorHAnsi" w:hAnsiTheme="minorHAnsi" w:cstheme="minorBidi"/>
        </w:rPr>
        <w:commentReference w:id="47"/>
      </w:r>
      <w:commentRangeEnd w:id="48"/>
      <w:r w:rsidR="00CC48C1">
        <w:rPr>
          <w:rStyle w:val="CommentReference"/>
          <w:rFonts w:asciiTheme="minorHAnsi" w:eastAsiaTheme="minorHAnsi" w:hAnsiTheme="minorHAnsi" w:cstheme="minorBidi"/>
        </w:rPr>
        <w:commentReference w:id="48"/>
      </w:r>
      <w:r w:rsidR="00526CFA">
        <w:rPr>
          <w:b/>
          <w:bCs/>
        </w:rPr>
        <w:t>Variable description and sample statistics</w:t>
      </w:r>
    </w:p>
    <w:p w14:paraId="726A2E97" w14:textId="77777777" w:rsidR="00FF0BCF" w:rsidRDefault="00FF0BCF" w:rsidP="00FF0BCF">
      <w:pPr>
        <w:rPr>
          <w:sz w:val="20"/>
          <w:szCs w:val="20"/>
        </w:rPr>
      </w:pPr>
      <w:bookmarkStart w:id="49" w:name="_Hlk76468619"/>
    </w:p>
    <w:tbl>
      <w:tblPr>
        <w:tblW w:w="12362" w:type="dxa"/>
        <w:tblLook w:val="04A0" w:firstRow="1" w:lastRow="0" w:firstColumn="1" w:lastColumn="0" w:noHBand="0" w:noVBand="1"/>
      </w:tblPr>
      <w:tblGrid>
        <w:gridCol w:w="2268"/>
        <w:gridCol w:w="5103"/>
        <w:gridCol w:w="146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50"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1F8F07B4" w:rsidR="00FF0BCF" w:rsidRPr="00112687" w:rsidRDefault="00985CCA" w:rsidP="00A57D0D">
            <w:pPr>
              <w:rPr>
                <w:color w:val="000000"/>
                <w:sz w:val="20"/>
                <w:szCs w:val="20"/>
                <w:lang w:eastAsia="en-CA"/>
              </w:rPr>
            </w:pPr>
            <w:r>
              <w:rPr>
                <w:color w:val="000000"/>
                <w:sz w:val="20"/>
                <w:szCs w:val="20"/>
                <w:lang w:eastAsia="en-CA"/>
              </w:rPr>
              <w:t>R</w:t>
            </w:r>
            <w:r w:rsidR="00FF0BCF" w:rsidRPr="00112687">
              <w:rPr>
                <w:color w:val="000000"/>
                <w:sz w:val="20"/>
                <w:szCs w:val="20"/>
                <w:lang w:eastAsia="en-CA"/>
              </w:rPr>
              <w:t>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51"/>
            <w:r w:rsidRPr="00112687">
              <w:rPr>
                <w:color w:val="000000"/>
                <w:sz w:val="20"/>
                <w:szCs w:val="20"/>
                <w:lang w:eastAsia="en-CA"/>
              </w:rPr>
              <w:t>1=study was peer-reviewed</w:t>
            </w:r>
            <w:commentRangeEnd w:id="51"/>
            <w:r w:rsidR="00416FCD">
              <w:rPr>
                <w:rStyle w:val="CommentReference"/>
                <w:rFonts w:asciiTheme="minorHAnsi" w:eastAsiaTheme="minorHAnsi" w:hAnsiTheme="minorHAnsi" w:cstheme="minorBidi"/>
              </w:rPr>
              <w:commentReference w:id="51"/>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commentRangeStart w:id="52"/>
            <w:r w:rsidRPr="00112687">
              <w:rPr>
                <w:color w:val="000000"/>
                <w:sz w:val="20"/>
                <w:szCs w:val="20"/>
                <w:lang w:eastAsia="en-CA"/>
              </w:rPr>
              <w:t>0.19(0.40)</w:t>
            </w:r>
            <w:commentRangeEnd w:id="52"/>
            <w:r w:rsidR="00985CCA">
              <w:rPr>
                <w:rStyle w:val="CommentReference"/>
                <w:rFonts w:asciiTheme="minorHAnsi" w:eastAsiaTheme="minorHAnsi" w:hAnsiTheme="minorHAnsi" w:cstheme="minorBidi"/>
              </w:rPr>
              <w:commentReference w:id="52"/>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50"/>
    <w:p w14:paraId="48B9B559" w14:textId="17F44E62" w:rsidR="00FF0BCF" w:rsidRPr="00FF0BCF" w:rsidRDefault="00FF0BCF" w:rsidP="00FF0BCF">
      <w:r w:rsidRPr="001D4F76">
        <w:rPr>
          <w:sz w:val="20"/>
          <w:szCs w:val="20"/>
        </w:rPr>
        <w:t>SD denotes standard deviation</w:t>
      </w:r>
      <w:bookmarkEnd w:id="49"/>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596ACE"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53"/>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53"/>
      <w:r w:rsidR="00AA50E0" w:rsidRPr="00866FEF">
        <w:rPr>
          <w:rStyle w:val="CommentReference"/>
          <w:rFonts w:eastAsiaTheme="minorHAnsi"/>
        </w:rPr>
        <w:commentReference w:id="53"/>
      </w:r>
      <w:r w:rsidR="00AA50E0" w:rsidRPr="00866FEF">
        <w:rPr>
          <w:color w:val="0E101A"/>
        </w:rPr>
        <w:t xml:space="preserve">is significantly different from zero </w:t>
      </w:r>
      <w:r w:rsidR="00FA6CE5" w:rsidRPr="00866FEF">
        <w:rPr>
          <w:color w:val="0E101A"/>
        </w:rPr>
        <w:t xml:space="preserve">using a </w:t>
      </w:r>
      <w:commentRangeStart w:id="54"/>
      <w:commentRangeStart w:id="55"/>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54"/>
      <w:r w:rsidR="00073902" w:rsidRPr="00866FEF">
        <w:rPr>
          <w:rStyle w:val="CommentReference"/>
          <w:rFonts w:eastAsiaTheme="minorHAnsi"/>
        </w:rPr>
        <w:commentReference w:id="54"/>
      </w:r>
      <w:commentRangeEnd w:id="55"/>
      <w:r w:rsidR="003C1B34" w:rsidRPr="00866FEF">
        <w:rPr>
          <w:rStyle w:val="CommentReference"/>
          <w:rFonts w:asciiTheme="minorHAnsi" w:eastAsiaTheme="minorHAnsi" w:hAnsiTheme="minorHAnsi" w:cstheme="minorBidi"/>
        </w:rPr>
        <w:commentReference w:id="55"/>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56"/>
      <w:commentRangeStart w:id="57"/>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56"/>
      <w:r w:rsidR="00A62C8E">
        <w:rPr>
          <w:rStyle w:val="CommentReference"/>
          <w:rFonts w:asciiTheme="minorHAnsi" w:eastAsiaTheme="minorHAnsi" w:hAnsiTheme="minorHAnsi" w:cstheme="minorBidi"/>
        </w:rPr>
        <w:commentReference w:id="56"/>
      </w:r>
      <w:commentRangeEnd w:id="57"/>
      <w:r w:rsidR="00A27185">
        <w:rPr>
          <w:rStyle w:val="CommentReference"/>
          <w:rFonts w:asciiTheme="minorHAnsi" w:eastAsiaTheme="minorHAnsi" w:hAnsiTheme="minorHAnsi" w:cstheme="minorBidi"/>
        </w:rPr>
        <w:commentReference w:id="57"/>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and consistent to the assumptions of utility theory</w:t>
      </w:r>
      <w:proofErr w:type="gramStart"/>
      <w:r w:rsidR="00E121D6" w:rsidRPr="004D1057">
        <w:rPr>
          <w:color w:val="0E101A"/>
        </w:rPr>
        <w:t>, in particular, diminishing</w:t>
      </w:r>
      <w:proofErr w:type="gramEnd"/>
      <w:r w:rsidR="00E121D6" w:rsidRPr="004D1057">
        <w:rPr>
          <w:color w:val="0E101A"/>
        </w:rPr>
        <w:t xml:space="preserve">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1F112FB8" w:rsidR="00986F9E" w:rsidRPr="004D1057" w:rsidRDefault="00596ACE"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33792FD9" w:rsidR="00AE7F89" w:rsidRPr="004D1057" w:rsidRDefault="00596ACE"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00AE7F89"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w:t>
      </w:r>
      <w:proofErr w:type="gramStart"/>
      <w:r w:rsidRPr="004D1057">
        <w:rPr>
          <w:color w:val="0E101A"/>
        </w:rPr>
        <w:t xml:space="preserve">.  </w:t>
      </w:r>
      <w:proofErr w:type="gramEnd"/>
      <w:r w:rsidRPr="004D1057">
        <w:rPr>
          <w:color w:val="0E101A"/>
        </w:rPr>
        <w:t>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lastRenderedPageBreak/>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w:t>
      </w:r>
      <w:proofErr w:type="gramStart"/>
      <w:r w:rsidR="00975902" w:rsidRPr="004D1057">
        <w:rPr>
          <w:color w:val="0E101A"/>
        </w:rPr>
        <w:t xml:space="preserve">.  </w:t>
      </w:r>
      <w:proofErr w:type="gramEnd"/>
      <w:r w:rsidR="00975902" w:rsidRPr="004D1057">
        <w:rPr>
          <w:color w:val="0E101A"/>
        </w:rPr>
        <w:t xml:space="preserve">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 xml:space="preserve">0acres), and c) incremental willing to pay to conserve wetlands from baseline (10030acres) to new state (10050acres). We defined </w:t>
      </w:r>
      <w:proofErr w:type="spellStart"/>
      <w:r w:rsidR="00975902" w:rsidRPr="004D1057">
        <w:rPr>
          <w:color w:val="0E101A"/>
        </w:rPr>
        <w:t>Lnyear</w:t>
      </w:r>
      <w:proofErr w:type="spellEnd"/>
      <w:r w:rsidR="00975902" w:rsidRPr="004D1057">
        <w:rPr>
          <w:color w:val="0E101A"/>
        </w:rPr>
        <w:t xml:space="preserve"> as (</w:t>
      </w:r>
      <w:commentRangeStart w:id="58"/>
      <w:commentRangeStart w:id="59"/>
      <w:commentRangeStart w:id="60"/>
      <w:r w:rsidR="00975902" w:rsidRPr="004D1057">
        <w:rPr>
          <w:color w:val="0E101A"/>
        </w:rPr>
        <w:t>log (201</w:t>
      </w:r>
      <w:r>
        <w:rPr>
          <w:color w:val="0E101A"/>
        </w:rPr>
        <w:t>7</w:t>
      </w:r>
      <w:r w:rsidR="00975902" w:rsidRPr="004D1057">
        <w:rPr>
          <w:color w:val="0E101A"/>
        </w:rPr>
        <w:t>-</w:t>
      </w:r>
      <w:commentRangeEnd w:id="58"/>
      <w:r w:rsidR="00092A41">
        <w:rPr>
          <w:rStyle w:val="CommentReference"/>
          <w:rFonts w:asciiTheme="minorHAnsi" w:eastAsiaTheme="minorHAnsi" w:hAnsiTheme="minorHAnsi" w:cstheme="minorBidi"/>
        </w:rPr>
        <w:commentReference w:id="58"/>
      </w:r>
      <w:commentRangeEnd w:id="59"/>
      <w:r w:rsidR="00A27185">
        <w:rPr>
          <w:rStyle w:val="CommentReference"/>
          <w:rFonts w:asciiTheme="minorHAnsi" w:eastAsiaTheme="minorHAnsi" w:hAnsiTheme="minorHAnsi" w:cstheme="minorBidi"/>
        </w:rPr>
        <w:commentReference w:id="59"/>
      </w:r>
      <w:r w:rsidR="00975902" w:rsidRPr="004D1057">
        <w:rPr>
          <w:color w:val="0E101A"/>
        </w:rPr>
        <w:t>1991 +1)</w:t>
      </w:r>
      <w:r w:rsidR="00935043">
        <w:rPr>
          <w:color w:val="0E101A"/>
        </w:rPr>
        <w:t>)</w:t>
      </w:r>
      <w:r w:rsidR="00975902" w:rsidRPr="004D1057">
        <w:rPr>
          <w:color w:val="0E101A"/>
        </w:rPr>
        <w:t xml:space="preserve">, </w:t>
      </w:r>
      <w:commentRangeEnd w:id="60"/>
      <w:r w:rsidR="00CF6A22">
        <w:rPr>
          <w:rStyle w:val="CommentReference"/>
          <w:rFonts w:asciiTheme="minorHAnsi" w:eastAsiaTheme="minorHAnsi" w:hAnsiTheme="minorHAnsi" w:cstheme="minorBidi"/>
        </w:rPr>
        <w:commentReference w:id="60"/>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2511B9AA" w:rsidR="00F27899" w:rsidRDefault="00EC03DF" w:rsidP="00F27899">
      <w:pPr>
        <w:spacing w:line="480" w:lineRule="auto"/>
        <w:ind w:firstLine="720"/>
      </w:pPr>
      <w:r>
        <w:t>A</w:t>
      </w:r>
      <w:commentRangeStart w:id="61"/>
      <w:commentRangeStart w:id="62"/>
      <w:r w:rsidR="00F27899" w:rsidRPr="00AF1BC0">
        <w:t xml:space="preserve"> </w:t>
      </w:r>
      <w:r w:rsidR="00F27899">
        <w:t xml:space="preserve">leave one out cross validation (LOOCV) method </w:t>
      </w:r>
      <w:commentRangeEnd w:id="61"/>
      <w:r w:rsidR="00F27899">
        <w:rPr>
          <w:rStyle w:val="CommentReference"/>
          <w:rFonts w:asciiTheme="minorHAnsi" w:eastAsiaTheme="minorHAnsi" w:hAnsiTheme="minorHAnsi" w:cstheme="minorBidi"/>
        </w:rPr>
        <w:commentReference w:id="61"/>
      </w:r>
      <w:commentRangeEnd w:id="62"/>
      <w:r w:rsidR="00AE7F89">
        <w:rPr>
          <w:rStyle w:val="CommentReference"/>
          <w:rFonts w:asciiTheme="minorHAnsi" w:eastAsiaTheme="minorHAnsi" w:hAnsiTheme="minorHAnsi" w:cstheme="minorBidi"/>
        </w:rPr>
        <w:commentReference w:id="62"/>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 xml:space="preserve">observations. In the end, the number of estimated RMSE will be the same as number of observations of the data. For the US-Canada data (41 observations), after estimating the 41 </w:t>
      </w:r>
      <w:r w:rsidR="00F27899">
        <w:lastRenderedPageBreak/>
        <w:t>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64977364" w14:textId="32E1A475" w:rsidR="005E76B1" w:rsidRPr="004D1E26" w:rsidRDefault="005E76B1" w:rsidP="005E76B1">
      <w:pPr>
        <w:pStyle w:val="NormalWeb"/>
        <w:numPr>
          <w:ilvl w:val="1"/>
          <w:numId w:val="27"/>
        </w:numPr>
        <w:spacing w:before="0" w:beforeAutospacing="0" w:after="0" w:afterAutospacing="0" w:line="480" w:lineRule="auto"/>
        <w:rPr>
          <w:rStyle w:val="Strong"/>
          <w:color w:val="0E101A"/>
        </w:rPr>
      </w:pPr>
      <w:r>
        <w:rPr>
          <w:rStyle w:val="Strong"/>
          <w:color w:val="0E101A"/>
        </w:rPr>
        <w:t xml:space="preserve">  </w:t>
      </w:r>
      <w:r w:rsidR="00334D93">
        <w:rPr>
          <w:rStyle w:val="Strong"/>
          <w:color w:val="0E101A"/>
        </w:rPr>
        <w:t xml:space="preserve">Economic Loss from Wetland Area Loss in </w:t>
      </w:r>
      <w:r w:rsidRPr="004D1E26">
        <w:rPr>
          <w:rFonts w:eastAsiaTheme="minorHAnsi"/>
          <w:b/>
          <w:bCs/>
        </w:rPr>
        <w:t xml:space="preserve">Canadian Prairie Habitat Joint Venture </w:t>
      </w:r>
      <w:r w:rsidRPr="004D1E26">
        <w:rPr>
          <w:rStyle w:val="Strong"/>
          <w:color w:val="0E101A"/>
        </w:rPr>
        <w:t>L</w:t>
      </w:r>
      <w:r w:rsidRPr="004D1E26">
        <w:rPr>
          <w:rFonts w:eastAsiaTheme="minorHAnsi"/>
          <w:b/>
          <w:bCs/>
        </w:rPr>
        <w:t>andscape</w:t>
      </w:r>
    </w:p>
    <w:p w14:paraId="1B39CB02" w14:textId="1FDC20D8" w:rsidR="005E76B1" w:rsidRDefault="00B60FD5" w:rsidP="00137DB0">
      <w:pPr>
        <w:spacing w:line="480" w:lineRule="auto"/>
        <w:ind w:firstLine="720"/>
        <w:rPr>
          <w:rFonts w:eastAsiaTheme="minorHAnsi"/>
        </w:rPr>
      </w:pPr>
      <w:r>
        <w:rPr>
          <w:rFonts w:eastAsiaTheme="minorHAnsi"/>
        </w:rPr>
        <w:t>For this empirical section of th</w:t>
      </w:r>
      <w:r w:rsidR="00137DB0">
        <w:rPr>
          <w:rFonts w:eastAsiaTheme="minorHAnsi"/>
        </w:rPr>
        <w:t>e</w:t>
      </w:r>
      <w:r>
        <w:rPr>
          <w:rFonts w:eastAsiaTheme="minorHAnsi"/>
        </w:rPr>
        <w:t xml:space="preserve"> study, we will focus on the</w:t>
      </w:r>
      <w:r w:rsidR="005E76B1" w:rsidRPr="00374568">
        <w:rPr>
          <w:rFonts w:eastAsiaTheme="minorHAnsi"/>
        </w:rPr>
        <w:t xml:space="preserve"> </w:t>
      </w:r>
      <w:r w:rsidR="005E76B1">
        <w:rPr>
          <w:rFonts w:eastAsiaTheme="minorHAnsi"/>
        </w:rPr>
        <w:t xml:space="preserve">Saskatchewan </w:t>
      </w:r>
      <w:r w:rsidR="005E76B1" w:rsidRPr="00374568">
        <w:rPr>
          <w:rFonts w:eastAsiaTheme="minorHAnsi"/>
        </w:rPr>
        <w:t xml:space="preserve">PHJV landscape </w:t>
      </w:r>
      <w:r w:rsidR="00F35D9C">
        <w:rPr>
          <w:rFonts w:eastAsiaTheme="minorHAnsi"/>
        </w:rPr>
        <w:t>to</w:t>
      </w:r>
      <w:r>
        <w:rPr>
          <w:rFonts w:eastAsiaTheme="minorHAnsi"/>
        </w:rPr>
        <w:t xml:space="preserve"> estimate the total economic loss associated with wetland area loss between 2001 to 2011 to </w:t>
      </w:r>
      <w:r w:rsidR="00137DB0">
        <w:rPr>
          <w:rFonts w:eastAsiaTheme="minorHAnsi"/>
        </w:rPr>
        <w:t>households</w:t>
      </w:r>
      <w:r>
        <w:rPr>
          <w:rFonts w:eastAsiaTheme="minorHAnsi"/>
        </w:rPr>
        <w:t xml:space="preserve"> living in the </w:t>
      </w:r>
      <w:r w:rsidR="00E62619">
        <w:rPr>
          <w:rFonts w:eastAsiaTheme="minorHAnsi"/>
        </w:rPr>
        <w:t xml:space="preserve">wetland </w:t>
      </w:r>
      <w:r>
        <w:rPr>
          <w:rFonts w:eastAsiaTheme="minorHAnsi"/>
        </w:rPr>
        <w:t xml:space="preserve">locations. </w:t>
      </w:r>
      <w:r w:rsidR="00137DB0">
        <w:rPr>
          <w:rFonts w:eastAsiaTheme="minorHAnsi"/>
        </w:rPr>
        <w:t xml:space="preserve">We focused on the period 2001 to 2011 because of data availability, and </w:t>
      </w:r>
      <w:r>
        <w:rPr>
          <w:rFonts w:eastAsiaTheme="minorHAnsi"/>
        </w:rPr>
        <w:t>Saskatchewan PHJV landscape</w:t>
      </w:r>
      <w:r w:rsidR="00137DB0">
        <w:rPr>
          <w:rFonts w:eastAsiaTheme="minorHAnsi"/>
        </w:rPr>
        <w:t>,</w:t>
      </w:r>
      <w:r>
        <w:rPr>
          <w:rFonts w:eastAsiaTheme="minorHAnsi"/>
        </w:rPr>
        <w:t xml:space="preserve"> because </w:t>
      </w:r>
      <w:r w:rsidR="00E62619">
        <w:rPr>
          <w:rFonts w:eastAsiaTheme="minorHAnsi"/>
        </w:rPr>
        <w:t xml:space="preserve">it registered </w:t>
      </w:r>
      <w:r>
        <w:rPr>
          <w:rFonts w:eastAsiaTheme="minorHAnsi"/>
        </w:rPr>
        <w:t>the greatest loss of wetland areas</w:t>
      </w:r>
      <w:r w:rsidR="00E62619">
        <w:rPr>
          <w:rFonts w:eastAsiaTheme="minorHAnsi"/>
        </w:rPr>
        <w:t xml:space="preserve"> (</w:t>
      </w:r>
      <w:r w:rsidR="00137DB0">
        <w:rPr>
          <w:rFonts w:eastAsiaTheme="minorHAnsi"/>
        </w:rPr>
        <w:t>112,574 acres</w:t>
      </w:r>
      <w:r w:rsidR="00E62619">
        <w:rPr>
          <w:rFonts w:eastAsiaTheme="minorHAnsi"/>
        </w:rPr>
        <w:t>)</w:t>
      </w:r>
      <w:r>
        <w:rPr>
          <w:rFonts w:eastAsiaTheme="minorHAnsi"/>
        </w:rPr>
        <w:t xml:space="preserve"> between 2001 to 2011</w:t>
      </w:r>
      <w:r w:rsidR="00E62619">
        <w:rPr>
          <w:rFonts w:eastAsiaTheme="minorHAnsi"/>
        </w:rPr>
        <w:t xml:space="preserve"> </w:t>
      </w:r>
      <w:r w:rsidR="00137DB0">
        <w:rPr>
          <w:rFonts w:eastAsiaTheme="minorHAnsi"/>
        </w:rPr>
        <w:t xml:space="preserve">compared to </w:t>
      </w:r>
      <w:r w:rsidR="00E62619">
        <w:rPr>
          <w:rFonts w:eastAsiaTheme="minorHAnsi"/>
        </w:rPr>
        <w:t>Alberta (</w:t>
      </w:r>
      <w:r w:rsidR="00137DB0">
        <w:rPr>
          <w:rFonts w:eastAsiaTheme="minorHAnsi"/>
        </w:rPr>
        <w:t>28,252 acres</w:t>
      </w:r>
      <w:r w:rsidR="00E62619">
        <w:rPr>
          <w:rFonts w:eastAsiaTheme="minorHAnsi"/>
        </w:rPr>
        <w:t>)</w:t>
      </w:r>
      <w:r w:rsidR="00137DB0">
        <w:rPr>
          <w:rFonts w:eastAsiaTheme="minorHAnsi"/>
        </w:rPr>
        <w:t xml:space="preserve"> </w:t>
      </w:r>
      <w:r>
        <w:rPr>
          <w:rFonts w:eastAsiaTheme="minorHAnsi"/>
        </w:rPr>
        <w:t>and then Manitoba</w:t>
      </w:r>
      <w:r w:rsidR="00E62619">
        <w:rPr>
          <w:rFonts w:eastAsiaTheme="minorHAnsi"/>
        </w:rPr>
        <w:t xml:space="preserve"> (</w:t>
      </w:r>
      <w:r w:rsidR="00137DB0">
        <w:rPr>
          <w:rFonts w:eastAsiaTheme="minorHAnsi"/>
        </w:rPr>
        <w:t>11,734</w:t>
      </w:r>
      <w:r w:rsidR="00E62619">
        <w:rPr>
          <w:rFonts w:eastAsiaTheme="minorHAnsi"/>
        </w:rPr>
        <w:t>)</w:t>
      </w:r>
      <w:r w:rsidR="00137DB0">
        <w:rPr>
          <w:rFonts w:eastAsiaTheme="minorHAnsi"/>
        </w:rPr>
        <w:t xml:space="preserve">; </w:t>
      </w:r>
      <w:r w:rsidR="00B43763">
        <w:rPr>
          <w:rFonts w:eastAsiaTheme="minorHAnsi"/>
        </w:rPr>
        <w:t>again</w:t>
      </w:r>
      <w:r>
        <w:rPr>
          <w:rFonts w:eastAsiaTheme="minorHAnsi"/>
        </w:rPr>
        <w:t>, we were able to identify the rural municipalities where the wetlands are</w:t>
      </w:r>
      <w:r w:rsidR="00EE0830">
        <w:rPr>
          <w:rFonts w:eastAsiaTheme="minorHAnsi"/>
        </w:rPr>
        <w:t xml:space="preserve"> located</w:t>
      </w:r>
      <w:r>
        <w:rPr>
          <w:rFonts w:eastAsiaTheme="minorHAnsi"/>
        </w:rPr>
        <w:t xml:space="preserve">. </w:t>
      </w:r>
      <w:r w:rsidR="00137DB0">
        <w:rPr>
          <w:rFonts w:eastAsiaTheme="minorHAnsi"/>
        </w:rPr>
        <w:t>In addition to estimating the economic loss associated with wetland area loss for the individual wetland locations in the Saskatchewan PHJV landscape, w</w:t>
      </w:r>
      <w:r w:rsidR="005E76B1">
        <w:rPr>
          <w:rFonts w:eastAsiaTheme="minorHAnsi"/>
        </w:rPr>
        <w:t xml:space="preserve">e will also estimate the total economic loss for the </w:t>
      </w:r>
      <w:r w:rsidR="00137DB0">
        <w:rPr>
          <w:rFonts w:eastAsiaTheme="minorHAnsi"/>
        </w:rPr>
        <w:t xml:space="preserve">three </w:t>
      </w:r>
      <w:r w:rsidR="005E76B1">
        <w:rPr>
          <w:rFonts w:eastAsiaTheme="minorHAnsi"/>
        </w:rPr>
        <w:t>province</w:t>
      </w:r>
      <w:r w:rsidR="00137DB0">
        <w:rPr>
          <w:rFonts w:eastAsiaTheme="minorHAnsi"/>
        </w:rPr>
        <w:t xml:space="preserve">s. </w:t>
      </w:r>
      <w:r w:rsidR="005E76B1" w:rsidRPr="00374568">
        <w:rPr>
          <w:rFonts w:eastAsiaTheme="minorHAnsi"/>
        </w:rPr>
        <w:t xml:space="preserve">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w:t>
      </w:r>
      <w:r w:rsidR="005E76B1" w:rsidRPr="00374568">
        <w:rPr>
          <w:rFonts w:eastAsiaTheme="minorHAnsi"/>
        </w:rPr>
        <w:lastRenderedPageBreak/>
        <w:t xml:space="preserve">least greater than the cost of implementing the wetland conservation policy. An efficient wetland conservation policy could help PHJV achieve its long-term goal of </w:t>
      </w:r>
      <w:commentRangeStart w:id="63"/>
      <w:commentRangeStart w:id="64"/>
      <w:r w:rsidR="005E76B1" w:rsidRPr="00374568">
        <w:rPr>
          <w:rFonts w:eastAsiaTheme="minorHAnsi"/>
        </w:rPr>
        <w:t xml:space="preserve">implementing the North American Waterfowl Management Plan (NAWMP) and </w:t>
      </w:r>
      <w:r w:rsidR="005E76B1">
        <w:rPr>
          <w:rFonts w:eastAsiaTheme="minorHAnsi"/>
        </w:rPr>
        <w:t xml:space="preserve">contribute to </w:t>
      </w:r>
      <w:r w:rsidR="005E76B1" w:rsidRPr="00374568">
        <w:rPr>
          <w:rFonts w:eastAsiaTheme="minorHAnsi"/>
        </w:rPr>
        <w:t xml:space="preserve">restoring waterfowl populations to its 1970 level. </w:t>
      </w:r>
      <w:commentRangeEnd w:id="63"/>
      <w:r w:rsidR="005E76B1" w:rsidRPr="00374568">
        <w:rPr>
          <w:rStyle w:val="CommentReference"/>
          <w:rFonts w:eastAsiaTheme="minorHAnsi"/>
        </w:rPr>
        <w:commentReference w:id="63"/>
      </w:r>
      <w:commentRangeEnd w:id="64"/>
      <w:r w:rsidR="005E76B1">
        <w:rPr>
          <w:rStyle w:val="CommentReference"/>
          <w:rFonts w:asciiTheme="minorHAnsi" w:eastAsiaTheme="minorHAnsi" w:hAnsiTheme="minorHAnsi" w:cstheme="minorBidi"/>
        </w:rPr>
        <w:commentReference w:id="64"/>
      </w:r>
    </w:p>
    <w:p w14:paraId="7F432506" w14:textId="35E56763" w:rsidR="00396752" w:rsidRDefault="005E76B1" w:rsidP="005E76B1">
      <w:pPr>
        <w:pStyle w:val="NormalWeb"/>
        <w:spacing w:before="0" w:beforeAutospacing="0" w:after="0" w:afterAutospacing="0" w:line="480" w:lineRule="auto"/>
        <w:ind w:firstLine="709"/>
        <w:rPr>
          <w:rFonts w:eastAsiaTheme="minorHAnsi"/>
        </w:rPr>
      </w:pPr>
      <w:r>
        <w:rPr>
          <w:rFonts w:eastAsiaTheme="minorHAnsi"/>
        </w:rPr>
        <w:t xml:space="preserve">We </w:t>
      </w:r>
      <w:r w:rsidR="005A50D7">
        <w:rPr>
          <w:rFonts w:eastAsiaTheme="minorHAnsi"/>
        </w:rPr>
        <w:t>apply</w:t>
      </w:r>
      <w:r w:rsidR="002249DE">
        <w:rPr>
          <w:rFonts w:eastAsiaTheme="minorHAnsi"/>
        </w:rPr>
        <w:t xml:space="preserve"> the </w:t>
      </w:r>
      <w:r w:rsidR="005A50D7">
        <w:rPr>
          <w:rFonts w:eastAsiaTheme="minorHAnsi"/>
        </w:rPr>
        <w:t xml:space="preserve">best </w:t>
      </w:r>
      <w:r w:rsidR="002249DE">
        <w:rPr>
          <w:rFonts w:eastAsiaTheme="minorHAnsi"/>
        </w:rPr>
        <w:t>me</w:t>
      </w:r>
      <w:r w:rsidR="00A41385">
        <w:rPr>
          <w:rFonts w:eastAsiaTheme="minorHAnsi"/>
        </w:rPr>
        <w:t xml:space="preserve">ta-regression </w:t>
      </w:r>
      <w:r w:rsidR="005A50D7">
        <w:rPr>
          <w:rFonts w:eastAsiaTheme="minorHAnsi"/>
        </w:rPr>
        <w:t xml:space="preserve">model among all the estimated models (that uses the </w:t>
      </w:r>
      <w:r w:rsidR="002249DE">
        <w:rPr>
          <w:rFonts w:eastAsiaTheme="minorHAnsi"/>
        </w:rPr>
        <w:t>US-Canada data</w:t>
      </w:r>
      <w:r w:rsidR="005A50D7">
        <w:rPr>
          <w:rFonts w:eastAsiaTheme="minorHAnsi"/>
        </w:rPr>
        <w:t>)</w:t>
      </w:r>
      <w:r w:rsidR="002249DE">
        <w:rPr>
          <w:rFonts w:eastAsiaTheme="minorHAnsi"/>
        </w:rPr>
        <w:t xml:space="preserve"> </w:t>
      </w:r>
      <w:r w:rsidR="00A41385">
        <w:rPr>
          <w:rFonts w:eastAsiaTheme="minorHAnsi"/>
        </w:rPr>
        <w:t xml:space="preserve">to estimate the economic loss associated with wetland area loss. </w:t>
      </w:r>
      <w:r w:rsidR="005A50D7">
        <w:rPr>
          <w:rFonts w:eastAsiaTheme="minorHAnsi"/>
        </w:rPr>
        <w:t xml:space="preserve">The model will help us to predict WTP ($/household/year) given wetland area loss (wetland acreage change) and other variables that were used to estimate the meta-regression model. </w:t>
      </w:r>
      <w:commentRangeStart w:id="65"/>
      <w:r w:rsidR="00A41385">
        <w:rPr>
          <w:rFonts w:eastAsiaTheme="minorHAnsi"/>
        </w:rPr>
        <w:t xml:space="preserve">To </w:t>
      </w:r>
      <w:r>
        <w:rPr>
          <w:rFonts w:eastAsiaTheme="minorHAnsi"/>
        </w:rPr>
        <w:t xml:space="preserve">be consistent with the meta-data (independent variables) that was used to estimate </w:t>
      </w:r>
      <w:r w:rsidR="00A41385">
        <w:rPr>
          <w:rFonts w:eastAsiaTheme="minorHAnsi"/>
        </w:rPr>
        <w:t>the meta-regression models</w:t>
      </w:r>
      <w:r>
        <w:rPr>
          <w:rFonts w:eastAsiaTheme="minorHAnsi"/>
        </w:rPr>
        <w:t xml:space="preserve">, we </w:t>
      </w:r>
      <w:r w:rsidR="00A41385">
        <w:rPr>
          <w:rFonts w:eastAsiaTheme="minorHAnsi"/>
        </w:rPr>
        <w:t xml:space="preserve">will </w:t>
      </w:r>
      <w:r>
        <w:rPr>
          <w:rFonts w:eastAsiaTheme="minorHAnsi"/>
        </w:rPr>
        <w:t>assumed 1) an annual voluntary payment from respondents to conserve wetlands 2) respondents lived in the rural municipality the wetland was located 3</w:t>
      </w:r>
      <w:commentRangeStart w:id="66"/>
      <w:r>
        <w:rPr>
          <w:rFonts w:eastAsiaTheme="minorHAnsi"/>
        </w:rPr>
        <w:t>) choice experiment was used to elicit willingness to pay values</w:t>
      </w:r>
      <w:commentRangeEnd w:id="66"/>
      <w:r w:rsidR="000366F7">
        <w:rPr>
          <w:rStyle w:val="CommentReference"/>
          <w:rFonts w:asciiTheme="minorHAnsi" w:eastAsiaTheme="minorHAnsi" w:hAnsiTheme="minorHAnsi" w:cstheme="minorBidi"/>
        </w:rPr>
        <w:commentReference w:id="66"/>
      </w:r>
      <w:r>
        <w:rPr>
          <w:rFonts w:eastAsiaTheme="minorHAnsi"/>
        </w:rPr>
        <w:t xml:space="preserve"> 4) </w:t>
      </w:r>
      <w:commentRangeStart w:id="67"/>
      <w:r>
        <w:rPr>
          <w:rFonts w:eastAsiaTheme="minorHAnsi"/>
        </w:rPr>
        <w:t>a mean of the logarithm of income from the Canadian observations in the US-Canadian data</w:t>
      </w:r>
      <w:commentRangeEnd w:id="67"/>
      <w:r w:rsidR="000366F7">
        <w:rPr>
          <w:rStyle w:val="CommentReference"/>
          <w:rFonts w:asciiTheme="minorHAnsi" w:eastAsiaTheme="minorHAnsi" w:hAnsiTheme="minorHAnsi" w:cstheme="minorBidi"/>
        </w:rPr>
        <w:commentReference w:id="67"/>
      </w:r>
      <w:r>
        <w:rPr>
          <w:rFonts w:eastAsiaTheme="minorHAnsi"/>
        </w:rPr>
        <w:t xml:space="preserve"> 5) the wetlands produced provisioning, regulating and cultural ecosystem services 6) wetlands were located in non-forested regions 7) meta-data were obtained from peer reviewed publications and 8) year is 2017 relative to 1991. </w:t>
      </w:r>
      <w:commentRangeEnd w:id="65"/>
      <w:r w:rsidR="000366F7">
        <w:rPr>
          <w:rStyle w:val="CommentReference"/>
          <w:rFonts w:asciiTheme="minorHAnsi" w:eastAsiaTheme="minorHAnsi" w:hAnsiTheme="minorHAnsi" w:cstheme="minorBidi"/>
        </w:rPr>
        <w:commentReference w:id="65"/>
      </w:r>
    </w:p>
    <w:p w14:paraId="24B53133" w14:textId="41AFC118" w:rsidR="00830FA0" w:rsidRDefault="00396752" w:rsidP="005E76B1">
      <w:pPr>
        <w:pStyle w:val="NormalWeb"/>
        <w:spacing w:before="0" w:beforeAutospacing="0" w:after="0" w:afterAutospacing="0" w:line="480" w:lineRule="auto"/>
        <w:ind w:firstLine="709"/>
        <w:rPr>
          <w:rFonts w:eastAsiaTheme="minorHAnsi"/>
        </w:rPr>
      </w:pPr>
      <w:r>
        <w:rPr>
          <w:rFonts w:eastAsiaTheme="minorHAnsi"/>
        </w:rPr>
        <w:t>To estimate the total economic loss of wetland area loss for a given rural municipality</w:t>
      </w:r>
      <w:r w:rsidR="005A50D7">
        <w:rPr>
          <w:rFonts w:eastAsiaTheme="minorHAnsi"/>
        </w:rPr>
        <w:t xml:space="preserve"> (RM)</w:t>
      </w:r>
      <w:r>
        <w:rPr>
          <w:rFonts w:eastAsiaTheme="minorHAnsi"/>
        </w:rPr>
        <w:t>,</w:t>
      </w:r>
      <w:r w:rsidR="005A50D7">
        <w:rPr>
          <w:rFonts w:eastAsiaTheme="minorHAnsi"/>
        </w:rPr>
        <w:t xml:space="preserve"> local economic loss,</w:t>
      </w:r>
      <w:r>
        <w:rPr>
          <w:rFonts w:eastAsiaTheme="minorHAnsi"/>
        </w:rPr>
        <w:t xml:space="preserve"> we will multiply</w:t>
      </w:r>
      <w:r w:rsidR="00B43763">
        <w:rPr>
          <w:rFonts w:eastAsiaTheme="minorHAnsi"/>
        </w:rPr>
        <w:t xml:space="preserve"> the predicted WTP associated with a wetland acreage </w:t>
      </w:r>
      <w:r>
        <w:rPr>
          <w:rFonts w:eastAsiaTheme="minorHAnsi"/>
        </w:rPr>
        <w:t xml:space="preserve">loss </w:t>
      </w:r>
      <w:r w:rsidR="00B43763">
        <w:rPr>
          <w:rFonts w:eastAsiaTheme="minorHAnsi"/>
        </w:rPr>
        <w:t xml:space="preserve">in a Saskatchewan PHJV location </w:t>
      </w:r>
      <w:r w:rsidR="005A50D7">
        <w:rPr>
          <w:rFonts w:eastAsiaTheme="minorHAnsi"/>
        </w:rPr>
        <w:t xml:space="preserve">(location variable = 1) </w:t>
      </w:r>
      <w:r w:rsidR="00B43763">
        <w:rPr>
          <w:rFonts w:eastAsiaTheme="minorHAnsi"/>
        </w:rPr>
        <w:t xml:space="preserve">by the total number of households in </w:t>
      </w:r>
      <w:r w:rsidR="005A50D7">
        <w:rPr>
          <w:rFonts w:eastAsiaTheme="minorHAnsi"/>
        </w:rPr>
        <w:t>RM</w:t>
      </w:r>
      <w:r w:rsidR="00B43763">
        <w:rPr>
          <w:rFonts w:eastAsiaTheme="minorHAnsi"/>
        </w:rPr>
        <w:t xml:space="preserve"> where the wetland is locate</w:t>
      </w:r>
      <w:r>
        <w:rPr>
          <w:rFonts w:eastAsiaTheme="minorHAnsi"/>
        </w:rPr>
        <w:t>d</w:t>
      </w:r>
      <w:commentRangeStart w:id="68"/>
      <w:r w:rsidR="00774F40">
        <w:rPr>
          <w:rStyle w:val="FootnoteReference"/>
          <w:rFonts w:eastAsiaTheme="minorHAnsi"/>
        </w:rPr>
        <w:footnoteReference w:id="1"/>
      </w:r>
      <w:r>
        <w:rPr>
          <w:rFonts w:eastAsiaTheme="minorHAnsi"/>
        </w:rPr>
        <w:t>.</w:t>
      </w:r>
      <w:commentRangeEnd w:id="68"/>
      <w:r w:rsidR="000366F7">
        <w:rPr>
          <w:rStyle w:val="CommentReference"/>
          <w:rFonts w:asciiTheme="minorHAnsi" w:eastAsiaTheme="minorHAnsi" w:hAnsiTheme="minorHAnsi" w:cstheme="minorBidi"/>
        </w:rPr>
        <w:commentReference w:id="68"/>
      </w:r>
      <w:r>
        <w:rPr>
          <w:rFonts w:eastAsiaTheme="minorHAnsi"/>
        </w:rPr>
        <w:t xml:space="preserve"> To get the total economic loss to </w:t>
      </w:r>
      <w:commentRangeStart w:id="69"/>
      <w:r>
        <w:rPr>
          <w:rFonts w:eastAsiaTheme="minorHAnsi"/>
        </w:rPr>
        <w:t>Canadians living</w:t>
      </w:r>
      <w:commentRangeEnd w:id="69"/>
      <w:r w:rsidR="00432FA0">
        <w:rPr>
          <w:rStyle w:val="CommentReference"/>
          <w:rFonts w:asciiTheme="minorHAnsi" w:eastAsiaTheme="minorHAnsi" w:hAnsiTheme="minorHAnsi" w:cstheme="minorBidi"/>
        </w:rPr>
        <w:commentReference w:id="69"/>
      </w:r>
      <w:r>
        <w:rPr>
          <w:rFonts w:eastAsiaTheme="minorHAnsi"/>
        </w:rPr>
        <w:t xml:space="preserve"> outside the </w:t>
      </w:r>
      <w:r w:rsidR="005A50D7">
        <w:rPr>
          <w:rFonts w:eastAsiaTheme="minorHAnsi"/>
        </w:rPr>
        <w:t>RM</w:t>
      </w:r>
      <w:r>
        <w:rPr>
          <w:rFonts w:eastAsiaTheme="minorHAnsi"/>
        </w:rPr>
        <w:t xml:space="preserve"> where the wetland is located</w:t>
      </w:r>
      <w:r w:rsidR="005A50D7">
        <w:rPr>
          <w:rFonts w:eastAsiaTheme="minorHAnsi"/>
        </w:rPr>
        <w:t xml:space="preserve"> (nonlocal economic loss)</w:t>
      </w:r>
      <w:r>
        <w:rPr>
          <w:rFonts w:eastAsiaTheme="minorHAnsi"/>
        </w:rPr>
        <w:t xml:space="preserve">, we will multiply </w:t>
      </w:r>
      <w:r>
        <w:rPr>
          <w:rFonts w:eastAsiaTheme="minorHAnsi"/>
        </w:rPr>
        <w:lastRenderedPageBreak/>
        <w:t>the predicted wetland value (WTP</w:t>
      </w:r>
      <w:r w:rsidR="005A50D7">
        <w:rPr>
          <w:rFonts w:eastAsiaTheme="minorHAnsi"/>
        </w:rPr>
        <w:t xml:space="preserve"> </w:t>
      </w:r>
      <w:r>
        <w:rPr>
          <w:rFonts w:eastAsiaTheme="minorHAnsi"/>
        </w:rPr>
        <w:t>when local</w:t>
      </w:r>
      <w:r w:rsidR="005A50D7">
        <w:rPr>
          <w:rFonts w:eastAsiaTheme="minorHAnsi"/>
        </w:rPr>
        <w:t xml:space="preserve"> variable</w:t>
      </w:r>
      <w:r>
        <w:rPr>
          <w:rFonts w:eastAsiaTheme="minorHAnsi"/>
        </w:rPr>
        <w:t>=0</w:t>
      </w:r>
      <w:r w:rsidR="005A50D7">
        <w:rPr>
          <w:rFonts w:eastAsiaTheme="minorHAnsi"/>
        </w:rPr>
        <w:t>)</w:t>
      </w:r>
      <w:r>
        <w:rPr>
          <w:rFonts w:eastAsiaTheme="minorHAnsi"/>
        </w:rPr>
        <w:t xml:space="preserve"> by the total number of households outside the </w:t>
      </w:r>
      <w:r w:rsidR="005A50D7">
        <w:rPr>
          <w:rFonts w:eastAsiaTheme="minorHAnsi"/>
        </w:rPr>
        <w:t>RM</w:t>
      </w:r>
      <w:r>
        <w:rPr>
          <w:rFonts w:eastAsiaTheme="minorHAnsi"/>
        </w:rPr>
        <w:t xml:space="preserve"> (total households in Canada – total households in the </w:t>
      </w:r>
      <w:r w:rsidR="005A50D7">
        <w:rPr>
          <w:rFonts w:eastAsiaTheme="minorHAnsi"/>
        </w:rPr>
        <w:t>RM</w:t>
      </w:r>
      <w:r>
        <w:rPr>
          <w:rFonts w:eastAsiaTheme="minorHAnsi"/>
        </w:rPr>
        <w:t xml:space="preserve">). </w:t>
      </w:r>
      <w:r w:rsidR="00FA12B7">
        <w:rPr>
          <w:rFonts w:eastAsiaTheme="minorHAnsi"/>
        </w:rPr>
        <w:t>For a given Saskatchewan PHJV</w:t>
      </w:r>
      <w:r w:rsidR="005A50D7">
        <w:rPr>
          <w:rFonts w:eastAsiaTheme="minorHAnsi"/>
        </w:rPr>
        <w:t xml:space="preserve"> wetland</w:t>
      </w:r>
      <w:r w:rsidR="00F35D9C">
        <w:rPr>
          <w:rFonts w:eastAsiaTheme="minorHAnsi"/>
        </w:rPr>
        <w:t xml:space="preserve"> location</w:t>
      </w:r>
      <w:r w:rsidR="00FA12B7">
        <w:rPr>
          <w:rFonts w:eastAsiaTheme="minorHAnsi"/>
        </w:rPr>
        <w:t xml:space="preserve">, the total economic loss associated with wetland area loss to the province is the sum of the total </w:t>
      </w:r>
      <w:r w:rsidR="005A50D7">
        <w:rPr>
          <w:rFonts w:eastAsiaTheme="minorHAnsi"/>
        </w:rPr>
        <w:t>local and nonlocal economic loss</w:t>
      </w:r>
      <w:r w:rsidR="00830FA0">
        <w:rPr>
          <w:rFonts w:eastAsiaTheme="minorHAnsi"/>
        </w:rPr>
        <w:t xml:space="preserve">. </w:t>
      </w:r>
    </w:p>
    <w:p w14:paraId="42E076DC" w14:textId="51B88159" w:rsidR="00830FA0" w:rsidRDefault="00FA12B7" w:rsidP="005E76B1">
      <w:pPr>
        <w:pStyle w:val="NormalWeb"/>
        <w:spacing w:before="0" w:beforeAutospacing="0" w:after="0" w:afterAutospacing="0" w:line="480" w:lineRule="auto"/>
        <w:ind w:firstLine="709"/>
        <w:rPr>
          <w:rFonts w:eastAsiaTheme="minorHAnsi"/>
        </w:rPr>
      </w:pPr>
      <w:r>
        <w:rPr>
          <w:rFonts w:eastAsiaTheme="minorHAnsi"/>
        </w:rPr>
        <w:t xml:space="preserve">To get the total economic loss </w:t>
      </w:r>
      <w:r w:rsidR="008E3C1B">
        <w:rPr>
          <w:rFonts w:eastAsiaTheme="minorHAnsi"/>
        </w:rPr>
        <w:t xml:space="preserve">to Saskatchewan </w:t>
      </w:r>
      <w:r>
        <w:rPr>
          <w:rFonts w:eastAsiaTheme="minorHAnsi"/>
        </w:rPr>
        <w:t xml:space="preserve">associated with the </w:t>
      </w:r>
      <w:r w:rsidR="00830FA0">
        <w:rPr>
          <w:rFonts w:eastAsiaTheme="minorHAnsi"/>
        </w:rPr>
        <w:t xml:space="preserve">sum of </w:t>
      </w:r>
      <w:r>
        <w:rPr>
          <w:rFonts w:eastAsiaTheme="minorHAnsi"/>
        </w:rPr>
        <w:t>wetland area loss across the locations in the Saskatchewan PHJV landscape, we</w:t>
      </w:r>
      <w:r w:rsidR="00830FA0">
        <w:rPr>
          <w:rFonts w:eastAsiaTheme="minorHAnsi"/>
        </w:rPr>
        <w:t>:</w:t>
      </w:r>
    </w:p>
    <w:p w14:paraId="560D4E8B" w14:textId="2E470EE6"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 xml:space="preserve"> </w:t>
      </w:r>
      <w:r w:rsidR="00FA12B7">
        <w:rPr>
          <w:rFonts w:eastAsiaTheme="minorHAnsi"/>
        </w:rPr>
        <w:t>multipl</w:t>
      </w:r>
      <w:r w:rsidR="00F410B1">
        <w:rPr>
          <w:rFonts w:eastAsiaTheme="minorHAnsi"/>
        </w:rPr>
        <w:t>ied</w:t>
      </w:r>
      <w:r w:rsidR="00FA12B7">
        <w:rPr>
          <w:rFonts w:eastAsiaTheme="minorHAnsi"/>
        </w:rPr>
        <w:t xml:space="preserve"> the average WTP </w:t>
      </w:r>
      <w:r>
        <w:rPr>
          <w:rFonts w:eastAsiaTheme="minorHAnsi"/>
        </w:rPr>
        <w:t xml:space="preserve">values </w:t>
      </w:r>
      <w:r w:rsidR="00830FA0">
        <w:rPr>
          <w:rFonts w:eastAsiaTheme="minorHAnsi"/>
        </w:rPr>
        <w:t xml:space="preserve">for all wetlands in the </w:t>
      </w:r>
      <w:r>
        <w:rPr>
          <w:rFonts w:eastAsiaTheme="minorHAnsi"/>
        </w:rPr>
        <w:t xml:space="preserve">Saskatchewan PHJV </w:t>
      </w:r>
      <w:r w:rsidR="00830FA0">
        <w:rPr>
          <w:rFonts w:eastAsiaTheme="minorHAnsi"/>
        </w:rPr>
        <w:t>landscape</w:t>
      </w:r>
      <w:r>
        <w:rPr>
          <w:rFonts w:eastAsiaTheme="minorHAnsi"/>
        </w:rPr>
        <w:t xml:space="preserve"> by the </w:t>
      </w:r>
      <w:r w:rsidR="00F410B1">
        <w:rPr>
          <w:rFonts w:eastAsiaTheme="minorHAnsi"/>
        </w:rPr>
        <w:t xml:space="preserve">total </w:t>
      </w:r>
      <w:r>
        <w:rPr>
          <w:rFonts w:eastAsiaTheme="minorHAnsi"/>
        </w:rPr>
        <w:t xml:space="preserve">household size </w:t>
      </w:r>
      <w:r w:rsidR="00F410B1">
        <w:rPr>
          <w:rFonts w:eastAsiaTheme="minorHAnsi"/>
        </w:rPr>
        <w:t>of</w:t>
      </w:r>
      <w:r>
        <w:rPr>
          <w:rFonts w:eastAsiaTheme="minorHAnsi"/>
        </w:rPr>
        <w:t xml:space="preserve"> the </w:t>
      </w:r>
      <w:r w:rsidR="00830FA0">
        <w:rPr>
          <w:rFonts w:eastAsiaTheme="minorHAnsi"/>
        </w:rPr>
        <w:t>RM</w:t>
      </w:r>
      <w:r w:rsidR="00F35D9C">
        <w:rPr>
          <w:rFonts w:eastAsiaTheme="minorHAnsi"/>
        </w:rPr>
        <w:t>s</w:t>
      </w:r>
      <w:r w:rsidR="00830FA0">
        <w:rPr>
          <w:rFonts w:eastAsiaTheme="minorHAnsi"/>
        </w:rPr>
        <w:t xml:space="preserve"> </w:t>
      </w:r>
      <w:r>
        <w:rPr>
          <w:rFonts w:eastAsiaTheme="minorHAnsi"/>
        </w:rPr>
        <w:t>where the wetlands a</w:t>
      </w:r>
      <w:r w:rsidR="00F410B1">
        <w:rPr>
          <w:rFonts w:eastAsiaTheme="minorHAnsi"/>
        </w:rPr>
        <w:t>r</w:t>
      </w:r>
      <w:r>
        <w:rPr>
          <w:rFonts w:eastAsiaTheme="minorHAnsi"/>
        </w:rPr>
        <w:t xml:space="preserve">e located to get </w:t>
      </w:r>
      <w:r w:rsidR="00830FA0">
        <w:rPr>
          <w:rFonts w:eastAsiaTheme="minorHAnsi"/>
        </w:rPr>
        <w:t xml:space="preserve">the Saskatchewan PHJV </w:t>
      </w:r>
      <w:r>
        <w:rPr>
          <w:rFonts w:eastAsiaTheme="minorHAnsi"/>
        </w:rPr>
        <w:t>economic loss</w:t>
      </w:r>
      <w:r w:rsidR="00830FA0">
        <w:rPr>
          <w:rFonts w:eastAsiaTheme="minorHAnsi"/>
        </w:rPr>
        <w:t>,</w:t>
      </w:r>
    </w:p>
    <w:p w14:paraId="46A0888E" w14:textId="78010DC8"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multipl</w:t>
      </w:r>
      <w:r w:rsidR="00F410B1">
        <w:rPr>
          <w:rFonts w:eastAsiaTheme="minorHAnsi"/>
        </w:rPr>
        <w:t>ied</w:t>
      </w:r>
      <w:r>
        <w:rPr>
          <w:rFonts w:eastAsiaTheme="minorHAnsi"/>
        </w:rPr>
        <w:t xml:space="preserve"> the predicted average WTP (when local = 0) by the </w:t>
      </w:r>
      <w:r w:rsidR="00830FA0">
        <w:rPr>
          <w:rFonts w:eastAsiaTheme="minorHAnsi"/>
        </w:rPr>
        <w:t xml:space="preserve">number of households </w:t>
      </w:r>
      <w:r w:rsidR="00CE7426">
        <w:rPr>
          <w:rFonts w:eastAsiaTheme="minorHAnsi"/>
        </w:rPr>
        <w:t xml:space="preserve">outside the Saskatchewan PHJV landscape (which is the total households in Canada minus sum of households for the rural municipalities where the wetlands are located) to get </w:t>
      </w:r>
      <w:r w:rsidR="00830FA0">
        <w:rPr>
          <w:rFonts w:eastAsiaTheme="minorHAnsi"/>
        </w:rPr>
        <w:t xml:space="preserve">the Saskatchewan non PHJV </w:t>
      </w:r>
      <w:r w:rsidR="00CE7426">
        <w:rPr>
          <w:rFonts w:eastAsiaTheme="minorHAnsi"/>
        </w:rPr>
        <w:t>economic loss</w:t>
      </w:r>
      <w:r w:rsidR="00830FA0">
        <w:rPr>
          <w:rFonts w:eastAsiaTheme="minorHAnsi"/>
        </w:rPr>
        <w:t>,</w:t>
      </w:r>
    </w:p>
    <w:p w14:paraId="2AC114F4" w14:textId="58FA0F02" w:rsidR="00CE7426" w:rsidRDefault="00830FA0" w:rsidP="00830FA0">
      <w:pPr>
        <w:pStyle w:val="NormalWeb"/>
        <w:numPr>
          <w:ilvl w:val="0"/>
          <w:numId w:val="28"/>
        </w:numPr>
        <w:spacing w:before="0" w:beforeAutospacing="0" w:after="0" w:afterAutospacing="0" w:line="480" w:lineRule="auto"/>
        <w:rPr>
          <w:rFonts w:eastAsiaTheme="minorHAnsi"/>
        </w:rPr>
      </w:pPr>
      <w:r>
        <w:rPr>
          <w:rFonts w:eastAsiaTheme="minorHAnsi"/>
        </w:rPr>
        <w:t>s</w:t>
      </w:r>
      <w:r w:rsidR="00CE7426">
        <w:rPr>
          <w:rFonts w:eastAsiaTheme="minorHAnsi"/>
        </w:rPr>
        <w:t>um</w:t>
      </w:r>
      <w:r w:rsidR="00F410B1">
        <w:rPr>
          <w:rFonts w:eastAsiaTheme="minorHAnsi"/>
        </w:rPr>
        <w:t>med</w:t>
      </w:r>
      <w:r w:rsidR="00CE7426">
        <w:rPr>
          <w:rFonts w:eastAsiaTheme="minorHAnsi"/>
        </w:rPr>
        <w:t xml:space="preserve"> </w:t>
      </w:r>
      <w:r>
        <w:rPr>
          <w:rFonts w:eastAsiaTheme="minorHAnsi"/>
        </w:rPr>
        <w:t xml:space="preserve">Saskatchewan PHJV economic loss and Saskatchewan non PHJV economic loss to get </w:t>
      </w:r>
      <w:r w:rsidR="00CE7426">
        <w:rPr>
          <w:rFonts w:eastAsiaTheme="minorHAnsi"/>
        </w:rPr>
        <w:t xml:space="preserve">the total economic loss for </w:t>
      </w:r>
      <w:r w:rsidR="008E3C1B">
        <w:rPr>
          <w:rFonts w:eastAsiaTheme="minorHAnsi"/>
        </w:rPr>
        <w:t>Saskatchewan</w:t>
      </w:r>
      <w:r w:rsidR="006774B7">
        <w:rPr>
          <w:rFonts w:eastAsiaTheme="minorHAnsi"/>
        </w:rPr>
        <w:t xml:space="preserve">. </w:t>
      </w:r>
    </w:p>
    <w:p w14:paraId="7E9BE450" w14:textId="20549F04" w:rsidR="006774B7" w:rsidRDefault="00622037" w:rsidP="006774B7">
      <w:pPr>
        <w:pStyle w:val="NormalWeb"/>
        <w:spacing w:before="0" w:beforeAutospacing="0" w:after="0" w:afterAutospacing="0" w:line="480" w:lineRule="auto"/>
        <w:ind w:firstLine="720"/>
        <w:rPr>
          <w:rFonts w:eastAsiaTheme="minorHAnsi"/>
        </w:rPr>
      </w:pPr>
      <w:r>
        <w:rPr>
          <w:rFonts w:eastAsiaTheme="minorHAnsi"/>
        </w:rPr>
        <w:t xml:space="preserve">Data on </w:t>
      </w:r>
      <w:r w:rsidR="00F410B1">
        <w:rPr>
          <w:rFonts w:eastAsiaTheme="minorHAnsi"/>
        </w:rPr>
        <w:t xml:space="preserve">villages and RMs </w:t>
      </w:r>
      <w:r>
        <w:rPr>
          <w:rFonts w:eastAsiaTheme="minorHAnsi"/>
        </w:rPr>
        <w:t xml:space="preserve">for majority of PHJV wetland’s locations in </w:t>
      </w:r>
      <w:commentRangeStart w:id="70"/>
      <w:r>
        <w:rPr>
          <w:rFonts w:eastAsiaTheme="minorHAnsi"/>
        </w:rPr>
        <w:t>Alberta and Manitoba</w:t>
      </w:r>
      <w:commentRangeEnd w:id="70"/>
      <w:r w:rsidR="00432FA0">
        <w:rPr>
          <w:rStyle w:val="CommentReference"/>
          <w:rFonts w:asciiTheme="minorHAnsi" w:eastAsiaTheme="minorHAnsi" w:hAnsiTheme="minorHAnsi" w:cstheme="minorBidi"/>
        </w:rPr>
        <w:commentReference w:id="70"/>
      </w:r>
      <w:r w:rsidR="00F410B1">
        <w:rPr>
          <w:rFonts w:eastAsiaTheme="minorHAnsi"/>
        </w:rPr>
        <w:t>, respectively,</w:t>
      </w:r>
      <w:r>
        <w:rPr>
          <w:rFonts w:eastAsiaTheme="minorHAnsi"/>
        </w:rPr>
        <w:t xml:space="preserve"> were not available, therefore we will not be able to estimate the total economic loss </w:t>
      </w:r>
      <w:r w:rsidR="006774B7">
        <w:rPr>
          <w:rFonts w:eastAsiaTheme="minorHAnsi"/>
        </w:rPr>
        <w:t xml:space="preserve">for individual wetland locations as we did for Saskatchewan. </w:t>
      </w:r>
      <w:r>
        <w:rPr>
          <w:rFonts w:eastAsiaTheme="minorHAnsi"/>
        </w:rPr>
        <w:t>However, to be able to estimate the total economic loss associated with wetland loss in these provinces we</w:t>
      </w:r>
      <w:r w:rsidR="00BD2F71">
        <w:rPr>
          <w:rFonts w:eastAsiaTheme="minorHAnsi"/>
        </w:rPr>
        <w:t>:</w:t>
      </w:r>
    </w:p>
    <w:p w14:paraId="744591CB" w14:textId="1FC1962F" w:rsidR="006774B7" w:rsidRDefault="00F35D9C"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randomly </w:t>
      </w:r>
      <w:r w:rsidR="00F410B1">
        <w:rPr>
          <w:rFonts w:eastAsiaTheme="minorHAnsi"/>
        </w:rPr>
        <w:t>sampled 10 household sizes for 10 villages and 10 RMs in Alberta and Saskatchewan respectively</w:t>
      </w:r>
      <w:r w:rsidR="00BD2F71">
        <w:rPr>
          <w:rStyle w:val="FootnoteReference"/>
          <w:rFonts w:eastAsiaTheme="minorHAnsi"/>
        </w:rPr>
        <w:footnoteReference w:id="2"/>
      </w:r>
      <w:r w:rsidR="00F410B1">
        <w:rPr>
          <w:rFonts w:eastAsiaTheme="minorHAnsi"/>
        </w:rPr>
        <w:t xml:space="preserve"> and estimated the median household size (Alberta:210 and Manitoba:962.5) for the wetland locations in the provinces. We then multiplied </w:t>
      </w:r>
      <w:r w:rsidR="00F410B1">
        <w:rPr>
          <w:rFonts w:eastAsiaTheme="minorHAnsi"/>
        </w:rPr>
        <w:lastRenderedPageBreak/>
        <w:t>the median household size by the number of wetland locations (Alberta: 21 and Manitoba: 5) to get the total number of households for the PHJV landscapes in the provinces</w:t>
      </w:r>
      <w:r w:rsidR="00BD2F71">
        <w:rPr>
          <w:rFonts w:eastAsiaTheme="minorHAnsi"/>
        </w:rPr>
        <w:t xml:space="preserve"> (local household),</w:t>
      </w:r>
      <w:r w:rsidR="00F410B1">
        <w:rPr>
          <w:rFonts w:eastAsiaTheme="minorHAnsi"/>
        </w:rPr>
        <w:t xml:space="preserve"> </w:t>
      </w:r>
    </w:p>
    <w:p w14:paraId="62FD1B7C" w14:textId="72DB6B9C"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household size for </w:t>
      </w:r>
      <w:commentRangeStart w:id="71"/>
      <w:r>
        <w:rPr>
          <w:rFonts w:eastAsiaTheme="minorHAnsi"/>
        </w:rPr>
        <w:t xml:space="preserve">Canadians living outside the locations of the wetlands (nonlocal household) in the provinces </w:t>
      </w:r>
      <w:commentRangeEnd w:id="71"/>
      <w:r w:rsidR="000366F7">
        <w:rPr>
          <w:rStyle w:val="CommentReference"/>
          <w:rFonts w:asciiTheme="minorHAnsi" w:eastAsiaTheme="minorHAnsi" w:hAnsiTheme="minorHAnsi" w:cstheme="minorBidi"/>
        </w:rPr>
        <w:commentReference w:id="71"/>
      </w:r>
      <w:r>
        <w:rPr>
          <w:rFonts w:eastAsiaTheme="minorHAnsi"/>
        </w:rPr>
        <w:t xml:space="preserve">by subtracting the </w:t>
      </w:r>
      <w:r w:rsidR="006774B7">
        <w:rPr>
          <w:rFonts w:eastAsiaTheme="minorHAnsi"/>
        </w:rPr>
        <w:t>local household in (</w:t>
      </w:r>
      <w:proofErr w:type="spellStart"/>
      <w:r w:rsidR="006774B7">
        <w:rPr>
          <w:rFonts w:eastAsiaTheme="minorHAnsi"/>
        </w:rPr>
        <w:t>i</w:t>
      </w:r>
      <w:proofErr w:type="spellEnd"/>
      <w:r w:rsidR="006774B7">
        <w:rPr>
          <w:rFonts w:eastAsiaTheme="minorHAnsi"/>
        </w:rPr>
        <w:t xml:space="preserve">) above </w:t>
      </w:r>
      <w:r>
        <w:rPr>
          <w:rFonts w:eastAsiaTheme="minorHAnsi"/>
        </w:rPr>
        <w:t>from the total household size for the province</w:t>
      </w:r>
      <w:r w:rsidR="006774B7">
        <w:rPr>
          <w:rFonts w:eastAsiaTheme="minorHAnsi"/>
        </w:rPr>
        <w:t>,</w:t>
      </w:r>
    </w:p>
    <w:p w14:paraId="4A64351D" w14:textId="1AB98D3E"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 </w:t>
      </w:r>
      <w:r w:rsidR="00E932D9">
        <w:rPr>
          <w:rFonts w:eastAsiaTheme="minorHAnsi"/>
        </w:rPr>
        <w:t>estimate</w:t>
      </w:r>
      <w:r w:rsidR="00BD2F71">
        <w:rPr>
          <w:rFonts w:eastAsiaTheme="minorHAnsi"/>
        </w:rPr>
        <w:t>d</w:t>
      </w:r>
      <w:r w:rsidR="00E932D9">
        <w:rPr>
          <w:rFonts w:eastAsiaTheme="minorHAnsi"/>
        </w:rPr>
        <w:t xml:space="preserve"> the product of </w:t>
      </w:r>
      <w:r>
        <w:rPr>
          <w:rFonts w:eastAsiaTheme="minorHAnsi"/>
        </w:rPr>
        <w:t>local household size</w:t>
      </w:r>
      <w:r w:rsidR="00E932D9">
        <w:rPr>
          <w:rFonts w:eastAsiaTheme="minorHAnsi"/>
        </w:rPr>
        <w:t xml:space="preserve"> and average predicted WTP (when local =1) across the PHJV wetland locations in the province to get the local economic loss associated with wetland acreage</w:t>
      </w:r>
      <w:r w:rsidR="006774B7">
        <w:rPr>
          <w:rFonts w:eastAsiaTheme="minorHAnsi"/>
        </w:rPr>
        <w:t>,</w:t>
      </w:r>
    </w:p>
    <w:p w14:paraId="4A78B142" w14:textId="50BF7A6F" w:rsidR="006774B7" w:rsidRDefault="00E932D9"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product of the total nonlocal household size and the average predicted WTP (when local=0) to get the nonlocal economic loss</w:t>
      </w:r>
      <w:r w:rsidR="006774B7">
        <w:rPr>
          <w:rFonts w:eastAsiaTheme="minorHAnsi"/>
        </w:rPr>
        <w:t>,</w:t>
      </w:r>
      <w:r>
        <w:rPr>
          <w:rFonts w:eastAsiaTheme="minorHAnsi"/>
        </w:rPr>
        <w:t xml:space="preserve"> and</w:t>
      </w:r>
    </w:p>
    <w:p w14:paraId="05E9C1B5" w14:textId="13CEFED6" w:rsidR="00FB62FD" w:rsidRDefault="006774B7"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economic loss to the province by </w:t>
      </w:r>
      <w:r w:rsidR="00E932D9">
        <w:rPr>
          <w:rFonts w:eastAsiaTheme="minorHAnsi"/>
        </w:rPr>
        <w:t>sum</w:t>
      </w:r>
      <w:r>
        <w:rPr>
          <w:rFonts w:eastAsiaTheme="minorHAnsi"/>
        </w:rPr>
        <w:t xml:space="preserve">ming </w:t>
      </w:r>
      <w:r w:rsidR="00E932D9">
        <w:rPr>
          <w:rFonts w:eastAsiaTheme="minorHAnsi"/>
        </w:rPr>
        <w:t>local and nonlocal economic loss.</w:t>
      </w:r>
    </w:p>
    <w:p w14:paraId="07131E67" w14:textId="77777777" w:rsidR="00FB62FD" w:rsidRDefault="00FB62FD">
      <w:pPr>
        <w:rPr>
          <w:rFonts w:eastAsiaTheme="minorHAnsi"/>
        </w:rPr>
      </w:pPr>
      <w:r>
        <w:rPr>
          <w:rFonts w:eastAsiaTheme="minorHAnsi"/>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p>
    <w:p w14:paraId="56B9F3B4" w14:textId="0E5AE7C4"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w:t>
      </w:r>
      <w:r w:rsidR="001D6E1B">
        <w:rPr>
          <w:color w:val="0E101A"/>
        </w:rPr>
        <w:t xml:space="preserve">estimated </w:t>
      </w:r>
      <w:r>
        <w:rPr>
          <w:color w:val="0E101A"/>
        </w:rPr>
        <w:t xml:space="preserve">models except model 2 </w:t>
      </w:r>
      <w:r w:rsidR="001044E2">
        <w:rPr>
          <w:color w:val="0E101A"/>
        </w:rPr>
        <w:t>(</w:t>
      </w:r>
      <w:r w:rsidR="00915822">
        <w:rPr>
          <w:color w:val="0E101A"/>
        </w:rPr>
        <w:t xml:space="preserve">full version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011FCCF8" w:rsidR="00D01B31" w:rsidRDefault="00C9166A" w:rsidP="008E797A">
      <w:pPr>
        <w:spacing w:line="480" w:lineRule="auto"/>
        <w:ind w:firstLine="720"/>
        <w:rPr>
          <w:color w:val="0E101A"/>
        </w:rPr>
      </w:pPr>
      <w:r>
        <w:rPr>
          <w:color w:val="0E101A"/>
        </w:rPr>
        <w:t xml:space="preserve">We chose model 1, </w:t>
      </w:r>
      <w:r w:rsidR="001D60C7">
        <w:rPr>
          <w:color w:val="0E101A"/>
        </w:rPr>
        <w:t>the</w:t>
      </w:r>
      <w:r>
        <w:rPr>
          <w:color w:val="0E101A"/>
        </w:rPr>
        <w:t xml:space="preserve"> full model</w:t>
      </w:r>
      <w:commentRangeStart w:id="72"/>
      <w:commentRangeEnd w:id="72"/>
      <w:r w:rsidR="00D7596E">
        <w:rPr>
          <w:rStyle w:val="CommentReference"/>
          <w:rFonts w:asciiTheme="minorHAnsi" w:eastAsiaTheme="minorHAnsi" w:hAnsiTheme="minorHAnsi" w:cstheme="minorBidi"/>
        </w:rPr>
        <w:commentReference w:id="72"/>
      </w:r>
      <w:r>
        <w:rPr>
          <w:color w:val="0E101A"/>
        </w:rPr>
        <w:t xml:space="preserve">, because it provided the </w:t>
      </w:r>
      <w:r w:rsidR="00C70779" w:rsidRPr="004D1057">
        <w:rPr>
          <w:color w:val="0E101A"/>
        </w:rPr>
        <w:t xml:space="preserve">best fit to </w:t>
      </w:r>
      <w:r w:rsidR="0055543C">
        <w:rPr>
          <w:color w:val="0E101A"/>
        </w:rPr>
        <w:t>the</w:t>
      </w:r>
      <w:r>
        <w:rPr>
          <w:color w:val="0E101A"/>
        </w:rPr>
        <w:t xml:space="preserve"> </w:t>
      </w:r>
      <w:r w:rsidR="00C70779" w:rsidRPr="004D1057">
        <w:rPr>
          <w:color w:val="0E101A"/>
        </w:rPr>
        <w:t>study data</w:t>
      </w:r>
      <w:r>
        <w:rPr>
          <w:color w:val="0E101A"/>
        </w:rPr>
        <w:t xml:space="preserve"> than model 2. The Akaike information criteria (AIC) for </w:t>
      </w:r>
      <w:r w:rsidR="00CC3F2D">
        <w:rPr>
          <w:color w:val="0E101A"/>
        </w:rPr>
        <w:t>m</w:t>
      </w:r>
      <w:r>
        <w:rPr>
          <w:color w:val="0E101A"/>
        </w:rPr>
        <w:t>odel</w:t>
      </w:r>
      <w:r w:rsidR="00915822">
        <w:rPr>
          <w:color w:val="0E101A"/>
        </w:rPr>
        <w:t xml:space="preserve"> </w:t>
      </w:r>
      <w:r w:rsidR="001044E2">
        <w:rPr>
          <w:color w:val="0E101A"/>
        </w:rPr>
        <w:t>1</w:t>
      </w:r>
      <w:r w:rsidR="00CC3F2D">
        <w:rPr>
          <w:color w:val="0E101A"/>
        </w:rPr>
        <w:t>,</w:t>
      </w:r>
      <w:r>
        <w:rPr>
          <w:color w:val="0E101A"/>
        </w:rPr>
        <w:t xml:space="preserve"> which is 110.8 (Table 3</w:t>
      </w:r>
      <w:r w:rsidR="003A4D37">
        <w:rPr>
          <w:color w:val="0E101A"/>
        </w:rPr>
        <w:t>), is</w:t>
      </w:r>
      <w:r>
        <w:rPr>
          <w:color w:val="0E101A"/>
        </w:rPr>
        <w:t xml:space="preserve"> lower than </w:t>
      </w:r>
      <w:r w:rsidR="008E797A">
        <w:rPr>
          <w:color w:val="0E101A"/>
        </w:rPr>
        <w:t xml:space="preserve">that of </w:t>
      </w:r>
      <w:r>
        <w:rPr>
          <w:color w:val="0E101A"/>
        </w:rPr>
        <w:t xml:space="preserve">all the 3 estimated versions of model 2 (A3 in </w:t>
      </w:r>
      <w:r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915822">
        <w:rPr>
          <w:color w:val="0E101A"/>
        </w:rPr>
        <w:t>model 1</w:t>
      </w:r>
      <w:r w:rsidR="008E797A" w:rsidRPr="001D60C7">
        <w:rPr>
          <w:color w:val="0E101A"/>
        </w:rPr>
        <w:t xml:space="preserve">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The null hypothesis of constant variance of the model error term (homoscedasticity) was not rejected even at the 10% level</w:t>
      </w:r>
      <w:proofErr w:type="gramStart"/>
      <w:r w:rsidR="00F673D5">
        <w:rPr>
          <w:color w:val="0E101A"/>
        </w:rPr>
        <w:t xml:space="preserve">.  </w:t>
      </w:r>
      <w:proofErr w:type="gramEnd"/>
      <w:r w:rsidR="00915822">
        <w:rPr>
          <w:color w:val="0E101A"/>
        </w:rPr>
        <w:t>The variance inflation factors for all the independent variables are less than 2 which shows that multicollinearity was is a problem in the model.</w:t>
      </w:r>
    </w:p>
    <w:p w14:paraId="51E4575C" w14:textId="3C06FA8B"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915822">
        <w:rPr>
          <w:color w:val="0E101A"/>
        </w:rPr>
        <w:t xml:space="preserve"> </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73"/>
      <w:commentRangeEnd w:id="73"/>
      <w:r w:rsidR="00D7596E">
        <w:rPr>
          <w:rStyle w:val="CommentReference"/>
          <w:rFonts w:asciiTheme="minorHAnsi" w:eastAsiaTheme="minorHAnsi" w:hAnsiTheme="minorHAnsi" w:cstheme="minorBidi"/>
        </w:rPr>
        <w:commentReference w:id="73"/>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proofErr w:type="gramStart"/>
      <w:r w:rsidR="00B607BF">
        <w:rPr>
          <w:color w:val="0E101A"/>
        </w:rPr>
        <w:t xml:space="preserve">. </w:t>
      </w:r>
      <w:r w:rsidR="00B607BF" w:rsidRPr="004D1057">
        <w:rPr>
          <w:color w:val="0E101A"/>
        </w:rPr>
        <w:t xml:space="preserve"> </w:t>
      </w:r>
      <w:proofErr w:type="gramEnd"/>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74"/>
      <w:commentRangeStart w:id="75"/>
      <w:commentRangeEnd w:id="74"/>
      <w:r w:rsidR="00D7596E">
        <w:rPr>
          <w:rStyle w:val="CommentReference"/>
          <w:rFonts w:asciiTheme="minorHAnsi" w:eastAsiaTheme="minorHAnsi" w:hAnsiTheme="minorHAnsi" w:cstheme="minorBidi"/>
        </w:rPr>
        <w:commentReference w:id="74"/>
      </w:r>
      <w:commentRangeEnd w:id="75"/>
      <w:r w:rsidR="001044E2">
        <w:rPr>
          <w:rStyle w:val="CommentReference"/>
          <w:rFonts w:asciiTheme="minorHAnsi" w:eastAsiaTheme="minorHAnsi" w:hAnsiTheme="minorHAnsi" w:cstheme="minorBidi"/>
        </w:rPr>
        <w:commentReference w:id="75"/>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3"/>
      </w:r>
      <w:r w:rsidR="0069269A">
        <w:rPr>
          <w:color w:val="0E101A"/>
        </w:rPr>
        <w:t xml:space="preserve">. </w:t>
      </w:r>
      <w:r w:rsidR="004B3DA0">
        <w:rPr>
          <w:color w:val="0E101A"/>
        </w:rPr>
        <w:t>Wetlands that provide provisioning services are less valuable than wetlands without provisioning services</w:t>
      </w:r>
      <w:commentRangeStart w:id="76"/>
      <w:r w:rsidR="0069269A">
        <w:rPr>
          <w:color w:val="0E101A"/>
        </w:rPr>
        <w:t xml:space="preserve"> </w:t>
      </w:r>
      <w:commentRangeEnd w:id="76"/>
      <w:r w:rsidR="00D7596E">
        <w:rPr>
          <w:rStyle w:val="CommentReference"/>
          <w:rFonts w:asciiTheme="minorHAnsi" w:eastAsiaTheme="minorHAnsi" w:hAnsiTheme="minorHAnsi" w:cstheme="minorBidi"/>
        </w:rPr>
        <w:commentReference w:id="76"/>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bookmarkStart w:id="77" w:name="_Hlk83863426"/>
      <w:commentRangeStart w:id="78"/>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78"/>
      <w:r>
        <w:rPr>
          <w:rStyle w:val="CommentReference"/>
          <w:rFonts w:asciiTheme="minorHAnsi" w:eastAsiaTheme="minorHAnsi" w:hAnsiTheme="minorHAnsi" w:cstheme="minorBidi"/>
        </w:rPr>
        <w:commentReference w:id="78"/>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commentRangeStart w:id="79"/>
            <w:r w:rsidRPr="001D4E88">
              <w:rPr>
                <w:sz w:val="20"/>
                <w:szCs w:val="20"/>
              </w:rPr>
              <w:t>0.594 (0.735)</w:t>
            </w:r>
            <w:commentRangeEnd w:id="79"/>
            <w:r w:rsidR="00432FA0">
              <w:rPr>
                <w:rStyle w:val="CommentReference"/>
                <w:rFonts w:asciiTheme="minorHAnsi" w:eastAsiaTheme="minorHAnsi" w:hAnsiTheme="minorHAnsi" w:cstheme="minorBidi"/>
              </w:rPr>
              <w:commentReference w:id="79"/>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proofErr w:type="spellStart"/>
            <w:r>
              <w:rPr>
                <w:sz w:val="20"/>
                <w:szCs w:val="20"/>
              </w:rPr>
              <w:t>Log</w:t>
            </w:r>
            <w:commentRangeStart w:id="80"/>
            <w:r w:rsidRPr="001D4E88">
              <w:rPr>
                <w:sz w:val="20"/>
                <w:szCs w:val="20"/>
              </w:rPr>
              <w:t>Income</w:t>
            </w:r>
            <w:commentRangeEnd w:id="80"/>
            <w:proofErr w:type="spellEnd"/>
            <w:r>
              <w:rPr>
                <w:sz w:val="20"/>
                <w:szCs w:val="20"/>
              </w:rPr>
              <w:t>)</w:t>
            </w:r>
            <w:r>
              <w:rPr>
                <w:rStyle w:val="CommentReference"/>
                <w:rFonts w:asciiTheme="minorHAnsi" w:eastAsiaTheme="minorHAnsi" w:hAnsiTheme="minorHAnsi" w:cstheme="minorBidi"/>
              </w:rPr>
              <w:commentReference w:id="80"/>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bookmarkEnd w:id="77"/>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AC67C6">
        <w:rPr>
          <w:color w:val="0E101A"/>
        </w:rPr>
        <w:lastRenderedPageBreak/>
        <w:t xml:space="preserve">The adding up condition was violated for the model for all </w:t>
      </w:r>
      <w:commentRangeStart w:id="81"/>
      <w:r w:rsidRPr="00AC67C6">
        <w:rPr>
          <w:color w:val="0E101A"/>
        </w:rPr>
        <w:t>scenarios</w:t>
      </w:r>
      <w:r w:rsidR="0066303C" w:rsidRPr="00AC67C6">
        <w:rPr>
          <w:color w:val="0E101A"/>
        </w:rPr>
        <w:t xml:space="preserve"> (Table A5 in appendix)</w:t>
      </w:r>
      <w:r w:rsidRPr="00AC67C6">
        <w:rPr>
          <w:color w:val="0E101A"/>
        </w:rPr>
        <w:t xml:space="preserve"> </w:t>
      </w:r>
      <w:commentRangeEnd w:id="81"/>
      <w:r w:rsidR="00D7596E" w:rsidRPr="00AC67C6">
        <w:rPr>
          <w:rStyle w:val="CommentReference"/>
          <w:rFonts w:asciiTheme="minorHAnsi" w:eastAsiaTheme="minorHAnsi" w:hAnsiTheme="minorHAnsi" w:cstheme="minorBidi"/>
        </w:rPr>
        <w:commentReference w:id="81"/>
      </w:r>
      <w:r w:rsidR="003A4D37" w:rsidRPr="00AC67C6">
        <w:rPr>
          <w:color w:val="0E101A"/>
        </w:rPr>
        <w:t xml:space="preserve"> since </w:t>
      </w:r>
      <w:r w:rsidR="0066303C" w:rsidRPr="00AC67C6">
        <w:rPr>
          <w:color w:val="0E101A"/>
        </w:rPr>
        <w:t>the sum of the WTP to conserve 30 acres (from 10,000 acres to 10,030) of wetlands and 20 acres (10,030 acres to 10,050 acres) of wetlands was greater than the WTP conserve 50 acres (from 10,000 acres to 10,050 acres).</w:t>
      </w:r>
      <w:r w:rsidRPr="00AC67C6">
        <w:rPr>
          <w:color w:val="0E101A"/>
        </w:rPr>
        <w:t xml:space="preserve"> </w:t>
      </w:r>
      <w:r w:rsidR="0065063C" w:rsidRPr="00AC67C6">
        <w:rPr>
          <w:color w:val="0E101A"/>
        </w:rPr>
        <w:t>The f</w:t>
      </w:r>
      <w:r w:rsidR="00782386" w:rsidRPr="00AC67C6">
        <w:rPr>
          <w:color w:val="0E101A"/>
        </w:rPr>
        <w:t xml:space="preserve">ull description of the </w:t>
      </w:r>
      <w:r w:rsidR="0065063C" w:rsidRPr="00AC67C6">
        <w:rPr>
          <w:color w:val="0E101A"/>
        </w:rPr>
        <w:t xml:space="preserve">scenarios and the </w:t>
      </w:r>
      <w:r w:rsidR="00782386" w:rsidRPr="00AC67C6">
        <w:rPr>
          <w:color w:val="0E101A"/>
        </w:rPr>
        <w:t xml:space="preserve">streps we used to evaluate the adding up test is provided in section 4.1. </w:t>
      </w:r>
    </w:p>
    <w:p w14:paraId="681B19A2" w14:textId="502C9F7E" w:rsidR="00EA0C9A" w:rsidRDefault="00F40C49" w:rsidP="00DA73D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w:t>
      </w:r>
      <w:r w:rsidR="00AC67C6">
        <w:rPr>
          <w:color w:val="0E101A"/>
        </w:rPr>
        <w:t>was</w:t>
      </w:r>
      <w:r w:rsidR="00901684">
        <w:rPr>
          <w:color w:val="0E101A"/>
        </w:rPr>
        <w:t xml:space="preserve">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w:t>
      </w:r>
      <w:proofErr w:type="gramStart"/>
      <w:r w:rsidR="005B394A">
        <w:rPr>
          <w:color w:val="0E101A"/>
        </w:rPr>
        <w:t>.</w:t>
      </w:r>
      <w:commentRangeStart w:id="82"/>
      <w:commentRangeStart w:id="83"/>
      <w:r w:rsidR="00800381">
        <w:rPr>
          <w:color w:val="0E101A"/>
        </w:rPr>
        <w:t xml:space="preserve"> </w:t>
      </w:r>
      <w:r w:rsidR="00901684" w:rsidRPr="00D72E46">
        <w:rPr>
          <w:color w:val="0E101A"/>
        </w:rPr>
        <w:t xml:space="preserve"> </w:t>
      </w:r>
      <w:commentRangeEnd w:id="82"/>
      <w:proofErr w:type="gramEnd"/>
      <w:r w:rsidR="00C32368">
        <w:rPr>
          <w:rStyle w:val="CommentReference"/>
          <w:rFonts w:asciiTheme="minorHAnsi" w:eastAsiaTheme="minorHAnsi" w:hAnsiTheme="minorHAnsi" w:cstheme="minorBidi"/>
        </w:rPr>
        <w:commentReference w:id="82"/>
      </w:r>
      <w:commentRangeEnd w:id="83"/>
      <w:r w:rsidR="002E38E5">
        <w:rPr>
          <w:rStyle w:val="CommentReference"/>
          <w:rFonts w:asciiTheme="minorHAnsi" w:eastAsiaTheme="minorHAnsi" w:hAnsiTheme="minorHAnsi" w:cstheme="minorBidi"/>
        </w:rPr>
        <w:commentReference w:id="83"/>
      </w:r>
      <w:r w:rsidR="00EA0C9A" w:rsidRPr="00404E6F">
        <w:rPr>
          <w:color w:val="0E101A"/>
        </w:rPr>
        <w:t xml:space="preserve">The model explained about 97% of the variation in the </w:t>
      </w:r>
      <w:r w:rsidR="00EA0C9A">
        <w:rPr>
          <w:color w:val="0E101A"/>
        </w:rPr>
        <w:t xml:space="preserve">natural </w:t>
      </w:r>
      <w:r w:rsidR="00EA0C9A" w:rsidRPr="00404E6F">
        <w:rPr>
          <w:color w:val="0E101A"/>
        </w:rPr>
        <w:t xml:space="preserve">log </w:t>
      </w:r>
      <w:r w:rsidR="00EA0C9A">
        <w:rPr>
          <w:color w:val="0E101A"/>
        </w:rPr>
        <w:t xml:space="preserve">of </w:t>
      </w:r>
      <w:r w:rsidR="00EA0C9A" w:rsidRPr="00404E6F">
        <w:rPr>
          <w:color w:val="0E101A"/>
        </w:rPr>
        <w:t>WTP.</w:t>
      </w:r>
      <w:r w:rsidR="00EA0C9A">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sidR="00EA0C9A">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sidR="00EA0C9A">
        <w:rPr>
          <w:color w:val="0E101A"/>
        </w:rPr>
        <w:t xml:space="preserve"> suggest that the law of diminishing marginal returns is validated in this model</w:t>
      </w:r>
      <w:r w:rsidR="00AC6D31">
        <w:rPr>
          <w:color w:val="0E101A"/>
        </w:rPr>
        <w:t xml:space="preserve"> and it is significant at the </w:t>
      </w:r>
      <w:r w:rsidR="00EA0C9A">
        <w:rPr>
          <w:color w:val="0E101A"/>
        </w:rPr>
        <w:t>10% level</w:t>
      </w:r>
      <w:r w:rsidR="00AC6D31">
        <w:rPr>
          <w:color w:val="0E101A"/>
        </w:rPr>
        <w:t>;</w:t>
      </w:r>
      <w:r w:rsidR="00EA0C9A">
        <w:rPr>
          <w:color w:val="0E101A"/>
        </w:rPr>
        <w:t xml:space="preserve"> it shows that a 1% increase in the acreage of wetland will cause about 0.15</w:t>
      </w:r>
      <w:r w:rsidR="00AC6D31">
        <w:rPr>
          <w:color w:val="0E101A"/>
        </w:rPr>
        <w:t>9</w:t>
      </w:r>
      <w:r w:rsidR="00EA0C9A">
        <w:rPr>
          <w:color w:val="0E101A"/>
        </w:rPr>
        <w:t xml:space="preserve">% decrease in willingness to pay to conserve the wetland. </w:t>
      </w:r>
      <w:r w:rsidR="00AC6D31">
        <w:rPr>
          <w:color w:val="0E101A"/>
        </w:rPr>
        <w:t>Also, a 1% increase in income would cause about 1.3% increase in willingness to pay to conserve wetlands</w:t>
      </w:r>
      <w:r w:rsidR="00EA0C9A">
        <w:rPr>
          <w:color w:val="0E101A"/>
        </w:rPr>
        <w:t>)</w:t>
      </w:r>
      <w:proofErr w:type="gramStart"/>
      <w:r w:rsidR="00EA0C9A">
        <w:rPr>
          <w:color w:val="0E101A"/>
        </w:rPr>
        <w:t xml:space="preserve">.  </w:t>
      </w:r>
      <w:proofErr w:type="gramEnd"/>
      <w:r w:rsidR="00C53C2C">
        <w:rPr>
          <w:color w:val="0E101A"/>
        </w:rPr>
        <w:t>Moreover, the adding was violated since the sum of WTP to conserve 30 wetland acres (10,000 acres to 10,030 acres) and 20 acres (10,030 acres to 10,050 acres) was less than the WTP to conserve 50 acres (10,000 acres to 10,050 acres) in all the scenarios (</w:t>
      </w:r>
      <w:r w:rsidR="00C53C2C" w:rsidRPr="00AC67C6">
        <w:rPr>
          <w:color w:val="0E101A"/>
        </w:rPr>
        <w:t>Table A5 in appendix</w:t>
      </w:r>
      <w:r w:rsidR="00C53C2C">
        <w:rPr>
          <w:color w:val="0E101A"/>
        </w:rPr>
        <w:t>).</w:t>
      </w:r>
    </w:p>
    <w:p w14:paraId="542B0173" w14:textId="77777777" w:rsidR="00AC6D31" w:rsidRDefault="00AC6D31" w:rsidP="00EA0C9A">
      <w:pPr>
        <w:spacing w:line="480" w:lineRule="auto"/>
        <w:ind w:firstLine="720"/>
        <w:rPr>
          <w:color w:val="0E101A"/>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84"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commentRangeStart w:id="85"/>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86"/>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86"/>
            <w:r w:rsidR="00C32368">
              <w:rPr>
                <w:rStyle w:val="CommentReference"/>
                <w:rFonts w:asciiTheme="minorHAnsi" w:eastAsiaTheme="minorHAnsi" w:hAnsiTheme="minorHAnsi" w:cstheme="minorBidi"/>
              </w:rPr>
              <w:commentReference w:id="86"/>
            </w:r>
            <w:r w:rsidR="00820D67">
              <w:rPr>
                <w:rStyle w:val="CommentReference"/>
                <w:rFonts w:asciiTheme="minorHAnsi" w:eastAsiaTheme="minorHAnsi" w:hAnsiTheme="minorHAnsi" w:cstheme="minorBidi"/>
              </w:rPr>
              <w:commentReference w:id="85"/>
            </w:r>
          </w:p>
        </w:tc>
      </w:tr>
      <w:commentRangeEnd w:id="85"/>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84"/>
    <w:p w14:paraId="16FC2E38" w14:textId="77777777" w:rsidR="00800381" w:rsidRDefault="00800381" w:rsidP="00800381">
      <w:pPr>
        <w:spacing w:line="480" w:lineRule="auto"/>
        <w:rPr>
          <w:color w:val="0E101A"/>
        </w:rPr>
      </w:pPr>
    </w:p>
    <w:p w14:paraId="594F68A2" w14:textId="77777777" w:rsidR="00AC6D31" w:rsidRDefault="00AC6D31">
      <w:pPr>
        <w:rPr>
          <w:color w:val="0E101A"/>
        </w:rPr>
      </w:pPr>
      <w:r>
        <w:rPr>
          <w:color w:val="0E101A"/>
        </w:rPr>
        <w:br w:type="page"/>
      </w: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Pr="004D1057">
        <w:rPr>
          <w:rFonts w:ascii="Times New Roman" w:hAnsi="Times New Roman" w:cs="Times New Roman"/>
          <w:b/>
          <w:bCs/>
        </w:rPr>
        <w:t>Meta-Function Benefit Transfer Errors</w:t>
      </w:r>
    </w:p>
    <w:p w14:paraId="42DFFD67" w14:textId="60AF298C" w:rsidR="000138F9" w:rsidRDefault="000138F9" w:rsidP="00366083">
      <w:pPr>
        <w:spacing w:line="480" w:lineRule="auto"/>
        <w:ind w:firstLine="720"/>
      </w:pPr>
      <w:r>
        <w:t xml:space="preserve">We performed a Leave One Out Cross Validation (LOOCV) to estimate the root mean square error of </w:t>
      </w:r>
      <w:r w:rsidR="008D5EA4">
        <w:t xml:space="preserve">the </w:t>
      </w:r>
      <w:r>
        <w:t xml:space="preserve">meta-regression models (US-Canada and US only data models) </w:t>
      </w:r>
      <w:r w:rsidR="008D5EA4">
        <w:t xml:space="preserve">and the root mean square mean value transfer error </w:t>
      </w:r>
      <w:r>
        <w:t>when applied to estimate the value of Canadian wetlands (in-</w:t>
      </w:r>
      <w:commentRangeStart w:id="87"/>
      <w:r>
        <w:t>sample</w:t>
      </w:r>
      <w:commentRangeEnd w:id="87"/>
      <w:r w:rsidR="00C32368">
        <w:rPr>
          <w:rStyle w:val="CommentReference"/>
          <w:rFonts w:asciiTheme="minorHAnsi" w:eastAsiaTheme="minorHAnsi" w:hAnsiTheme="minorHAnsi" w:cstheme="minorBidi"/>
        </w:rPr>
        <w:commentReference w:id="87"/>
      </w:r>
      <w:r>
        <w:t xml:space="preserve">). </w:t>
      </w:r>
      <w:r w:rsidR="009642D1">
        <w:t>The mean value transfer provides a relatively faster and cheaper method to assign economic value to wetlands using $</w:t>
      </w:r>
      <w:commentRangeStart w:id="88"/>
      <w:r w:rsidR="009642D1">
        <w:t xml:space="preserve">/ha </w:t>
      </w:r>
      <w:commentRangeEnd w:id="88"/>
      <w:r w:rsidR="00432FA0">
        <w:rPr>
          <w:rStyle w:val="CommentReference"/>
          <w:rFonts w:asciiTheme="minorHAnsi" w:eastAsiaTheme="minorHAnsi" w:hAnsiTheme="minorHAnsi" w:cstheme="minorBidi"/>
        </w:rPr>
        <w:commentReference w:id="88"/>
      </w:r>
      <w:r w:rsidR="009642D1">
        <w:t xml:space="preserve">of similar wetlands from the literature. </w:t>
      </w:r>
      <w:r>
        <w:t xml:space="preserve">Full details of the LOOCV are provided in section 4.2. </w:t>
      </w:r>
    </w:p>
    <w:p w14:paraId="71690905" w14:textId="55B4BE60"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xml:space="preserve">) is about </w:t>
      </w:r>
      <w:r w:rsidR="008D1632">
        <w:t>76</w:t>
      </w:r>
      <w:r w:rsidR="008E4E5A">
        <w:t>% l</w:t>
      </w:r>
      <w:r w:rsidR="004E6750">
        <w:t>ower</w:t>
      </w:r>
      <w:r w:rsidR="008E4E5A">
        <w:t xml:space="preserve"> than the mean value error when predicting the values of Canadian wetlands using the US-Canada model. Also, the meta-regression error when predicting Canadian wetland values is about </w:t>
      </w:r>
      <w:r w:rsidR="008D1632">
        <w:t>222%</w:t>
      </w:r>
      <w:r w:rsidR="008E4E5A">
        <w:t xml:space="preserve">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2467"/>
        <w:gridCol w:w="2338"/>
        <w:gridCol w:w="1527"/>
      </w:tblGrid>
      <w:tr w:rsidR="00FB5EA2" w:rsidRPr="00AF1BC0" w14:paraId="6279B742" w14:textId="77777777" w:rsidTr="00B118D1">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commentRangeStart w:id="89"/>
            <w:r w:rsidRPr="00AF1BC0">
              <w:rPr>
                <w:b/>
                <w:bCs/>
              </w:rPr>
              <w:t>Transfer Error</w:t>
            </w:r>
          </w:p>
        </w:tc>
        <w:tc>
          <w:tcPr>
            <w:tcW w:w="2642" w:type="dxa"/>
            <w:tcBorders>
              <w:top w:val="single" w:sz="4" w:space="0" w:color="auto"/>
              <w:bottom w:val="single" w:sz="4" w:space="0" w:color="auto"/>
            </w:tcBorders>
          </w:tcPr>
          <w:p w14:paraId="4ED9189D" w14:textId="37FE35C7" w:rsidR="00FB5EA2" w:rsidRDefault="00FB5EA2" w:rsidP="00A57D0D">
            <w:pPr>
              <w:jc w:val="center"/>
              <w:rPr>
                <w:b/>
                <w:bCs/>
              </w:rPr>
            </w:pPr>
            <w:commentRangeStart w:id="90"/>
            <w:r w:rsidRPr="00AF1BC0">
              <w:rPr>
                <w:b/>
                <w:bCs/>
              </w:rPr>
              <w:t>RMSE</w:t>
            </w:r>
          </w:p>
          <w:p w14:paraId="2E61E0D8" w14:textId="0950EE4A" w:rsidR="008D1632" w:rsidRDefault="008D1632" w:rsidP="00A57D0D">
            <w:pPr>
              <w:jc w:val="center"/>
              <w:rPr>
                <w:b/>
                <w:bCs/>
              </w:rPr>
            </w:pPr>
            <w:r>
              <w:rPr>
                <w:b/>
                <w:bCs/>
              </w:rPr>
              <w:t>Model 1</w:t>
            </w:r>
            <w:r w:rsidR="00B118D1">
              <w:rPr>
                <w:b/>
                <w:bCs/>
              </w:rPr>
              <w:t xml:space="preserve"> (Full Model)</w:t>
            </w:r>
          </w:p>
          <w:p w14:paraId="79922B27" w14:textId="77777777" w:rsidR="00FB5EA2" w:rsidRPr="00AF1BC0" w:rsidRDefault="00FB5EA2" w:rsidP="00A57D0D">
            <w:pPr>
              <w:jc w:val="center"/>
              <w:rPr>
                <w:b/>
                <w:bCs/>
              </w:rPr>
            </w:pPr>
            <w:r>
              <w:rPr>
                <w:b/>
                <w:bCs/>
              </w:rPr>
              <w:t>US-Canada Model</w:t>
            </w:r>
          </w:p>
        </w:tc>
        <w:tc>
          <w:tcPr>
            <w:tcW w:w="2413" w:type="dxa"/>
            <w:tcBorders>
              <w:top w:val="single" w:sz="4" w:space="0" w:color="auto"/>
              <w:bottom w:val="single" w:sz="4" w:space="0" w:color="auto"/>
            </w:tcBorders>
          </w:tcPr>
          <w:p w14:paraId="778E7B7D" w14:textId="11F84291" w:rsidR="00FB5EA2" w:rsidRDefault="00FB5EA2" w:rsidP="00A57D0D">
            <w:pPr>
              <w:jc w:val="center"/>
              <w:rPr>
                <w:b/>
                <w:bCs/>
              </w:rPr>
            </w:pPr>
            <w:r w:rsidRPr="00AF1BC0">
              <w:rPr>
                <w:b/>
                <w:bCs/>
              </w:rPr>
              <w:t>RMSE</w:t>
            </w:r>
          </w:p>
          <w:p w14:paraId="7C1E7868" w14:textId="30C3AC5B" w:rsidR="008D1632" w:rsidRDefault="008D1632" w:rsidP="00A57D0D">
            <w:pPr>
              <w:jc w:val="center"/>
              <w:rPr>
                <w:b/>
                <w:bCs/>
              </w:rPr>
            </w:pPr>
            <w:r>
              <w:rPr>
                <w:b/>
                <w:bCs/>
              </w:rPr>
              <w:t>Model 1 (Full Model)</w:t>
            </w:r>
          </w:p>
          <w:p w14:paraId="30246239" w14:textId="77777777" w:rsidR="00FB5EA2" w:rsidRPr="00AF1BC0" w:rsidRDefault="00FB5EA2" w:rsidP="00A57D0D">
            <w:pPr>
              <w:jc w:val="center"/>
              <w:rPr>
                <w:b/>
                <w:bCs/>
              </w:rPr>
            </w:pPr>
            <w:r>
              <w:rPr>
                <w:b/>
                <w:bCs/>
              </w:rPr>
              <w:t>US only Model</w:t>
            </w:r>
            <w:commentRangeEnd w:id="90"/>
            <w:r w:rsidR="00C32368">
              <w:rPr>
                <w:rStyle w:val="CommentReference"/>
                <w:rFonts w:asciiTheme="minorHAnsi" w:eastAsiaTheme="minorHAnsi" w:hAnsiTheme="minorHAnsi" w:cstheme="minorBidi"/>
              </w:rPr>
              <w:commentReference w:id="90"/>
            </w:r>
            <w:r w:rsidR="00B118D1">
              <w:rPr>
                <w:rStyle w:val="CommentReference"/>
                <w:rFonts w:asciiTheme="minorHAnsi" w:eastAsiaTheme="minorHAnsi" w:hAnsiTheme="minorHAnsi" w:cstheme="minorBidi"/>
              </w:rPr>
              <w:commentReference w:id="89"/>
            </w:r>
          </w:p>
        </w:tc>
        <w:tc>
          <w:tcPr>
            <w:tcW w:w="1556"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commentRangeEnd w:id="89"/>
      <w:tr w:rsidR="00FB5EA2" w:rsidRPr="00AF1BC0" w14:paraId="0B5AFA93" w14:textId="77777777" w:rsidTr="00B118D1">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642" w:type="dxa"/>
            <w:tcBorders>
              <w:top w:val="single" w:sz="4" w:space="0" w:color="auto"/>
            </w:tcBorders>
          </w:tcPr>
          <w:p w14:paraId="0C085A7E" w14:textId="77777777" w:rsidR="00FB5EA2" w:rsidRPr="00AF1BC0" w:rsidRDefault="00FB5EA2" w:rsidP="00A57D0D">
            <w:pPr>
              <w:jc w:val="center"/>
            </w:pPr>
            <w:r>
              <w:t>0.94</w:t>
            </w:r>
          </w:p>
        </w:tc>
        <w:tc>
          <w:tcPr>
            <w:tcW w:w="2413" w:type="dxa"/>
            <w:tcBorders>
              <w:top w:val="single" w:sz="4" w:space="0" w:color="auto"/>
            </w:tcBorders>
          </w:tcPr>
          <w:p w14:paraId="37845A22" w14:textId="75345A03" w:rsidR="00FB5EA2" w:rsidRPr="00AF1BC0" w:rsidRDefault="00EF6CD0" w:rsidP="00A57D0D">
            <w:pPr>
              <w:jc w:val="center"/>
            </w:pPr>
            <w:r>
              <w:t>3.16</w:t>
            </w:r>
          </w:p>
        </w:tc>
        <w:tc>
          <w:tcPr>
            <w:tcW w:w="1556" w:type="dxa"/>
            <w:tcBorders>
              <w:top w:val="single" w:sz="4" w:space="0" w:color="auto"/>
            </w:tcBorders>
          </w:tcPr>
          <w:p w14:paraId="6B829354" w14:textId="5CA7DCAC" w:rsidR="00FB5EA2" w:rsidRDefault="00EF6CD0" w:rsidP="00A57D0D">
            <w:pPr>
              <w:jc w:val="center"/>
            </w:pPr>
            <w:r>
              <w:t>2.22</w:t>
            </w:r>
          </w:p>
        </w:tc>
      </w:tr>
      <w:tr w:rsidR="00FB5EA2" w:rsidRPr="00AF1BC0" w14:paraId="03D5D5A7" w14:textId="77777777" w:rsidTr="00B118D1">
        <w:tc>
          <w:tcPr>
            <w:tcW w:w="2603" w:type="dxa"/>
            <w:tcBorders>
              <w:bottom w:val="single" w:sz="4" w:space="0" w:color="auto"/>
            </w:tcBorders>
          </w:tcPr>
          <w:p w14:paraId="3C4B9306" w14:textId="77777777" w:rsidR="00FB5EA2" w:rsidRPr="00AF1BC0" w:rsidRDefault="00FB5EA2" w:rsidP="00A57D0D">
            <w:commentRangeStart w:id="91"/>
            <w:commentRangeStart w:id="92"/>
            <w:commentRangeStart w:id="93"/>
            <w:commentRangeStart w:id="94"/>
            <w:commentRangeStart w:id="95"/>
            <w:r w:rsidRPr="00AF1BC0">
              <w:t>Mean Value</w:t>
            </w:r>
            <w:commentRangeEnd w:id="91"/>
            <w:r>
              <w:rPr>
                <w:rStyle w:val="CommentReference"/>
                <w:rFonts w:asciiTheme="minorHAnsi" w:eastAsiaTheme="minorHAnsi" w:hAnsiTheme="minorHAnsi" w:cstheme="minorBidi"/>
              </w:rPr>
              <w:commentReference w:id="91"/>
            </w:r>
            <w:commentRangeEnd w:id="92"/>
            <w:r>
              <w:rPr>
                <w:rStyle w:val="CommentReference"/>
                <w:rFonts w:asciiTheme="minorHAnsi" w:eastAsiaTheme="minorHAnsi" w:hAnsiTheme="minorHAnsi" w:cstheme="minorBidi"/>
              </w:rPr>
              <w:commentReference w:id="92"/>
            </w:r>
            <w:commentRangeEnd w:id="93"/>
            <w:r w:rsidR="00C32368">
              <w:rPr>
                <w:rStyle w:val="CommentReference"/>
                <w:rFonts w:asciiTheme="minorHAnsi" w:eastAsiaTheme="minorHAnsi" w:hAnsiTheme="minorHAnsi" w:cstheme="minorBidi"/>
              </w:rPr>
              <w:commentReference w:id="93"/>
            </w:r>
            <w:commentRangeEnd w:id="94"/>
            <w:r w:rsidR="00FA2D71">
              <w:rPr>
                <w:rStyle w:val="CommentReference"/>
                <w:rFonts w:asciiTheme="minorHAnsi" w:eastAsiaTheme="minorHAnsi" w:hAnsiTheme="minorHAnsi" w:cstheme="minorBidi"/>
              </w:rPr>
              <w:commentReference w:id="94"/>
            </w:r>
            <w:commentRangeEnd w:id="95"/>
            <w:r w:rsidR="00432FA0">
              <w:rPr>
                <w:rStyle w:val="CommentReference"/>
                <w:rFonts w:asciiTheme="minorHAnsi" w:eastAsiaTheme="minorHAnsi" w:hAnsiTheme="minorHAnsi" w:cstheme="minorBidi"/>
              </w:rPr>
              <w:commentReference w:id="95"/>
            </w:r>
          </w:p>
        </w:tc>
        <w:tc>
          <w:tcPr>
            <w:tcW w:w="2642"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413" w:type="dxa"/>
            <w:tcBorders>
              <w:bottom w:val="single" w:sz="4" w:space="0" w:color="auto"/>
            </w:tcBorders>
          </w:tcPr>
          <w:p w14:paraId="47953191" w14:textId="29E9878B" w:rsidR="00FB5EA2" w:rsidRPr="00AF1BC0" w:rsidRDefault="00EF6CD0" w:rsidP="00A57D0D">
            <w:pPr>
              <w:jc w:val="center"/>
            </w:pPr>
            <w:r>
              <w:t>2.41</w:t>
            </w:r>
          </w:p>
        </w:tc>
        <w:tc>
          <w:tcPr>
            <w:tcW w:w="1556" w:type="dxa"/>
            <w:tcBorders>
              <w:bottom w:val="single" w:sz="4" w:space="0" w:color="auto"/>
            </w:tcBorders>
          </w:tcPr>
          <w:p w14:paraId="419B749F" w14:textId="5AF169B6" w:rsidR="00FB5EA2" w:rsidRPr="00AF1BC0" w:rsidRDefault="00EF6CD0" w:rsidP="00A57D0D">
            <w:pPr>
              <w:jc w:val="center"/>
            </w:pPr>
            <w:r>
              <w:t>0.71</w:t>
            </w:r>
          </w:p>
        </w:tc>
      </w:tr>
    </w:tbl>
    <w:p w14:paraId="3D720BA2" w14:textId="79B5E3CC" w:rsidR="00FB5EA2" w:rsidRDefault="00FB5EA2" w:rsidP="00FB5EA2">
      <w:pPr>
        <w:spacing w:line="480" w:lineRule="auto"/>
      </w:pPr>
      <w:r w:rsidRPr="00AF1BC0">
        <w:t>RMSE denotes root mean squared error</w:t>
      </w:r>
      <w:r>
        <w:t>.</w:t>
      </w:r>
    </w:p>
    <w:p w14:paraId="055865DA" w14:textId="0CE8B33A" w:rsidR="00A37EB2"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lastRenderedPageBreak/>
        <w:br w:type="page"/>
      </w:r>
    </w:p>
    <w:p w14:paraId="22E932A4" w14:textId="77777777" w:rsidR="00985CCA" w:rsidRDefault="00985CCA" w:rsidP="00596ACE">
      <w:pPr>
        <w:pStyle w:val="NormalWeb"/>
        <w:spacing w:before="0" w:beforeAutospacing="0" w:after="0" w:afterAutospacing="0" w:line="480" w:lineRule="auto"/>
        <w:ind w:left="567"/>
        <w:rPr>
          <w:rStyle w:val="Strong"/>
          <w:color w:val="0E101A"/>
        </w:rPr>
      </w:pPr>
    </w:p>
    <w:p w14:paraId="46BA743F" w14:textId="4F448DC2" w:rsidR="004D1E26" w:rsidRPr="004D1E26" w:rsidRDefault="00831BE1" w:rsidP="00437338">
      <w:pPr>
        <w:pStyle w:val="NormalWeb"/>
        <w:numPr>
          <w:ilvl w:val="1"/>
          <w:numId w:val="21"/>
        </w:numPr>
        <w:spacing w:before="0" w:beforeAutospacing="0" w:after="0" w:afterAutospacing="0" w:line="480" w:lineRule="auto"/>
        <w:ind w:left="567" w:hanging="567"/>
        <w:rPr>
          <w:rStyle w:val="Strong"/>
          <w:color w:val="0E101A"/>
        </w:rPr>
      </w:pPr>
      <w:r>
        <w:rPr>
          <w:rStyle w:val="Strong"/>
          <w:color w:val="0E101A"/>
        </w:rPr>
        <w:t xml:space="preserve">Results of the </w:t>
      </w:r>
      <w:r w:rsidR="00A37EB2">
        <w:rPr>
          <w:rStyle w:val="Strong"/>
          <w:color w:val="0E101A"/>
        </w:rPr>
        <w:t>Empirical Application to</w:t>
      </w:r>
      <w:r w:rsidR="00A37EB2"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00A37EB2" w:rsidRPr="004D1E26">
        <w:rPr>
          <w:rStyle w:val="Strong"/>
          <w:color w:val="0E101A"/>
        </w:rPr>
        <w:t>Wetland Loss</w:t>
      </w:r>
    </w:p>
    <w:p w14:paraId="3B2BBF5F" w14:textId="77777777" w:rsidR="00DF0449" w:rsidRPr="00CE3ECF" w:rsidRDefault="00831BE1" w:rsidP="00831BE1">
      <w:pPr>
        <w:pStyle w:val="NormalWeb"/>
        <w:spacing w:before="0" w:beforeAutospacing="0" w:after="0" w:afterAutospacing="0" w:line="480" w:lineRule="auto"/>
        <w:ind w:firstLine="720"/>
        <w:rPr>
          <w:rFonts w:eastAsiaTheme="minorHAnsi"/>
        </w:rPr>
      </w:pPr>
      <w:bookmarkStart w:id="96" w:name="_Hlk83972491"/>
      <w:r w:rsidRPr="00CE3ECF">
        <w:rPr>
          <w:rFonts w:eastAsiaTheme="minorHAnsi"/>
        </w:rPr>
        <w:t xml:space="preserve">There are a total of 21 Saskatchewan PHJV locations. The average wetland acreage loss, between 2001 and 2011, in landscape is 5,361 acres with a standard deviation of 4,062 acres; the minimum and maximum wetland acreage loss in the same period are 928 acres and 16,206 acres, respectively. Moreover, the average willing to pay in the Saskatchewan PHJV landscape is $20/household/year with a standard deviation of </w:t>
      </w:r>
      <w:r w:rsidR="00DF0449" w:rsidRPr="00CE3ECF">
        <w:rPr>
          <w:rFonts w:eastAsiaTheme="minorHAnsi"/>
        </w:rPr>
        <w:t xml:space="preserve">$7/household/year; the minimum and maximum WTP in the location are $10/household/year and $34/household/year, respectively. There is a positive relationship between WTP and wetland acreage loss, which shows that households in the Saskatchewan PHJV landscape will be willing to pay more to conserve greater wetland acres (Figure 2). Also, households living outside the Saskatchewan PHJV locations are willing to pay less (average of $6/household/year) to retain/restore the wetland acreage loss contrast compared to households residing in the locations ($20/household/year). </w:t>
      </w:r>
    </w:p>
    <w:p w14:paraId="34FFD486" w14:textId="02A7CC18" w:rsidR="00CE3ECF" w:rsidRPr="00CE3ECF" w:rsidRDefault="00831BE1" w:rsidP="00831BE1">
      <w:pPr>
        <w:pStyle w:val="NormalWeb"/>
        <w:spacing w:before="0" w:beforeAutospacing="0" w:after="0" w:afterAutospacing="0" w:line="480" w:lineRule="auto"/>
        <w:ind w:firstLine="720"/>
        <w:rPr>
          <w:rFonts w:eastAsiaTheme="minorHAnsi"/>
        </w:rPr>
      </w:pPr>
      <w:r w:rsidRPr="00CE3ECF">
        <w:rPr>
          <w:rFonts w:eastAsiaTheme="minorHAnsi"/>
        </w:rPr>
        <w:t xml:space="preserve">The mean household size for the RMs for the 21 PHJV locations where the wetlands are located is </w:t>
      </w:r>
      <w:r w:rsidR="00DF0449" w:rsidRPr="00CE3ECF">
        <w:rPr>
          <w:rFonts w:eastAsiaTheme="minorHAnsi"/>
        </w:rPr>
        <w:t>249</w:t>
      </w:r>
      <w:r w:rsidRPr="00CE3ECF">
        <w:rPr>
          <w:rFonts w:eastAsiaTheme="minorHAnsi"/>
        </w:rPr>
        <w:t xml:space="preserve"> with a standard deviation of </w:t>
      </w:r>
      <w:r w:rsidR="00DF0449" w:rsidRPr="00CE3ECF">
        <w:rPr>
          <w:rFonts w:eastAsiaTheme="minorHAnsi"/>
        </w:rPr>
        <w:t>240; a</w:t>
      </w:r>
      <w:r w:rsidRPr="00CE3ECF">
        <w:rPr>
          <w:rFonts w:eastAsiaTheme="minorHAnsi"/>
        </w:rPr>
        <w:t xml:space="preserve">lso, the minimum and minimum RM household size are </w:t>
      </w:r>
      <w:r w:rsidR="00DF0449" w:rsidRPr="00CE3ECF">
        <w:rPr>
          <w:rFonts w:eastAsiaTheme="minorHAnsi"/>
        </w:rPr>
        <w:t>70</w:t>
      </w:r>
      <w:r w:rsidRPr="00CE3ECF">
        <w:rPr>
          <w:rFonts w:eastAsiaTheme="minorHAnsi"/>
        </w:rPr>
        <w:t xml:space="preserve"> and </w:t>
      </w:r>
      <w:r w:rsidR="00DF0449" w:rsidRPr="00CE3ECF">
        <w:rPr>
          <w:rFonts w:eastAsiaTheme="minorHAnsi"/>
        </w:rPr>
        <w:t xml:space="preserve">1,055, respectively. </w:t>
      </w:r>
      <w:commentRangeStart w:id="97"/>
      <w:r w:rsidR="00DF0449" w:rsidRPr="00CE3ECF">
        <w:rPr>
          <w:rFonts w:eastAsiaTheme="minorHAnsi"/>
        </w:rPr>
        <w:t>T</w:t>
      </w:r>
      <w:r w:rsidRPr="00CE3ECF">
        <w:rPr>
          <w:rFonts w:eastAsiaTheme="minorHAnsi"/>
        </w:rPr>
        <w:t xml:space="preserve">he total number of households in Canada is </w:t>
      </w:r>
      <w:r w:rsidR="00CE3ECF" w:rsidRPr="00CE3ECF">
        <w:rPr>
          <w:rFonts w:eastAsiaTheme="minorHAnsi"/>
        </w:rPr>
        <w:t>432,620</w:t>
      </w:r>
      <w:commentRangeEnd w:id="97"/>
      <w:r w:rsidR="00432FA0">
        <w:rPr>
          <w:rStyle w:val="CommentReference"/>
          <w:rFonts w:asciiTheme="minorHAnsi" w:eastAsiaTheme="minorHAnsi" w:hAnsiTheme="minorHAnsi" w:cstheme="minorBidi"/>
        </w:rPr>
        <w:commentReference w:id="97"/>
      </w:r>
      <w:r w:rsidR="00CE3ECF" w:rsidRPr="00CE3ECF">
        <w:rPr>
          <w:rFonts w:eastAsiaTheme="minorHAnsi"/>
        </w:rPr>
        <w:t xml:space="preserve">; </w:t>
      </w:r>
      <w:r w:rsidR="00F77105">
        <w:rPr>
          <w:rFonts w:eastAsiaTheme="minorHAnsi"/>
        </w:rPr>
        <w:t xml:space="preserve">regarding </w:t>
      </w:r>
      <w:r w:rsidR="00CE3ECF" w:rsidRPr="00CE3ECF">
        <w:rPr>
          <w:rFonts w:eastAsiaTheme="minorHAnsi"/>
        </w:rPr>
        <w:t xml:space="preserve">the RMs in the Saskatchewan PHJV locations, the maximum and minimum number of households living outside the RMs are 432,550 and 431,565, respectively, with a mean of 432,371 (and standard deviation: 240). </w:t>
      </w:r>
      <w:r w:rsidR="003073B2">
        <w:rPr>
          <w:rFonts w:eastAsiaTheme="minorHAnsi"/>
        </w:rPr>
        <w:t>The above summary statistics are reported in Table 6.</w:t>
      </w:r>
    </w:p>
    <w:p w14:paraId="7FF53F32" w14:textId="46A68B6D" w:rsidR="00CE3ECF" w:rsidRDefault="00CE3ECF" w:rsidP="00831BE1">
      <w:pPr>
        <w:pStyle w:val="NormalWeb"/>
        <w:spacing w:before="0" w:beforeAutospacing="0" w:after="0" w:afterAutospacing="0" w:line="480" w:lineRule="auto"/>
        <w:ind w:firstLine="720"/>
        <w:rPr>
          <w:rFonts w:eastAsiaTheme="minorHAnsi"/>
          <w:highlight w:val="yellow"/>
        </w:rPr>
      </w:pPr>
    </w:p>
    <w:p w14:paraId="7E3FA37E" w14:textId="6A70233D" w:rsidR="00F77105" w:rsidRDefault="00F77105" w:rsidP="00831BE1">
      <w:pPr>
        <w:pStyle w:val="NormalWeb"/>
        <w:spacing w:before="0" w:beforeAutospacing="0" w:after="0" w:afterAutospacing="0" w:line="480" w:lineRule="auto"/>
        <w:ind w:firstLine="720"/>
        <w:rPr>
          <w:rFonts w:eastAsiaTheme="minorHAnsi"/>
          <w:highlight w:val="yellow"/>
        </w:rPr>
      </w:pPr>
    </w:p>
    <w:p w14:paraId="6B04CEC6" w14:textId="77777777" w:rsidR="00F77105" w:rsidRDefault="00F77105" w:rsidP="00831BE1">
      <w:pPr>
        <w:pStyle w:val="NormalWeb"/>
        <w:spacing w:before="0" w:beforeAutospacing="0" w:after="0" w:afterAutospacing="0" w:line="480" w:lineRule="auto"/>
        <w:ind w:firstLine="720"/>
        <w:rPr>
          <w:rFonts w:eastAsiaTheme="minorHAnsi"/>
          <w:highlight w:val="yellow"/>
        </w:rPr>
      </w:pPr>
    </w:p>
    <w:p w14:paraId="1B30E5C1" w14:textId="77777777" w:rsidR="00CE3ECF" w:rsidRPr="00631464" w:rsidRDefault="00CE3ECF" w:rsidP="00CE3ECF">
      <w:pPr>
        <w:pStyle w:val="NormalWeb"/>
        <w:spacing w:before="0" w:beforeAutospacing="0" w:after="0" w:afterAutospacing="0" w:line="480" w:lineRule="auto"/>
        <w:rPr>
          <w:rFonts w:eastAsiaTheme="minorHAnsi"/>
          <w:b/>
          <w:bCs/>
        </w:rPr>
      </w:pPr>
      <w:r w:rsidRPr="00631464">
        <w:rPr>
          <w:rFonts w:eastAsiaTheme="minorHAnsi"/>
          <w:b/>
          <w:bCs/>
        </w:rPr>
        <w:lastRenderedPageBreak/>
        <w:t>Figure 2</w:t>
      </w:r>
      <w:r>
        <w:rPr>
          <w:rFonts w:eastAsiaTheme="minorHAnsi"/>
          <w:b/>
          <w:bCs/>
        </w:rPr>
        <w:t>. Relationship Between WTP and Wetland Acreage Change (2001 to 2011) for Saskatchewan PHJV Wetland Locations</w:t>
      </w:r>
    </w:p>
    <w:p w14:paraId="3DEAE173" w14:textId="77777777" w:rsidR="00CE3ECF" w:rsidRDefault="00CE3ECF" w:rsidP="00CE3ECF">
      <w:pPr>
        <w:pStyle w:val="NormalWeb"/>
        <w:spacing w:before="0" w:beforeAutospacing="0" w:after="0" w:afterAutospacing="0" w:line="480" w:lineRule="auto"/>
        <w:rPr>
          <w:rFonts w:eastAsiaTheme="minorHAnsi"/>
        </w:rPr>
      </w:pPr>
      <w:r>
        <w:rPr>
          <w:noProof/>
          <w:lang w:val="en-CA" w:eastAsia="en-CA"/>
        </w:rPr>
        <w:drawing>
          <wp:inline distT="0" distB="0" distL="0" distR="0" wp14:anchorId="76D7C56D" wp14:editId="15CB5460">
            <wp:extent cx="5943600" cy="5709684"/>
            <wp:effectExtent l="0" t="0" r="0" b="571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5814" cy="5711811"/>
                    </a:xfrm>
                    <a:prstGeom prst="rect">
                      <a:avLst/>
                    </a:prstGeom>
                    <a:noFill/>
                    <a:ln>
                      <a:noFill/>
                    </a:ln>
                  </pic:spPr>
                </pic:pic>
              </a:graphicData>
            </a:graphic>
          </wp:inline>
        </w:drawing>
      </w:r>
    </w:p>
    <w:p w14:paraId="020D7F06"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476A933E"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27D7F5CC" w14:textId="14AF6F93" w:rsidR="003073B2" w:rsidRDefault="003073B2">
      <w:pPr>
        <w:rPr>
          <w:rFonts w:eastAsiaTheme="minorHAnsi"/>
          <w:highlight w:val="yellow"/>
        </w:rPr>
      </w:pPr>
      <w:r>
        <w:rPr>
          <w:rFonts w:eastAsiaTheme="minorHAnsi"/>
          <w:highlight w:val="yellow"/>
        </w:rPr>
        <w:br w:type="page"/>
      </w:r>
    </w:p>
    <w:p w14:paraId="3649722C" w14:textId="77777777" w:rsidR="003073B2" w:rsidRDefault="003073B2" w:rsidP="003073B2">
      <w:pPr>
        <w:rPr>
          <w:rFonts w:eastAsiaTheme="minorHAnsi"/>
          <w:b/>
        </w:rPr>
      </w:pPr>
      <w:r>
        <w:rPr>
          <w:rFonts w:eastAsiaTheme="minorHAnsi"/>
          <w:b/>
        </w:rPr>
        <w:lastRenderedPageBreak/>
        <w:t>Table 6</w:t>
      </w:r>
      <w:proofErr w:type="gramStart"/>
      <w:r>
        <w:rPr>
          <w:rFonts w:eastAsiaTheme="minorHAnsi"/>
          <w:b/>
        </w:rPr>
        <w:t xml:space="preserve">.  </w:t>
      </w:r>
      <w:proofErr w:type="gramEnd"/>
      <w:r>
        <w:rPr>
          <w:rFonts w:eastAsiaTheme="minorHAnsi"/>
          <w:b/>
        </w:rPr>
        <w:t>Estimates of Economic Loss Associated with Wetland Acreage Loss in the Saskatchewan PHJV Landscape, 2001 – 2011.</w:t>
      </w:r>
    </w:p>
    <w:tbl>
      <w:tblPr>
        <w:tblStyle w:val="PlainTable4"/>
        <w:tblW w:w="9521" w:type="dxa"/>
        <w:tblLook w:val="04A0" w:firstRow="1" w:lastRow="0" w:firstColumn="1" w:lastColumn="0" w:noHBand="0" w:noVBand="1"/>
      </w:tblPr>
      <w:tblGrid>
        <w:gridCol w:w="1544"/>
        <w:gridCol w:w="829"/>
        <w:gridCol w:w="791"/>
        <w:gridCol w:w="828"/>
        <w:gridCol w:w="1107"/>
        <w:gridCol w:w="950"/>
        <w:gridCol w:w="864"/>
        <w:gridCol w:w="1218"/>
        <w:gridCol w:w="1390"/>
      </w:tblGrid>
      <w:tr w:rsidR="003073B2" w:rsidRPr="00142D60" w14:paraId="1CA53337" w14:textId="77777777" w:rsidTr="007356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bottom w:val="single" w:sz="4" w:space="0" w:color="auto"/>
            </w:tcBorders>
            <w:noWrap/>
            <w:hideMark/>
          </w:tcPr>
          <w:p w14:paraId="3AADD8C1" w14:textId="77777777" w:rsidR="003073B2" w:rsidRPr="00142D60" w:rsidRDefault="003073B2" w:rsidP="00735601">
            <w:pPr>
              <w:rPr>
                <w:lang w:eastAsia="en-CA"/>
              </w:rPr>
            </w:pPr>
            <w:r w:rsidRPr="00142D60">
              <w:rPr>
                <w:lang w:eastAsia="en-CA"/>
              </w:rPr>
              <w:t>SK PHJV Locations</w:t>
            </w:r>
          </w:p>
        </w:tc>
        <w:tc>
          <w:tcPr>
            <w:tcW w:w="829" w:type="dxa"/>
            <w:tcBorders>
              <w:top w:val="single" w:sz="4" w:space="0" w:color="auto"/>
              <w:bottom w:val="single" w:sz="4" w:space="0" w:color="auto"/>
            </w:tcBorders>
            <w:noWrap/>
            <w:hideMark/>
          </w:tcPr>
          <w:p w14:paraId="3A6124A1"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hideMark/>
          </w:tcPr>
          <w:p w14:paraId="3BC6F706"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828" w:type="dxa"/>
            <w:tcBorders>
              <w:top w:val="single" w:sz="4" w:space="0" w:color="auto"/>
              <w:bottom w:val="single" w:sz="4" w:space="0" w:color="auto"/>
            </w:tcBorders>
            <w:noWrap/>
            <w:hideMark/>
          </w:tcPr>
          <w:p w14:paraId="5AFF8668"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107" w:type="dxa"/>
            <w:tcBorders>
              <w:top w:val="single" w:sz="4" w:space="0" w:color="auto"/>
              <w:bottom w:val="single" w:sz="4" w:space="0" w:color="auto"/>
            </w:tcBorders>
            <w:noWrap/>
            <w:hideMark/>
          </w:tcPr>
          <w:p w14:paraId="17D42CD5"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hideMark/>
          </w:tcPr>
          <w:p w14:paraId="41C8B42E"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864" w:type="dxa"/>
            <w:tcBorders>
              <w:top w:val="single" w:sz="4" w:space="0" w:color="auto"/>
              <w:bottom w:val="single" w:sz="4" w:space="0" w:color="auto"/>
            </w:tcBorders>
            <w:noWrap/>
            <w:hideMark/>
          </w:tcPr>
          <w:p w14:paraId="4BB52985"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18" w:type="dxa"/>
            <w:tcBorders>
              <w:top w:val="single" w:sz="4" w:space="0" w:color="auto"/>
              <w:bottom w:val="single" w:sz="4" w:space="0" w:color="auto"/>
            </w:tcBorders>
            <w:noWrap/>
            <w:hideMark/>
          </w:tcPr>
          <w:p w14:paraId="0006A0DF"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hideMark/>
          </w:tcPr>
          <w:p w14:paraId="19563E6A" w14:textId="77777777" w:rsidR="003073B2" w:rsidRPr="00142D60" w:rsidRDefault="003073B2" w:rsidP="00735601">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77DB0AA" w14:textId="77777777" w:rsidTr="0073560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tcBorders>
            <w:noWrap/>
          </w:tcPr>
          <w:p w14:paraId="08AA89C9" w14:textId="77777777" w:rsidR="003073B2" w:rsidRPr="00142D60" w:rsidRDefault="003073B2" w:rsidP="00735601">
            <w:pPr>
              <w:rPr>
                <w:b w:val="0"/>
                <w:bCs w:val="0"/>
                <w:lang w:eastAsia="en-CA"/>
              </w:rPr>
            </w:pPr>
            <w:r w:rsidRPr="00142D60">
              <w:rPr>
                <w:b w:val="0"/>
                <w:bCs w:val="0"/>
                <w:lang w:eastAsia="en-CA"/>
              </w:rPr>
              <w:t>Lightning</w:t>
            </w:r>
          </w:p>
        </w:tc>
        <w:tc>
          <w:tcPr>
            <w:tcW w:w="829" w:type="dxa"/>
            <w:tcBorders>
              <w:top w:val="single" w:sz="4" w:space="0" w:color="auto"/>
            </w:tcBorders>
            <w:noWrap/>
          </w:tcPr>
          <w:p w14:paraId="1174AC4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top w:val="single" w:sz="4" w:space="0" w:color="auto"/>
            </w:tcBorders>
            <w:noWrap/>
          </w:tcPr>
          <w:p w14:paraId="4400F0F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34.42</w:t>
            </w:r>
          </w:p>
        </w:tc>
        <w:tc>
          <w:tcPr>
            <w:tcW w:w="828" w:type="dxa"/>
            <w:tcBorders>
              <w:top w:val="single" w:sz="4" w:space="0" w:color="auto"/>
            </w:tcBorders>
            <w:noWrap/>
          </w:tcPr>
          <w:p w14:paraId="7329D64D"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185</w:t>
            </w:r>
          </w:p>
        </w:tc>
        <w:tc>
          <w:tcPr>
            <w:tcW w:w="1107" w:type="dxa"/>
            <w:tcBorders>
              <w:top w:val="single" w:sz="4" w:space="0" w:color="auto"/>
            </w:tcBorders>
            <w:noWrap/>
          </w:tcPr>
          <w:p w14:paraId="270F3140"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432,435</w:t>
            </w:r>
          </w:p>
        </w:tc>
        <w:tc>
          <w:tcPr>
            <w:tcW w:w="950" w:type="dxa"/>
            <w:tcBorders>
              <w:top w:val="single" w:sz="4" w:space="0" w:color="auto"/>
            </w:tcBorders>
            <w:noWrap/>
          </w:tcPr>
          <w:p w14:paraId="0CE11FAC"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9.79</w:t>
            </w:r>
          </w:p>
        </w:tc>
        <w:tc>
          <w:tcPr>
            <w:tcW w:w="864" w:type="dxa"/>
            <w:tcBorders>
              <w:top w:val="single" w:sz="4" w:space="0" w:color="auto"/>
            </w:tcBorders>
            <w:noWrap/>
          </w:tcPr>
          <w:p w14:paraId="3388BE89"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6,368</w:t>
            </w:r>
          </w:p>
        </w:tc>
        <w:tc>
          <w:tcPr>
            <w:tcW w:w="1218" w:type="dxa"/>
            <w:tcBorders>
              <w:top w:val="single" w:sz="4" w:space="0" w:color="auto"/>
            </w:tcBorders>
            <w:noWrap/>
          </w:tcPr>
          <w:p w14:paraId="20025853"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4,232,679</w:t>
            </w:r>
          </w:p>
        </w:tc>
        <w:tc>
          <w:tcPr>
            <w:tcW w:w="1390" w:type="dxa"/>
            <w:tcBorders>
              <w:top w:val="single" w:sz="4" w:space="0" w:color="auto"/>
            </w:tcBorders>
            <w:noWrap/>
          </w:tcPr>
          <w:p w14:paraId="150337BB" w14:textId="77777777" w:rsidR="003073B2" w:rsidRPr="00142D60" w:rsidRDefault="003073B2" w:rsidP="00735601">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4,239,047</w:t>
            </w:r>
          </w:p>
        </w:tc>
      </w:tr>
      <w:tr w:rsidR="003073B2" w:rsidRPr="00142D60" w14:paraId="41D23F85" w14:textId="77777777" w:rsidTr="00735601">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BEF3848" w14:textId="77777777" w:rsidR="003073B2" w:rsidRPr="00142D60" w:rsidRDefault="003073B2" w:rsidP="00735601">
            <w:pPr>
              <w:rPr>
                <w:b w:val="0"/>
                <w:bCs w:val="0"/>
                <w:lang w:eastAsia="en-CA"/>
              </w:rPr>
            </w:pPr>
            <w:r w:rsidRPr="00142D60">
              <w:rPr>
                <w:b w:val="0"/>
                <w:bCs w:val="0"/>
                <w:lang w:eastAsia="en-CA"/>
              </w:rPr>
              <w:t>Touchwood</w:t>
            </w:r>
          </w:p>
        </w:tc>
        <w:tc>
          <w:tcPr>
            <w:tcW w:w="829" w:type="dxa"/>
            <w:noWrap/>
          </w:tcPr>
          <w:p w14:paraId="534F09C8"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12,901</w:t>
            </w:r>
          </w:p>
        </w:tc>
        <w:tc>
          <w:tcPr>
            <w:tcW w:w="791" w:type="dxa"/>
            <w:noWrap/>
          </w:tcPr>
          <w:p w14:paraId="1A371F9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31.03</w:t>
            </w:r>
          </w:p>
        </w:tc>
        <w:tc>
          <w:tcPr>
            <w:tcW w:w="828" w:type="dxa"/>
            <w:noWrap/>
          </w:tcPr>
          <w:p w14:paraId="4FC3A6D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1FE46EC8"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197ABEF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8.82</w:t>
            </w:r>
          </w:p>
        </w:tc>
        <w:tc>
          <w:tcPr>
            <w:tcW w:w="864" w:type="dxa"/>
            <w:noWrap/>
          </w:tcPr>
          <w:p w14:paraId="14FD723C"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4,035</w:t>
            </w:r>
          </w:p>
        </w:tc>
        <w:tc>
          <w:tcPr>
            <w:tcW w:w="1218" w:type="dxa"/>
            <w:noWrap/>
          </w:tcPr>
          <w:p w14:paraId="5A143379"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3,816,654</w:t>
            </w:r>
          </w:p>
        </w:tc>
        <w:tc>
          <w:tcPr>
            <w:tcW w:w="1390" w:type="dxa"/>
            <w:noWrap/>
          </w:tcPr>
          <w:p w14:paraId="5407945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3,820,688</w:t>
            </w:r>
          </w:p>
        </w:tc>
      </w:tr>
      <w:tr w:rsidR="003073B2" w:rsidRPr="00142D60" w14:paraId="3CF6B884" w14:textId="77777777" w:rsidTr="00735601">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39DBA576" w14:textId="77777777" w:rsidR="003073B2" w:rsidRPr="00142D60" w:rsidRDefault="003073B2" w:rsidP="00735601">
            <w:pPr>
              <w:rPr>
                <w:lang w:eastAsia="en-CA"/>
              </w:rPr>
            </w:pPr>
            <w:r w:rsidRPr="00142D60">
              <w:rPr>
                <w:b w:val="0"/>
                <w:bCs w:val="0"/>
                <w:lang w:eastAsia="en-CA"/>
              </w:rPr>
              <w:t xml:space="preserve">Upper </w:t>
            </w:r>
          </w:p>
          <w:p w14:paraId="3A677908" w14:textId="77777777" w:rsidR="003073B2" w:rsidRPr="00142D60" w:rsidRDefault="003073B2" w:rsidP="00735601">
            <w:pPr>
              <w:rPr>
                <w:b w:val="0"/>
                <w:bCs w:val="0"/>
                <w:lang w:eastAsia="en-CA"/>
              </w:rPr>
            </w:pPr>
            <w:r w:rsidRPr="00142D60">
              <w:rPr>
                <w:b w:val="0"/>
                <w:bCs w:val="0"/>
                <w:lang w:eastAsia="en-CA"/>
              </w:rPr>
              <w:t>Assiniboine</w:t>
            </w:r>
          </w:p>
        </w:tc>
        <w:tc>
          <w:tcPr>
            <w:tcW w:w="829" w:type="dxa"/>
            <w:noWrap/>
          </w:tcPr>
          <w:p w14:paraId="2E9B079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10,624</w:t>
            </w:r>
          </w:p>
        </w:tc>
        <w:tc>
          <w:tcPr>
            <w:tcW w:w="791" w:type="dxa"/>
            <w:noWrap/>
          </w:tcPr>
          <w:p w14:paraId="0C7F03F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28.47</w:t>
            </w:r>
          </w:p>
        </w:tc>
        <w:tc>
          <w:tcPr>
            <w:tcW w:w="828" w:type="dxa"/>
            <w:noWrap/>
          </w:tcPr>
          <w:p w14:paraId="7FC8324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460</w:t>
            </w:r>
          </w:p>
        </w:tc>
        <w:tc>
          <w:tcPr>
            <w:tcW w:w="1107" w:type="dxa"/>
            <w:noWrap/>
          </w:tcPr>
          <w:p w14:paraId="3E3EEC26"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432,160</w:t>
            </w:r>
          </w:p>
        </w:tc>
        <w:tc>
          <w:tcPr>
            <w:tcW w:w="950" w:type="dxa"/>
            <w:noWrap/>
          </w:tcPr>
          <w:p w14:paraId="0EF6339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8.10</w:t>
            </w:r>
          </w:p>
        </w:tc>
        <w:tc>
          <w:tcPr>
            <w:tcW w:w="864" w:type="dxa"/>
            <w:noWrap/>
          </w:tcPr>
          <w:p w14:paraId="1624F94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13,098</w:t>
            </w:r>
          </w:p>
        </w:tc>
        <w:tc>
          <w:tcPr>
            <w:tcW w:w="1218" w:type="dxa"/>
            <w:noWrap/>
          </w:tcPr>
          <w:p w14:paraId="237BC3B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3,498,921</w:t>
            </w:r>
          </w:p>
        </w:tc>
        <w:tc>
          <w:tcPr>
            <w:tcW w:w="1390" w:type="dxa"/>
            <w:noWrap/>
          </w:tcPr>
          <w:p w14:paraId="5E10937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3,512,019</w:t>
            </w:r>
          </w:p>
        </w:tc>
      </w:tr>
      <w:tr w:rsidR="003073B2" w:rsidRPr="00142D60" w14:paraId="680F3388" w14:textId="77777777" w:rsidTr="00735601">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01169D5" w14:textId="77777777" w:rsidR="003073B2" w:rsidRPr="00142D60" w:rsidRDefault="003073B2" w:rsidP="00735601">
            <w:pPr>
              <w:rPr>
                <w:b w:val="0"/>
                <w:bCs w:val="0"/>
                <w:lang w:eastAsia="en-CA"/>
              </w:rPr>
            </w:pPr>
            <w:r w:rsidRPr="00142D60">
              <w:rPr>
                <w:b w:val="0"/>
                <w:bCs w:val="0"/>
                <w:lang w:eastAsia="en-CA"/>
              </w:rPr>
              <w:t>Dana Hills</w:t>
            </w:r>
          </w:p>
        </w:tc>
        <w:tc>
          <w:tcPr>
            <w:tcW w:w="829" w:type="dxa"/>
            <w:noWrap/>
          </w:tcPr>
          <w:p w14:paraId="1715EDF8"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8,648</w:t>
            </w:r>
          </w:p>
        </w:tc>
        <w:tc>
          <w:tcPr>
            <w:tcW w:w="791" w:type="dxa"/>
            <w:noWrap/>
          </w:tcPr>
          <w:p w14:paraId="3F56F18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25.99</w:t>
            </w:r>
          </w:p>
        </w:tc>
        <w:tc>
          <w:tcPr>
            <w:tcW w:w="828" w:type="dxa"/>
            <w:noWrap/>
          </w:tcPr>
          <w:p w14:paraId="057D796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155</w:t>
            </w:r>
          </w:p>
        </w:tc>
        <w:tc>
          <w:tcPr>
            <w:tcW w:w="1107" w:type="dxa"/>
            <w:noWrap/>
          </w:tcPr>
          <w:p w14:paraId="39A638D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432,465</w:t>
            </w:r>
          </w:p>
        </w:tc>
        <w:tc>
          <w:tcPr>
            <w:tcW w:w="950" w:type="dxa"/>
            <w:noWrap/>
          </w:tcPr>
          <w:p w14:paraId="38DF1ED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7.39</w:t>
            </w:r>
          </w:p>
        </w:tc>
        <w:tc>
          <w:tcPr>
            <w:tcW w:w="864" w:type="dxa"/>
            <w:noWrap/>
          </w:tcPr>
          <w:p w14:paraId="62AFFC2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4,028</w:t>
            </w:r>
          </w:p>
        </w:tc>
        <w:tc>
          <w:tcPr>
            <w:tcW w:w="1218" w:type="dxa"/>
            <w:noWrap/>
          </w:tcPr>
          <w:p w14:paraId="1469EF7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3,195,479</w:t>
            </w:r>
          </w:p>
        </w:tc>
        <w:tc>
          <w:tcPr>
            <w:tcW w:w="1390" w:type="dxa"/>
            <w:noWrap/>
          </w:tcPr>
          <w:p w14:paraId="3F137228"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3,199,507</w:t>
            </w:r>
          </w:p>
        </w:tc>
      </w:tr>
      <w:tr w:rsidR="003073B2" w:rsidRPr="00142D60" w14:paraId="0699B989" w14:textId="77777777" w:rsidTr="00735601">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2A38E1CB" w14:textId="77777777" w:rsidR="003073B2" w:rsidRPr="00142D60" w:rsidRDefault="003073B2" w:rsidP="00735601">
            <w:pPr>
              <w:rPr>
                <w:b w:val="0"/>
                <w:bCs w:val="0"/>
                <w:lang w:eastAsia="en-CA"/>
              </w:rPr>
            </w:pPr>
            <w:r w:rsidRPr="00142D60">
              <w:rPr>
                <w:b w:val="0"/>
                <w:bCs w:val="0"/>
                <w:lang w:eastAsia="en-CA"/>
              </w:rPr>
              <w:t>Coteau South</w:t>
            </w:r>
          </w:p>
        </w:tc>
        <w:tc>
          <w:tcPr>
            <w:tcW w:w="829" w:type="dxa"/>
            <w:noWrap/>
          </w:tcPr>
          <w:p w14:paraId="633AE61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8,367</w:t>
            </w:r>
          </w:p>
        </w:tc>
        <w:tc>
          <w:tcPr>
            <w:tcW w:w="791" w:type="dxa"/>
            <w:noWrap/>
          </w:tcPr>
          <w:p w14:paraId="659AB74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25.73</w:t>
            </w:r>
          </w:p>
        </w:tc>
        <w:tc>
          <w:tcPr>
            <w:tcW w:w="828" w:type="dxa"/>
            <w:noWrap/>
          </w:tcPr>
          <w:p w14:paraId="7B77243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24B46B7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388C14F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7.32</w:t>
            </w:r>
          </w:p>
        </w:tc>
        <w:tc>
          <w:tcPr>
            <w:tcW w:w="864" w:type="dxa"/>
            <w:noWrap/>
          </w:tcPr>
          <w:p w14:paraId="710C316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4,760</w:t>
            </w:r>
          </w:p>
        </w:tc>
        <w:tc>
          <w:tcPr>
            <w:tcW w:w="1218" w:type="dxa"/>
            <w:noWrap/>
          </w:tcPr>
          <w:p w14:paraId="7BD0EE3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3,163,953</w:t>
            </w:r>
          </w:p>
        </w:tc>
        <w:tc>
          <w:tcPr>
            <w:tcW w:w="1390" w:type="dxa"/>
            <w:noWrap/>
          </w:tcPr>
          <w:p w14:paraId="194EFF0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3,168,713</w:t>
            </w:r>
          </w:p>
        </w:tc>
      </w:tr>
      <w:tr w:rsidR="003073B2" w:rsidRPr="00142D60" w14:paraId="1C3732FF" w14:textId="77777777" w:rsidTr="00735601">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526F6D06" w14:textId="77777777" w:rsidR="003073B2" w:rsidRPr="00142D60" w:rsidRDefault="003073B2" w:rsidP="00735601">
            <w:pPr>
              <w:rPr>
                <w:b w:val="0"/>
                <w:bCs w:val="0"/>
                <w:lang w:eastAsia="en-CA"/>
              </w:rPr>
            </w:pPr>
            <w:r w:rsidRPr="00142D60">
              <w:rPr>
                <w:b w:val="0"/>
                <w:bCs w:val="0"/>
                <w:lang w:eastAsia="en-CA"/>
              </w:rPr>
              <w:t>Lenore/</w:t>
            </w:r>
            <w:proofErr w:type="spellStart"/>
            <w:r w:rsidRPr="00142D60">
              <w:rPr>
                <w:b w:val="0"/>
                <w:bCs w:val="0"/>
                <w:lang w:eastAsia="en-CA"/>
              </w:rPr>
              <w:t>Ponass</w:t>
            </w:r>
            <w:proofErr w:type="spellEnd"/>
          </w:p>
        </w:tc>
        <w:tc>
          <w:tcPr>
            <w:tcW w:w="829" w:type="dxa"/>
            <w:noWrap/>
          </w:tcPr>
          <w:p w14:paraId="17B6581F"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6,943</w:t>
            </w:r>
          </w:p>
        </w:tc>
        <w:tc>
          <w:tcPr>
            <w:tcW w:w="791" w:type="dxa"/>
            <w:noWrap/>
          </w:tcPr>
          <w:p w14:paraId="495F680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23.56</w:t>
            </w:r>
          </w:p>
        </w:tc>
        <w:tc>
          <w:tcPr>
            <w:tcW w:w="828" w:type="dxa"/>
            <w:noWrap/>
          </w:tcPr>
          <w:p w14:paraId="6C272C1C"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215</w:t>
            </w:r>
          </w:p>
        </w:tc>
        <w:tc>
          <w:tcPr>
            <w:tcW w:w="1107" w:type="dxa"/>
            <w:noWrap/>
          </w:tcPr>
          <w:p w14:paraId="35D41E4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432,405</w:t>
            </w:r>
          </w:p>
        </w:tc>
        <w:tc>
          <w:tcPr>
            <w:tcW w:w="950" w:type="dxa"/>
            <w:noWrap/>
          </w:tcPr>
          <w:p w14:paraId="2599E65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6.70</w:t>
            </w:r>
          </w:p>
        </w:tc>
        <w:tc>
          <w:tcPr>
            <w:tcW w:w="864" w:type="dxa"/>
            <w:noWrap/>
          </w:tcPr>
          <w:p w14:paraId="1C26E7C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5,065</w:t>
            </w:r>
          </w:p>
        </w:tc>
        <w:tc>
          <w:tcPr>
            <w:tcW w:w="1218" w:type="dxa"/>
            <w:noWrap/>
          </w:tcPr>
          <w:p w14:paraId="1B95C7E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2,896,729</w:t>
            </w:r>
          </w:p>
        </w:tc>
        <w:tc>
          <w:tcPr>
            <w:tcW w:w="1390" w:type="dxa"/>
            <w:noWrap/>
          </w:tcPr>
          <w:p w14:paraId="5C21EAB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2,901,794</w:t>
            </w:r>
          </w:p>
        </w:tc>
      </w:tr>
      <w:tr w:rsidR="003073B2" w:rsidRPr="00142D60" w14:paraId="29B36872"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0CAC2E6A" w14:textId="77777777" w:rsidR="003073B2" w:rsidRPr="00142D60" w:rsidRDefault="003073B2" w:rsidP="00735601">
            <w:pPr>
              <w:rPr>
                <w:b w:val="0"/>
                <w:bCs w:val="0"/>
                <w:lang w:eastAsia="en-CA"/>
              </w:rPr>
            </w:pPr>
            <w:r w:rsidRPr="00142D60">
              <w:rPr>
                <w:b w:val="0"/>
                <w:bCs w:val="0"/>
                <w:lang w:eastAsia="en-CA"/>
              </w:rPr>
              <w:t>Coteau Central</w:t>
            </w:r>
          </w:p>
        </w:tc>
        <w:tc>
          <w:tcPr>
            <w:tcW w:w="829" w:type="dxa"/>
            <w:noWrap/>
            <w:hideMark/>
          </w:tcPr>
          <w:p w14:paraId="447D60D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5,904</w:t>
            </w:r>
          </w:p>
        </w:tc>
        <w:tc>
          <w:tcPr>
            <w:tcW w:w="791" w:type="dxa"/>
            <w:noWrap/>
            <w:hideMark/>
          </w:tcPr>
          <w:p w14:paraId="18F7F045"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22.07</w:t>
            </w:r>
          </w:p>
        </w:tc>
        <w:tc>
          <w:tcPr>
            <w:tcW w:w="828" w:type="dxa"/>
            <w:noWrap/>
            <w:hideMark/>
          </w:tcPr>
          <w:p w14:paraId="7AC93F56"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hideMark/>
          </w:tcPr>
          <w:p w14:paraId="158FAFE5"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hideMark/>
          </w:tcPr>
          <w:p w14:paraId="445B9C2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6.28</w:t>
            </w:r>
          </w:p>
        </w:tc>
        <w:tc>
          <w:tcPr>
            <w:tcW w:w="864" w:type="dxa"/>
            <w:noWrap/>
            <w:hideMark/>
          </w:tcPr>
          <w:p w14:paraId="0982C50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4,083</w:t>
            </w:r>
          </w:p>
        </w:tc>
        <w:tc>
          <w:tcPr>
            <w:tcW w:w="1218" w:type="dxa"/>
            <w:noWrap/>
            <w:hideMark/>
          </w:tcPr>
          <w:p w14:paraId="78CDB29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2,714,063</w:t>
            </w:r>
          </w:p>
        </w:tc>
        <w:tc>
          <w:tcPr>
            <w:tcW w:w="1390" w:type="dxa"/>
            <w:noWrap/>
            <w:hideMark/>
          </w:tcPr>
          <w:p w14:paraId="0648961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2,718,147</w:t>
            </w:r>
          </w:p>
        </w:tc>
      </w:tr>
      <w:tr w:rsidR="003073B2" w:rsidRPr="00142D60" w14:paraId="6033FC50" w14:textId="77777777" w:rsidTr="00735601">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2BAA0B3" w14:textId="77777777" w:rsidR="003073B2" w:rsidRPr="00142D60" w:rsidRDefault="003073B2" w:rsidP="00735601">
            <w:pPr>
              <w:rPr>
                <w:b w:val="0"/>
                <w:bCs w:val="0"/>
                <w:lang w:eastAsia="en-CA"/>
              </w:rPr>
            </w:pPr>
            <w:r w:rsidRPr="00142D60">
              <w:rPr>
                <w:b w:val="0"/>
                <w:bCs w:val="0"/>
                <w:lang w:eastAsia="en-CA"/>
              </w:rPr>
              <w:t>Cactus Lake</w:t>
            </w:r>
          </w:p>
        </w:tc>
        <w:tc>
          <w:tcPr>
            <w:tcW w:w="829" w:type="dxa"/>
            <w:noWrap/>
          </w:tcPr>
          <w:p w14:paraId="2CB3D13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5,591</w:t>
            </w:r>
          </w:p>
        </w:tc>
        <w:tc>
          <w:tcPr>
            <w:tcW w:w="791" w:type="dxa"/>
            <w:noWrap/>
          </w:tcPr>
          <w:p w14:paraId="096DEAD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21.39</w:t>
            </w:r>
          </w:p>
        </w:tc>
        <w:tc>
          <w:tcPr>
            <w:tcW w:w="828" w:type="dxa"/>
            <w:noWrap/>
          </w:tcPr>
          <w:p w14:paraId="58D64AD6"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95</w:t>
            </w:r>
          </w:p>
        </w:tc>
        <w:tc>
          <w:tcPr>
            <w:tcW w:w="1107" w:type="dxa"/>
            <w:noWrap/>
          </w:tcPr>
          <w:p w14:paraId="3001D7B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432,525</w:t>
            </w:r>
          </w:p>
        </w:tc>
        <w:tc>
          <w:tcPr>
            <w:tcW w:w="950" w:type="dxa"/>
            <w:noWrap/>
          </w:tcPr>
          <w:p w14:paraId="51BCAD5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6.08</w:t>
            </w:r>
          </w:p>
        </w:tc>
        <w:tc>
          <w:tcPr>
            <w:tcW w:w="864" w:type="dxa"/>
            <w:noWrap/>
          </w:tcPr>
          <w:p w14:paraId="4E52CF1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2,032</w:t>
            </w:r>
          </w:p>
        </w:tc>
        <w:tc>
          <w:tcPr>
            <w:tcW w:w="1218" w:type="dxa"/>
            <w:noWrap/>
          </w:tcPr>
          <w:p w14:paraId="59DFF2E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2,630,842</w:t>
            </w:r>
          </w:p>
        </w:tc>
        <w:tc>
          <w:tcPr>
            <w:tcW w:w="1390" w:type="dxa"/>
            <w:noWrap/>
          </w:tcPr>
          <w:p w14:paraId="7F75AB2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2,632,874</w:t>
            </w:r>
          </w:p>
        </w:tc>
      </w:tr>
      <w:tr w:rsidR="003073B2" w:rsidRPr="00142D60" w14:paraId="6B6E0155" w14:textId="77777777" w:rsidTr="00735601">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456380B9" w14:textId="77777777" w:rsidR="003073B2" w:rsidRPr="00142D60" w:rsidRDefault="003073B2" w:rsidP="00735601">
            <w:pPr>
              <w:rPr>
                <w:lang w:eastAsia="en-CA"/>
              </w:rPr>
            </w:pPr>
            <w:r w:rsidRPr="00142D60">
              <w:rPr>
                <w:b w:val="0"/>
                <w:bCs w:val="0"/>
                <w:lang w:eastAsia="en-CA"/>
              </w:rPr>
              <w:t xml:space="preserve">Tramping </w:t>
            </w:r>
          </w:p>
          <w:p w14:paraId="154E161F" w14:textId="77777777" w:rsidR="003073B2" w:rsidRPr="00142D60" w:rsidRDefault="003073B2" w:rsidP="00735601">
            <w:pPr>
              <w:rPr>
                <w:b w:val="0"/>
                <w:bCs w:val="0"/>
                <w:lang w:eastAsia="en-CA"/>
              </w:rPr>
            </w:pPr>
            <w:r w:rsidRPr="00142D60">
              <w:rPr>
                <w:b w:val="0"/>
                <w:bCs w:val="0"/>
                <w:lang w:eastAsia="en-CA"/>
              </w:rPr>
              <w:t>Lake East</w:t>
            </w:r>
          </w:p>
        </w:tc>
        <w:tc>
          <w:tcPr>
            <w:tcW w:w="829" w:type="dxa"/>
            <w:noWrap/>
          </w:tcPr>
          <w:p w14:paraId="6FB35FB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5,100</w:t>
            </w:r>
          </w:p>
        </w:tc>
        <w:tc>
          <w:tcPr>
            <w:tcW w:w="791" w:type="dxa"/>
            <w:noWrap/>
          </w:tcPr>
          <w:p w14:paraId="4F6C52D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20.64</w:t>
            </w:r>
          </w:p>
        </w:tc>
        <w:tc>
          <w:tcPr>
            <w:tcW w:w="828" w:type="dxa"/>
            <w:noWrap/>
          </w:tcPr>
          <w:p w14:paraId="09B1D34D"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80</w:t>
            </w:r>
          </w:p>
        </w:tc>
        <w:tc>
          <w:tcPr>
            <w:tcW w:w="1107" w:type="dxa"/>
            <w:noWrap/>
          </w:tcPr>
          <w:p w14:paraId="0603ED5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432,540</w:t>
            </w:r>
          </w:p>
        </w:tc>
        <w:tc>
          <w:tcPr>
            <w:tcW w:w="950" w:type="dxa"/>
            <w:noWrap/>
          </w:tcPr>
          <w:p w14:paraId="5FB5F20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5.87</w:t>
            </w:r>
          </w:p>
        </w:tc>
        <w:tc>
          <w:tcPr>
            <w:tcW w:w="864" w:type="dxa"/>
            <w:noWrap/>
          </w:tcPr>
          <w:p w14:paraId="62140B2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1,652</w:t>
            </w:r>
          </w:p>
        </w:tc>
        <w:tc>
          <w:tcPr>
            <w:tcW w:w="1218" w:type="dxa"/>
            <w:noWrap/>
          </w:tcPr>
          <w:p w14:paraId="35FCD1F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2,539,168</w:t>
            </w:r>
          </w:p>
        </w:tc>
        <w:tc>
          <w:tcPr>
            <w:tcW w:w="1390" w:type="dxa"/>
            <w:noWrap/>
          </w:tcPr>
          <w:p w14:paraId="3F10327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2,540,819</w:t>
            </w:r>
          </w:p>
        </w:tc>
      </w:tr>
      <w:tr w:rsidR="003073B2" w:rsidRPr="00142D60" w14:paraId="4128D06D"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763619DA" w14:textId="77777777" w:rsidR="003073B2" w:rsidRPr="00142D60" w:rsidRDefault="003073B2" w:rsidP="00735601">
            <w:pPr>
              <w:rPr>
                <w:b w:val="0"/>
                <w:bCs w:val="0"/>
                <w:lang w:eastAsia="en-CA"/>
              </w:rPr>
            </w:pPr>
            <w:r w:rsidRPr="00142D60">
              <w:rPr>
                <w:b w:val="0"/>
                <w:bCs w:val="0"/>
                <w:lang w:eastAsia="en-CA"/>
              </w:rPr>
              <w:t>Quill South</w:t>
            </w:r>
          </w:p>
        </w:tc>
        <w:tc>
          <w:tcPr>
            <w:tcW w:w="829" w:type="dxa"/>
            <w:noWrap/>
          </w:tcPr>
          <w:p w14:paraId="148AC9B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5,008</w:t>
            </w:r>
          </w:p>
        </w:tc>
        <w:tc>
          <w:tcPr>
            <w:tcW w:w="791" w:type="dxa"/>
            <w:noWrap/>
          </w:tcPr>
          <w:p w14:paraId="2B684AC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20.40</w:t>
            </w:r>
          </w:p>
        </w:tc>
        <w:tc>
          <w:tcPr>
            <w:tcW w:w="828" w:type="dxa"/>
            <w:noWrap/>
          </w:tcPr>
          <w:p w14:paraId="5B09154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325</w:t>
            </w:r>
          </w:p>
        </w:tc>
        <w:tc>
          <w:tcPr>
            <w:tcW w:w="1107" w:type="dxa"/>
            <w:noWrap/>
          </w:tcPr>
          <w:p w14:paraId="0681F0A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432,295</w:t>
            </w:r>
          </w:p>
        </w:tc>
        <w:tc>
          <w:tcPr>
            <w:tcW w:w="950" w:type="dxa"/>
            <w:noWrap/>
          </w:tcPr>
          <w:p w14:paraId="41F90DE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5.80</w:t>
            </w:r>
          </w:p>
        </w:tc>
        <w:tc>
          <w:tcPr>
            <w:tcW w:w="864" w:type="dxa"/>
            <w:noWrap/>
          </w:tcPr>
          <w:p w14:paraId="0A983B3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6,628</w:t>
            </w:r>
          </w:p>
        </w:tc>
        <w:tc>
          <w:tcPr>
            <w:tcW w:w="1218" w:type="dxa"/>
            <w:noWrap/>
          </w:tcPr>
          <w:p w14:paraId="0D24084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2,507,065</w:t>
            </w:r>
          </w:p>
        </w:tc>
        <w:tc>
          <w:tcPr>
            <w:tcW w:w="1390" w:type="dxa"/>
            <w:noWrap/>
          </w:tcPr>
          <w:p w14:paraId="3A5DF26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2,513,694</w:t>
            </w:r>
          </w:p>
        </w:tc>
      </w:tr>
      <w:tr w:rsidR="003073B2" w:rsidRPr="00142D60" w14:paraId="5C72372C"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5D0C73A" w14:textId="77777777" w:rsidR="003073B2" w:rsidRPr="00142D60" w:rsidRDefault="003073B2" w:rsidP="00735601">
            <w:pPr>
              <w:rPr>
                <w:b w:val="0"/>
                <w:bCs w:val="0"/>
                <w:lang w:eastAsia="en-CA"/>
              </w:rPr>
            </w:pPr>
          </w:p>
        </w:tc>
        <w:tc>
          <w:tcPr>
            <w:tcW w:w="829" w:type="dxa"/>
            <w:noWrap/>
          </w:tcPr>
          <w:p w14:paraId="4577EFE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tcPr>
          <w:p w14:paraId="253B907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tcPr>
          <w:p w14:paraId="79210DD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tcPr>
          <w:p w14:paraId="041E2784"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tcPr>
          <w:p w14:paraId="13DE9E0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tcPr>
          <w:p w14:paraId="5E61AA1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tcPr>
          <w:p w14:paraId="63C81B7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tcPr>
          <w:p w14:paraId="0ED3550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2F02D532"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24BB8B52" w14:textId="77777777" w:rsidR="003073B2" w:rsidRPr="00142D60" w:rsidRDefault="003073B2" w:rsidP="00735601">
            <w:pPr>
              <w:rPr>
                <w:b w:val="0"/>
                <w:bCs w:val="0"/>
                <w:lang w:eastAsia="en-CA"/>
              </w:rPr>
            </w:pPr>
            <w:r w:rsidRPr="00142D60">
              <w:rPr>
                <w:b w:val="0"/>
                <w:bCs w:val="0"/>
                <w:lang w:eastAsia="en-CA"/>
              </w:rPr>
              <w:t>Coteau North</w:t>
            </w:r>
          </w:p>
        </w:tc>
        <w:tc>
          <w:tcPr>
            <w:tcW w:w="829" w:type="dxa"/>
            <w:noWrap/>
            <w:hideMark/>
          </w:tcPr>
          <w:p w14:paraId="49DC97B0"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1,021</w:t>
            </w:r>
          </w:p>
        </w:tc>
        <w:tc>
          <w:tcPr>
            <w:tcW w:w="791" w:type="dxa"/>
            <w:noWrap/>
            <w:hideMark/>
          </w:tcPr>
          <w:p w14:paraId="2EB41F0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10.03</w:t>
            </w:r>
          </w:p>
        </w:tc>
        <w:tc>
          <w:tcPr>
            <w:tcW w:w="828" w:type="dxa"/>
            <w:noWrap/>
            <w:hideMark/>
          </w:tcPr>
          <w:p w14:paraId="4F17B63F"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hideMark/>
          </w:tcPr>
          <w:p w14:paraId="5BB7732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hideMark/>
          </w:tcPr>
          <w:p w14:paraId="27C9074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2.85</w:t>
            </w:r>
          </w:p>
        </w:tc>
        <w:tc>
          <w:tcPr>
            <w:tcW w:w="864" w:type="dxa"/>
            <w:noWrap/>
            <w:hideMark/>
          </w:tcPr>
          <w:p w14:paraId="662897B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1,856</w:t>
            </w:r>
          </w:p>
        </w:tc>
        <w:tc>
          <w:tcPr>
            <w:tcW w:w="1218" w:type="dxa"/>
            <w:noWrap/>
            <w:hideMark/>
          </w:tcPr>
          <w:p w14:paraId="3E51236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1,233,771</w:t>
            </w:r>
          </w:p>
        </w:tc>
        <w:tc>
          <w:tcPr>
            <w:tcW w:w="1390" w:type="dxa"/>
            <w:noWrap/>
            <w:hideMark/>
          </w:tcPr>
          <w:p w14:paraId="49C894D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1,235,627</w:t>
            </w:r>
          </w:p>
        </w:tc>
      </w:tr>
      <w:tr w:rsidR="003073B2" w:rsidRPr="00142D60" w14:paraId="3BA5904E"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AB9B7E2" w14:textId="77777777" w:rsidR="003073B2" w:rsidRPr="00142D60" w:rsidRDefault="003073B2" w:rsidP="00735601">
            <w:pPr>
              <w:rPr>
                <w:b w:val="0"/>
                <w:bCs w:val="0"/>
                <w:lang w:eastAsia="en-CA"/>
              </w:rPr>
            </w:pPr>
            <w:r w:rsidRPr="00142D60">
              <w:rPr>
                <w:b w:val="0"/>
                <w:bCs w:val="0"/>
                <w:lang w:eastAsia="en-CA"/>
              </w:rPr>
              <w:t>Allan Hills</w:t>
            </w:r>
          </w:p>
        </w:tc>
        <w:tc>
          <w:tcPr>
            <w:tcW w:w="829" w:type="dxa"/>
            <w:noWrap/>
          </w:tcPr>
          <w:p w14:paraId="61D00EF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2,394</w:t>
            </w:r>
          </w:p>
        </w:tc>
        <w:tc>
          <w:tcPr>
            <w:tcW w:w="791" w:type="dxa"/>
            <w:noWrap/>
          </w:tcPr>
          <w:p w14:paraId="05DB574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14.51</w:t>
            </w:r>
          </w:p>
        </w:tc>
        <w:tc>
          <w:tcPr>
            <w:tcW w:w="828" w:type="dxa"/>
            <w:noWrap/>
          </w:tcPr>
          <w:p w14:paraId="4AB0ED94"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70</w:t>
            </w:r>
          </w:p>
        </w:tc>
        <w:tc>
          <w:tcPr>
            <w:tcW w:w="1107" w:type="dxa"/>
            <w:noWrap/>
          </w:tcPr>
          <w:p w14:paraId="009720F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432,550</w:t>
            </w:r>
          </w:p>
        </w:tc>
        <w:tc>
          <w:tcPr>
            <w:tcW w:w="950" w:type="dxa"/>
            <w:noWrap/>
          </w:tcPr>
          <w:p w14:paraId="40D90B56"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4.13</w:t>
            </w:r>
          </w:p>
        </w:tc>
        <w:tc>
          <w:tcPr>
            <w:tcW w:w="864" w:type="dxa"/>
            <w:noWrap/>
          </w:tcPr>
          <w:p w14:paraId="6194A70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1,016</w:t>
            </w:r>
          </w:p>
        </w:tc>
        <w:tc>
          <w:tcPr>
            <w:tcW w:w="1218" w:type="dxa"/>
            <w:noWrap/>
          </w:tcPr>
          <w:p w14:paraId="1ED8931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1,784,327</w:t>
            </w:r>
          </w:p>
        </w:tc>
        <w:tc>
          <w:tcPr>
            <w:tcW w:w="1390" w:type="dxa"/>
            <w:noWrap/>
          </w:tcPr>
          <w:p w14:paraId="75904B4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1,785,342</w:t>
            </w:r>
          </w:p>
        </w:tc>
      </w:tr>
      <w:tr w:rsidR="003073B2" w:rsidRPr="00142D60" w14:paraId="0A2F75FF"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9DD72D" w14:textId="77777777" w:rsidR="003073B2" w:rsidRPr="00142D60" w:rsidRDefault="003073B2" w:rsidP="00735601">
            <w:pPr>
              <w:rPr>
                <w:lang w:eastAsia="en-CA"/>
              </w:rPr>
            </w:pPr>
            <w:r w:rsidRPr="00142D60">
              <w:rPr>
                <w:b w:val="0"/>
                <w:bCs w:val="0"/>
                <w:lang w:eastAsia="en-CA"/>
              </w:rPr>
              <w:t>Boundary</w:t>
            </w:r>
          </w:p>
          <w:p w14:paraId="1754C732" w14:textId="77777777" w:rsidR="003073B2" w:rsidRPr="00142D60" w:rsidRDefault="003073B2" w:rsidP="00735601">
            <w:pPr>
              <w:rPr>
                <w:b w:val="0"/>
                <w:bCs w:val="0"/>
                <w:lang w:eastAsia="en-CA"/>
              </w:rPr>
            </w:pPr>
            <w:r w:rsidRPr="00142D60">
              <w:rPr>
                <w:b w:val="0"/>
                <w:bCs w:val="0"/>
                <w:lang w:eastAsia="en-CA"/>
              </w:rPr>
              <w:t>Plateau</w:t>
            </w:r>
          </w:p>
        </w:tc>
        <w:tc>
          <w:tcPr>
            <w:tcW w:w="829" w:type="dxa"/>
            <w:noWrap/>
          </w:tcPr>
          <w:p w14:paraId="2A6A879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2,701</w:t>
            </w:r>
          </w:p>
        </w:tc>
        <w:tc>
          <w:tcPr>
            <w:tcW w:w="791" w:type="dxa"/>
            <w:noWrap/>
          </w:tcPr>
          <w:p w14:paraId="53E01E5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15.47</w:t>
            </w:r>
          </w:p>
        </w:tc>
        <w:tc>
          <w:tcPr>
            <w:tcW w:w="828" w:type="dxa"/>
            <w:noWrap/>
          </w:tcPr>
          <w:p w14:paraId="57F9E1A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90</w:t>
            </w:r>
          </w:p>
        </w:tc>
        <w:tc>
          <w:tcPr>
            <w:tcW w:w="1107" w:type="dxa"/>
            <w:noWrap/>
          </w:tcPr>
          <w:p w14:paraId="28538869"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432,530</w:t>
            </w:r>
          </w:p>
        </w:tc>
        <w:tc>
          <w:tcPr>
            <w:tcW w:w="950" w:type="dxa"/>
            <w:noWrap/>
          </w:tcPr>
          <w:p w14:paraId="27A4E07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4.40</w:t>
            </w:r>
          </w:p>
        </w:tc>
        <w:tc>
          <w:tcPr>
            <w:tcW w:w="864" w:type="dxa"/>
            <w:noWrap/>
          </w:tcPr>
          <w:p w14:paraId="7B43F12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1,392</w:t>
            </w:r>
          </w:p>
        </w:tc>
        <w:tc>
          <w:tcPr>
            <w:tcW w:w="1218" w:type="dxa"/>
            <w:noWrap/>
          </w:tcPr>
          <w:p w14:paraId="78880ACF"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1,902,347</w:t>
            </w:r>
          </w:p>
        </w:tc>
        <w:tc>
          <w:tcPr>
            <w:tcW w:w="1390" w:type="dxa"/>
            <w:noWrap/>
          </w:tcPr>
          <w:p w14:paraId="1613A1B6"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1,903,739</w:t>
            </w:r>
          </w:p>
        </w:tc>
      </w:tr>
      <w:tr w:rsidR="003073B2" w:rsidRPr="00142D60" w14:paraId="70526F21"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CE77ED" w14:textId="77777777" w:rsidR="003073B2" w:rsidRPr="00142D60" w:rsidRDefault="003073B2" w:rsidP="00735601">
            <w:pPr>
              <w:rPr>
                <w:b w:val="0"/>
                <w:bCs w:val="0"/>
                <w:lang w:eastAsia="en-CA"/>
              </w:rPr>
            </w:pPr>
            <w:r w:rsidRPr="00142D60">
              <w:rPr>
                <w:b w:val="0"/>
                <w:bCs w:val="0"/>
                <w:lang w:eastAsia="en-CA"/>
              </w:rPr>
              <w:t>Regina East</w:t>
            </w:r>
          </w:p>
        </w:tc>
        <w:tc>
          <w:tcPr>
            <w:tcW w:w="829" w:type="dxa"/>
            <w:noWrap/>
          </w:tcPr>
          <w:p w14:paraId="60DB931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4,710</w:t>
            </w:r>
          </w:p>
        </w:tc>
        <w:tc>
          <w:tcPr>
            <w:tcW w:w="791" w:type="dxa"/>
            <w:noWrap/>
          </w:tcPr>
          <w:p w14:paraId="62A6CAF2" w14:textId="77777777" w:rsidR="003073B2" w:rsidRPr="000F1F42"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19.74</w:t>
            </w:r>
          </w:p>
        </w:tc>
        <w:tc>
          <w:tcPr>
            <w:tcW w:w="828" w:type="dxa"/>
            <w:noWrap/>
          </w:tcPr>
          <w:p w14:paraId="33C48DD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310</w:t>
            </w:r>
          </w:p>
        </w:tc>
        <w:tc>
          <w:tcPr>
            <w:tcW w:w="1107" w:type="dxa"/>
            <w:noWrap/>
          </w:tcPr>
          <w:p w14:paraId="1682487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432,310</w:t>
            </w:r>
          </w:p>
        </w:tc>
        <w:tc>
          <w:tcPr>
            <w:tcW w:w="950" w:type="dxa"/>
            <w:noWrap/>
          </w:tcPr>
          <w:p w14:paraId="1F231BD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5.61</w:t>
            </w:r>
          </w:p>
        </w:tc>
        <w:tc>
          <w:tcPr>
            <w:tcW w:w="864" w:type="dxa"/>
            <w:noWrap/>
          </w:tcPr>
          <w:p w14:paraId="20F0687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6,119</w:t>
            </w:r>
          </w:p>
        </w:tc>
        <w:tc>
          <w:tcPr>
            <w:tcW w:w="1218" w:type="dxa"/>
            <w:noWrap/>
          </w:tcPr>
          <w:p w14:paraId="41E56BA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2,426,637</w:t>
            </w:r>
          </w:p>
        </w:tc>
        <w:tc>
          <w:tcPr>
            <w:tcW w:w="1390" w:type="dxa"/>
            <w:noWrap/>
          </w:tcPr>
          <w:p w14:paraId="195F191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2,432,757</w:t>
            </w:r>
          </w:p>
        </w:tc>
      </w:tr>
      <w:tr w:rsidR="003073B2" w:rsidRPr="00142D60" w14:paraId="05D7C9CD"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257E34C9" w14:textId="77777777" w:rsidR="003073B2" w:rsidRPr="00142D60" w:rsidRDefault="003073B2" w:rsidP="00735601">
            <w:pPr>
              <w:rPr>
                <w:b w:val="0"/>
                <w:bCs w:val="0"/>
                <w:lang w:eastAsia="en-CA"/>
              </w:rPr>
            </w:pPr>
            <w:r w:rsidRPr="00142D60">
              <w:rPr>
                <w:b w:val="0"/>
                <w:bCs w:val="0"/>
                <w:lang w:eastAsia="en-CA"/>
              </w:rPr>
              <w:t>Pheasant Hills</w:t>
            </w:r>
          </w:p>
        </w:tc>
        <w:tc>
          <w:tcPr>
            <w:tcW w:w="829" w:type="dxa"/>
            <w:noWrap/>
          </w:tcPr>
          <w:p w14:paraId="75BBB6C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3,309</w:t>
            </w:r>
          </w:p>
        </w:tc>
        <w:tc>
          <w:tcPr>
            <w:tcW w:w="791" w:type="dxa"/>
            <w:noWrap/>
          </w:tcPr>
          <w:p w14:paraId="3D60774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16.81</w:t>
            </w:r>
          </w:p>
        </w:tc>
        <w:tc>
          <w:tcPr>
            <w:tcW w:w="828" w:type="dxa"/>
            <w:noWrap/>
          </w:tcPr>
          <w:p w14:paraId="38CD414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354F04A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337196A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4.78</w:t>
            </w:r>
          </w:p>
        </w:tc>
        <w:tc>
          <w:tcPr>
            <w:tcW w:w="864" w:type="dxa"/>
            <w:noWrap/>
          </w:tcPr>
          <w:p w14:paraId="27ACD89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3,110</w:t>
            </w:r>
          </w:p>
        </w:tc>
        <w:tc>
          <w:tcPr>
            <w:tcW w:w="1218" w:type="dxa"/>
            <w:noWrap/>
          </w:tcPr>
          <w:p w14:paraId="2CFEBA0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2,066,803</w:t>
            </w:r>
          </w:p>
        </w:tc>
        <w:tc>
          <w:tcPr>
            <w:tcW w:w="1390" w:type="dxa"/>
            <w:noWrap/>
          </w:tcPr>
          <w:p w14:paraId="4332905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2,069,912</w:t>
            </w:r>
          </w:p>
        </w:tc>
      </w:tr>
      <w:tr w:rsidR="003073B2" w:rsidRPr="00142D60" w14:paraId="646BA2D7"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2656470" w14:textId="77777777" w:rsidR="003073B2" w:rsidRPr="00142D60" w:rsidRDefault="003073B2" w:rsidP="00735601">
            <w:pPr>
              <w:rPr>
                <w:b w:val="0"/>
                <w:bCs w:val="0"/>
                <w:lang w:eastAsia="en-CA"/>
              </w:rPr>
            </w:pPr>
            <w:proofErr w:type="spellStart"/>
            <w:r w:rsidRPr="00142D60">
              <w:rPr>
                <w:b w:val="0"/>
                <w:bCs w:val="0"/>
                <w:lang w:eastAsia="en-CA"/>
              </w:rPr>
              <w:t>Thickwood</w:t>
            </w:r>
            <w:proofErr w:type="spellEnd"/>
          </w:p>
        </w:tc>
        <w:tc>
          <w:tcPr>
            <w:tcW w:w="829" w:type="dxa"/>
            <w:noWrap/>
          </w:tcPr>
          <w:p w14:paraId="46CAE18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3,343</w:t>
            </w:r>
          </w:p>
        </w:tc>
        <w:tc>
          <w:tcPr>
            <w:tcW w:w="791" w:type="dxa"/>
            <w:noWrap/>
          </w:tcPr>
          <w:p w14:paraId="703B8EE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17.11</w:t>
            </w:r>
          </w:p>
        </w:tc>
        <w:tc>
          <w:tcPr>
            <w:tcW w:w="828" w:type="dxa"/>
            <w:noWrap/>
          </w:tcPr>
          <w:p w14:paraId="37E6F67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328ACB8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11AF347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4.87</w:t>
            </w:r>
          </w:p>
        </w:tc>
        <w:tc>
          <w:tcPr>
            <w:tcW w:w="864" w:type="dxa"/>
            <w:noWrap/>
          </w:tcPr>
          <w:p w14:paraId="097C901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3,166</w:t>
            </w:r>
          </w:p>
        </w:tc>
        <w:tc>
          <w:tcPr>
            <w:tcW w:w="1218" w:type="dxa"/>
            <w:noWrap/>
          </w:tcPr>
          <w:p w14:paraId="0AAFF06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2,104,282</w:t>
            </w:r>
          </w:p>
        </w:tc>
        <w:tc>
          <w:tcPr>
            <w:tcW w:w="1390" w:type="dxa"/>
            <w:noWrap/>
          </w:tcPr>
          <w:p w14:paraId="1AA5C46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2,107,448</w:t>
            </w:r>
          </w:p>
        </w:tc>
      </w:tr>
      <w:tr w:rsidR="003073B2" w:rsidRPr="00142D60" w14:paraId="75FAD06F"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052F7A3" w14:textId="77777777" w:rsidR="003073B2" w:rsidRPr="00142D60" w:rsidRDefault="003073B2" w:rsidP="00735601">
            <w:pPr>
              <w:rPr>
                <w:b w:val="0"/>
                <w:bCs w:val="0"/>
                <w:lang w:eastAsia="en-CA"/>
              </w:rPr>
            </w:pPr>
            <w:r w:rsidRPr="00142D60">
              <w:rPr>
                <w:b w:val="0"/>
                <w:bCs w:val="0"/>
                <w:lang w:eastAsia="en-CA"/>
              </w:rPr>
              <w:t>Conjuring Creek</w:t>
            </w:r>
          </w:p>
        </w:tc>
        <w:tc>
          <w:tcPr>
            <w:tcW w:w="829" w:type="dxa"/>
            <w:noWrap/>
          </w:tcPr>
          <w:p w14:paraId="59F2E069"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3,298</w:t>
            </w:r>
          </w:p>
        </w:tc>
        <w:tc>
          <w:tcPr>
            <w:tcW w:w="791" w:type="dxa"/>
            <w:noWrap/>
          </w:tcPr>
          <w:p w14:paraId="5597FED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16.85</w:t>
            </w:r>
          </w:p>
        </w:tc>
        <w:tc>
          <w:tcPr>
            <w:tcW w:w="828" w:type="dxa"/>
            <w:noWrap/>
          </w:tcPr>
          <w:p w14:paraId="4317C6F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02388AD6"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4E32E17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4.79</w:t>
            </w:r>
          </w:p>
        </w:tc>
        <w:tc>
          <w:tcPr>
            <w:tcW w:w="864" w:type="dxa"/>
            <w:noWrap/>
          </w:tcPr>
          <w:p w14:paraId="10FFCAF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2,191</w:t>
            </w:r>
          </w:p>
        </w:tc>
        <w:tc>
          <w:tcPr>
            <w:tcW w:w="1218" w:type="dxa"/>
            <w:noWrap/>
          </w:tcPr>
          <w:p w14:paraId="401AAD4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2,072,458</w:t>
            </w:r>
          </w:p>
        </w:tc>
        <w:tc>
          <w:tcPr>
            <w:tcW w:w="1390" w:type="dxa"/>
            <w:noWrap/>
          </w:tcPr>
          <w:p w14:paraId="5A75D860"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2,074,648</w:t>
            </w:r>
          </w:p>
        </w:tc>
      </w:tr>
      <w:tr w:rsidR="003073B2" w:rsidRPr="00142D60" w14:paraId="5C6C96F3"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321B324E" w14:textId="77777777" w:rsidR="003073B2" w:rsidRPr="00142D60" w:rsidRDefault="003073B2" w:rsidP="00735601">
            <w:pPr>
              <w:rPr>
                <w:b w:val="0"/>
                <w:bCs w:val="0"/>
                <w:lang w:eastAsia="en-CA"/>
              </w:rPr>
            </w:pPr>
            <w:r w:rsidRPr="00142D60">
              <w:rPr>
                <w:b w:val="0"/>
                <w:bCs w:val="0"/>
                <w:lang w:eastAsia="en-CA"/>
              </w:rPr>
              <w:t>Prince Albert</w:t>
            </w:r>
          </w:p>
        </w:tc>
        <w:tc>
          <w:tcPr>
            <w:tcW w:w="829" w:type="dxa"/>
            <w:noWrap/>
          </w:tcPr>
          <w:p w14:paraId="5865971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2,244</w:t>
            </w:r>
          </w:p>
        </w:tc>
        <w:tc>
          <w:tcPr>
            <w:tcW w:w="791" w:type="dxa"/>
            <w:noWrap/>
          </w:tcPr>
          <w:p w14:paraId="4C62A63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14.20</w:t>
            </w:r>
          </w:p>
        </w:tc>
        <w:tc>
          <w:tcPr>
            <w:tcW w:w="828" w:type="dxa"/>
            <w:noWrap/>
          </w:tcPr>
          <w:p w14:paraId="7F8EBFA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noWrap/>
          </w:tcPr>
          <w:p w14:paraId="225A59C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431,565</w:t>
            </w:r>
          </w:p>
        </w:tc>
        <w:tc>
          <w:tcPr>
            <w:tcW w:w="950" w:type="dxa"/>
            <w:noWrap/>
          </w:tcPr>
          <w:p w14:paraId="7F34174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4.04</w:t>
            </w:r>
          </w:p>
        </w:tc>
        <w:tc>
          <w:tcPr>
            <w:tcW w:w="864" w:type="dxa"/>
            <w:noWrap/>
          </w:tcPr>
          <w:p w14:paraId="0C6D66F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noWrap/>
          </w:tcPr>
          <w:p w14:paraId="5C13F4D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1,742,651</w:t>
            </w:r>
          </w:p>
        </w:tc>
        <w:tc>
          <w:tcPr>
            <w:tcW w:w="1390" w:type="dxa"/>
            <w:noWrap/>
          </w:tcPr>
          <w:p w14:paraId="04A581A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1,757,632</w:t>
            </w:r>
          </w:p>
        </w:tc>
      </w:tr>
      <w:tr w:rsidR="003073B2" w:rsidRPr="00142D60" w14:paraId="1B892633"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CE7BE98" w14:textId="77777777" w:rsidR="003073B2" w:rsidRPr="00142D60" w:rsidRDefault="003073B2" w:rsidP="00735601">
            <w:pPr>
              <w:rPr>
                <w:b w:val="0"/>
                <w:bCs w:val="0"/>
                <w:lang w:eastAsia="en-CA"/>
              </w:rPr>
            </w:pPr>
            <w:r w:rsidRPr="00142D60">
              <w:rPr>
                <w:b w:val="0"/>
                <w:bCs w:val="0"/>
                <w:lang w:eastAsia="en-CA"/>
              </w:rPr>
              <w:t>Virden</w:t>
            </w:r>
          </w:p>
        </w:tc>
        <w:tc>
          <w:tcPr>
            <w:tcW w:w="829" w:type="dxa"/>
            <w:noWrap/>
          </w:tcPr>
          <w:p w14:paraId="7187B0A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2,239</w:t>
            </w:r>
          </w:p>
        </w:tc>
        <w:tc>
          <w:tcPr>
            <w:tcW w:w="791" w:type="dxa"/>
            <w:noWrap/>
          </w:tcPr>
          <w:p w14:paraId="7D90AB90"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14.19</w:t>
            </w:r>
          </w:p>
        </w:tc>
        <w:tc>
          <w:tcPr>
            <w:tcW w:w="828" w:type="dxa"/>
            <w:noWrap/>
          </w:tcPr>
          <w:p w14:paraId="3212BCCF"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13E210A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62A61DD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w:t>
            </w:r>
          </w:p>
        </w:tc>
        <w:tc>
          <w:tcPr>
            <w:tcW w:w="864" w:type="dxa"/>
            <w:noWrap/>
          </w:tcPr>
          <w:p w14:paraId="19D3203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2,624</w:t>
            </w:r>
          </w:p>
        </w:tc>
        <w:tc>
          <w:tcPr>
            <w:tcW w:w="1218" w:type="dxa"/>
            <w:noWrap/>
          </w:tcPr>
          <w:p w14:paraId="53879B6C"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1,744,353</w:t>
            </w:r>
          </w:p>
        </w:tc>
        <w:tc>
          <w:tcPr>
            <w:tcW w:w="1390" w:type="dxa"/>
            <w:noWrap/>
          </w:tcPr>
          <w:p w14:paraId="146255F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1,746,977</w:t>
            </w:r>
          </w:p>
        </w:tc>
      </w:tr>
      <w:tr w:rsidR="003073B2" w:rsidRPr="00142D60" w14:paraId="3895B14C" w14:textId="77777777" w:rsidTr="00735601">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544" w:type="dxa"/>
            <w:noWrap/>
          </w:tcPr>
          <w:p w14:paraId="778B25DA" w14:textId="77777777" w:rsidR="003073B2" w:rsidRPr="00142D60" w:rsidRDefault="003073B2" w:rsidP="00735601">
            <w:pPr>
              <w:rPr>
                <w:b w:val="0"/>
                <w:bCs w:val="0"/>
                <w:lang w:eastAsia="en-CA"/>
              </w:rPr>
            </w:pPr>
            <w:proofErr w:type="spellStart"/>
            <w:r w:rsidRPr="00142D60">
              <w:rPr>
                <w:b w:val="0"/>
                <w:bCs w:val="0"/>
                <w:lang w:eastAsia="en-CA"/>
              </w:rPr>
              <w:t>Hillmond</w:t>
            </w:r>
            <w:proofErr w:type="spellEnd"/>
          </w:p>
        </w:tc>
        <w:tc>
          <w:tcPr>
            <w:tcW w:w="829" w:type="dxa"/>
            <w:noWrap/>
          </w:tcPr>
          <w:p w14:paraId="3038064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1,095</w:t>
            </w:r>
          </w:p>
        </w:tc>
        <w:tc>
          <w:tcPr>
            <w:tcW w:w="791" w:type="dxa"/>
            <w:noWrap/>
          </w:tcPr>
          <w:p w14:paraId="70564CE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10.37</w:t>
            </w:r>
          </w:p>
        </w:tc>
        <w:tc>
          <w:tcPr>
            <w:tcW w:w="828" w:type="dxa"/>
            <w:noWrap/>
          </w:tcPr>
          <w:p w14:paraId="39D0213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740</w:t>
            </w:r>
          </w:p>
        </w:tc>
        <w:tc>
          <w:tcPr>
            <w:tcW w:w="1107" w:type="dxa"/>
            <w:noWrap/>
          </w:tcPr>
          <w:p w14:paraId="00970DE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431,880</w:t>
            </w:r>
          </w:p>
        </w:tc>
        <w:tc>
          <w:tcPr>
            <w:tcW w:w="950" w:type="dxa"/>
            <w:noWrap/>
          </w:tcPr>
          <w:p w14:paraId="3DFE19D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2.95</w:t>
            </w:r>
          </w:p>
        </w:tc>
        <w:tc>
          <w:tcPr>
            <w:tcW w:w="864" w:type="dxa"/>
            <w:noWrap/>
          </w:tcPr>
          <w:p w14:paraId="5832E1D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7,673</w:t>
            </w:r>
          </w:p>
        </w:tc>
        <w:tc>
          <w:tcPr>
            <w:tcW w:w="1218" w:type="dxa"/>
            <w:noWrap/>
          </w:tcPr>
          <w:p w14:paraId="330DEC8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1,273,331</w:t>
            </w:r>
          </w:p>
        </w:tc>
        <w:tc>
          <w:tcPr>
            <w:tcW w:w="1390" w:type="dxa"/>
            <w:noWrap/>
          </w:tcPr>
          <w:p w14:paraId="3837326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1,281,004</w:t>
            </w:r>
          </w:p>
        </w:tc>
      </w:tr>
      <w:tr w:rsidR="003073B2" w:rsidRPr="00142D60" w14:paraId="1E015AFA"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61BF9191" w14:textId="77777777" w:rsidR="003073B2" w:rsidRPr="00142D60" w:rsidRDefault="003073B2" w:rsidP="00735601">
            <w:pPr>
              <w:rPr>
                <w:b w:val="0"/>
                <w:bCs w:val="0"/>
                <w:lang w:eastAsia="en-CA"/>
              </w:rPr>
            </w:pPr>
            <w:r w:rsidRPr="00142D60">
              <w:rPr>
                <w:b w:val="0"/>
                <w:bCs w:val="0"/>
                <w:lang w:eastAsia="en-CA"/>
              </w:rPr>
              <w:t>Fox Valley</w:t>
            </w:r>
          </w:p>
        </w:tc>
        <w:tc>
          <w:tcPr>
            <w:tcW w:w="829" w:type="dxa"/>
            <w:noWrap/>
          </w:tcPr>
          <w:p w14:paraId="0D40432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tcPr>
          <w:p w14:paraId="755D73C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0F1F42">
              <w:rPr>
                <w:lang w:eastAsia="en-CA"/>
              </w:rPr>
              <w:t>9.</w:t>
            </w:r>
            <w:r w:rsidRPr="000F1F42">
              <w:rPr>
                <w:rFonts w:eastAsiaTheme="minorHAnsi"/>
                <w:lang w:eastAsia="en-CA"/>
              </w:rPr>
              <w:t>50</w:t>
            </w:r>
          </w:p>
        </w:tc>
        <w:tc>
          <w:tcPr>
            <w:tcW w:w="828" w:type="dxa"/>
            <w:noWrap/>
          </w:tcPr>
          <w:p w14:paraId="1D2F8B1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tcPr>
          <w:p w14:paraId="43F887B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432,550</w:t>
            </w:r>
          </w:p>
        </w:tc>
        <w:tc>
          <w:tcPr>
            <w:tcW w:w="950" w:type="dxa"/>
            <w:noWrap/>
          </w:tcPr>
          <w:p w14:paraId="307B4974"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w:t>
            </w:r>
          </w:p>
        </w:tc>
        <w:tc>
          <w:tcPr>
            <w:tcW w:w="864" w:type="dxa"/>
            <w:noWrap/>
          </w:tcPr>
          <w:p w14:paraId="04BDB60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tcPr>
          <w:p w14:paraId="7CFD81BC"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tcPr>
          <w:p w14:paraId="2466FCE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06B0908E"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50BE49D" w14:textId="77777777" w:rsidR="003073B2" w:rsidRPr="00142D60" w:rsidRDefault="003073B2" w:rsidP="00735601">
            <w:pPr>
              <w:rPr>
                <w:lang w:eastAsia="en-CA"/>
              </w:rPr>
            </w:pPr>
          </w:p>
          <w:p w14:paraId="244E32EE" w14:textId="77777777" w:rsidR="003073B2" w:rsidRPr="00142D60" w:rsidRDefault="003073B2" w:rsidP="00735601">
            <w:pPr>
              <w:pBdr>
                <w:bottom w:val="single" w:sz="4" w:space="1" w:color="auto"/>
              </w:pBdr>
              <w:rPr>
                <w:b w:val="0"/>
                <w:bCs w:val="0"/>
                <w:lang w:eastAsia="en-CA"/>
              </w:rPr>
            </w:pPr>
            <w:r w:rsidRPr="00142D60">
              <w:rPr>
                <w:lang w:eastAsia="en-CA"/>
              </w:rPr>
              <w:t>Summary</w:t>
            </w:r>
          </w:p>
          <w:p w14:paraId="67048A68" w14:textId="77777777" w:rsidR="003073B2" w:rsidRPr="00142D60" w:rsidRDefault="003073B2" w:rsidP="00735601">
            <w:pPr>
              <w:pBdr>
                <w:bottom w:val="single" w:sz="4" w:space="1" w:color="auto"/>
              </w:pBdr>
              <w:rPr>
                <w:u w:val="single"/>
                <w:lang w:eastAsia="en-CA"/>
              </w:rPr>
            </w:pPr>
            <w:r w:rsidRPr="00142D60">
              <w:rPr>
                <w:lang w:eastAsia="en-CA"/>
              </w:rPr>
              <w:t>Statistics</w:t>
            </w:r>
            <w:r w:rsidRPr="00142D60">
              <w:rPr>
                <w:u w:val="single"/>
                <w:lang w:eastAsia="en-CA"/>
              </w:rPr>
              <w:t xml:space="preserve"> </w:t>
            </w:r>
          </w:p>
        </w:tc>
        <w:tc>
          <w:tcPr>
            <w:tcW w:w="829" w:type="dxa"/>
            <w:noWrap/>
            <w:hideMark/>
          </w:tcPr>
          <w:p w14:paraId="343EAF9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hideMark/>
          </w:tcPr>
          <w:p w14:paraId="63E31EB4"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hideMark/>
          </w:tcPr>
          <w:p w14:paraId="1B1DB9F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hideMark/>
          </w:tcPr>
          <w:p w14:paraId="5E749CD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hideMark/>
          </w:tcPr>
          <w:p w14:paraId="3AB0AE1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hideMark/>
          </w:tcPr>
          <w:p w14:paraId="271413C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hideMark/>
          </w:tcPr>
          <w:p w14:paraId="4847AE8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hideMark/>
          </w:tcPr>
          <w:p w14:paraId="010061B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4E109327"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EA6557A" w14:textId="77777777" w:rsidR="003073B2" w:rsidRPr="00142D60" w:rsidRDefault="003073B2" w:rsidP="00735601">
            <w:pPr>
              <w:rPr>
                <w:b w:val="0"/>
                <w:bCs w:val="0"/>
                <w:lang w:eastAsia="en-CA"/>
              </w:rPr>
            </w:pPr>
            <w:r w:rsidRPr="00142D60">
              <w:rPr>
                <w:b w:val="0"/>
                <w:bCs w:val="0"/>
                <w:lang w:eastAsia="en-CA"/>
              </w:rPr>
              <w:t>Mean</w:t>
            </w:r>
          </w:p>
        </w:tc>
        <w:tc>
          <w:tcPr>
            <w:tcW w:w="829" w:type="dxa"/>
            <w:noWrap/>
            <w:hideMark/>
          </w:tcPr>
          <w:p w14:paraId="0E2A100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5,361</w:t>
            </w:r>
          </w:p>
        </w:tc>
        <w:tc>
          <w:tcPr>
            <w:tcW w:w="791" w:type="dxa"/>
            <w:noWrap/>
            <w:hideMark/>
          </w:tcPr>
          <w:p w14:paraId="7EB5076C"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w:t>
            </w:r>
          </w:p>
        </w:tc>
        <w:tc>
          <w:tcPr>
            <w:tcW w:w="828" w:type="dxa"/>
            <w:noWrap/>
            <w:hideMark/>
          </w:tcPr>
          <w:p w14:paraId="01EAAD4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249</w:t>
            </w:r>
          </w:p>
        </w:tc>
        <w:tc>
          <w:tcPr>
            <w:tcW w:w="1107" w:type="dxa"/>
            <w:noWrap/>
            <w:hideMark/>
          </w:tcPr>
          <w:p w14:paraId="2305433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432,371</w:t>
            </w:r>
          </w:p>
        </w:tc>
        <w:tc>
          <w:tcPr>
            <w:tcW w:w="950" w:type="dxa"/>
            <w:noWrap/>
            <w:hideMark/>
          </w:tcPr>
          <w:p w14:paraId="1BEFB1E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w:t>
            </w:r>
          </w:p>
        </w:tc>
        <w:tc>
          <w:tcPr>
            <w:tcW w:w="864" w:type="dxa"/>
            <w:noWrap/>
            <w:hideMark/>
          </w:tcPr>
          <w:p w14:paraId="5589BCF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4,597</w:t>
            </w:r>
          </w:p>
        </w:tc>
        <w:tc>
          <w:tcPr>
            <w:tcW w:w="1218" w:type="dxa"/>
            <w:noWrap/>
            <w:hideMark/>
          </w:tcPr>
          <w:p w14:paraId="20244BB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2,415,023</w:t>
            </w:r>
          </w:p>
        </w:tc>
        <w:tc>
          <w:tcPr>
            <w:tcW w:w="1390" w:type="dxa"/>
            <w:noWrap/>
            <w:hideMark/>
          </w:tcPr>
          <w:p w14:paraId="2B78A2F6"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2,419,620</w:t>
            </w:r>
          </w:p>
        </w:tc>
      </w:tr>
      <w:tr w:rsidR="003073B2" w:rsidRPr="00142D60" w14:paraId="04594E8E"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6CEA2C90" w14:textId="77777777" w:rsidR="003073B2" w:rsidRPr="00142D60" w:rsidRDefault="003073B2" w:rsidP="00735601">
            <w:pPr>
              <w:rPr>
                <w:b w:val="0"/>
                <w:bCs w:val="0"/>
                <w:lang w:eastAsia="en-CA"/>
              </w:rPr>
            </w:pPr>
            <w:r w:rsidRPr="00142D60">
              <w:rPr>
                <w:b w:val="0"/>
                <w:bCs w:val="0"/>
                <w:lang w:eastAsia="en-CA"/>
              </w:rPr>
              <w:t>Standard Deviation</w:t>
            </w:r>
          </w:p>
        </w:tc>
        <w:tc>
          <w:tcPr>
            <w:tcW w:w="829" w:type="dxa"/>
            <w:noWrap/>
            <w:hideMark/>
          </w:tcPr>
          <w:p w14:paraId="6EBC71A4"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4062</w:t>
            </w:r>
          </w:p>
        </w:tc>
        <w:tc>
          <w:tcPr>
            <w:tcW w:w="791" w:type="dxa"/>
            <w:noWrap/>
            <w:hideMark/>
          </w:tcPr>
          <w:p w14:paraId="4E609EF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w:t>
            </w:r>
          </w:p>
        </w:tc>
        <w:tc>
          <w:tcPr>
            <w:tcW w:w="828" w:type="dxa"/>
            <w:noWrap/>
            <w:hideMark/>
          </w:tcPr>
          <w:p w14:paraId="6BBFED8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1107" w:type="dxa"/>
            <w:noWrap/>
            <w:hideMark/>
          </w:tcPr>
          <w:p w14:paraId="3D076466"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950" w:type="dxa"/>
            <w:noWrap/>
            <w:hideMark/>
          </w:tcPr>
          <w:p w14:paraId="5FA384AE"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w:t>
            </w:r>
          </w:p>
        </w:tc>
        <w:tc>
          <w:tcPr>
            <w:tcW w:w="864" w:type="dxa"/>
            <w:noWrap/>
            <w:hideMark/>
          </w:tcPr>
          <w:p w14:paraId="1F25E91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3712</w:t>
            </w:r>
          </w:p>
        </w:tc>
        <w:tc>
          <w:tcPr>
            <w:tcW w:w="1218" w:type="dxa"/>
            <w:noWrap/>
            <w:hideMark/>
          </w:tcPr>
          <w:p w14:paraId="0C6B138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841263</w:t>
            </w:r>
          </w:p>
        </w:tc>
        <w:tc>
          <w:tcPr>
            <w:tcW w:w="1390" w:type="dxa"/>
            <w:noWrap/>
            <w:hideMark/>
          </w:tcPr>
          <w:p w14:paraId="02DA1B63"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842182</w:t>
            </w:r>
          </w:p>
        </w:tc>
      </w:tr>
      <w:tr w:rsidR="003073B2" w:rsidRPr="00142D60" w14:paraId="462F5F95"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712749CB" w14:textId="77777777" w:rsidR="003073B2" w:rsidRPr="00142D60" w:rsidRDefault="003073B2" w:rsidP="00735601">
            <w:pPr>
              <w:rPr>
                <w:b w:val="0"/>
                <w:bCs w:val="0"/>
                <w:lang w:eastAsia="en-CA"/>
              </w:rPr>
            </w:pPr>
            <w:r w:rsidRPr="00142D60">
              <w:rPr>
                <w:b w:val="0"/>
                <w:bCs w:val="0"/>
                <w:lang w:eastAsia="en-CA"/>
              </w:rPr>
              <w:t>Minimum</w:t>
            </w:r>
          </w:p>
        </w:tc>
        <w:tc>
          <w:tcPr>
            <w:tcW w:w="829" w:type="dxa"/>
            <w:noWrap/>
            <w:hideMark/>
          </w:tcPr>
          <w:p w14:paraId="0B46E80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hideMark/>
          </w:tcPr>
          <w:p w14:paraId="3A3FFF7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w:t>
            </w:r>
          </w:p>
        </w:tc>
        <w:tc>
          <w:tcPr>
            <w:tcW w:w="828" w:type="dxa"/>
            <w:noWrap/>
            <w:hideMark/>
          </w:tcPr>
          <w:p w14:paraId="4438C83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hideMark/>
          </w:tcPr>
          <w:p w14:paraId="51666243"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431,565</w:t>
            </w:r>
          </w:p>
        </w:tc>
        <w:tc>
          <w:tcPr>
            <w:tcW w:w="950" w:type="dxa"/>
            <w:noWrap/>
            <w:hideMark/>
          </w:tcPr>
          <w:p w14:paraId="5FD49495"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w:t>
            </w:r>
          </w:p>
        </w:tc>
        <w:tc>
          <w:tcPr>
            <w:tcW w:w="864" w:type="dxa"/>
            <w:noWrap/>
            <w:hideMark/>
          </w:tcPr>
          <w:p w14:paraId="7954F5B6"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hideMark/>
          </w:tcPr>
          <w:p w14:paraId="4B63424D"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hideMark/>
          </w:tcPr>
          <w:p w14:paraId="39F34F20"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2903FA1F"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bottom w:val="single" w:sz="4" w:space="0" w:color="auto"/>
            </w:tcBorders>
            <w:noWrap/>
            <w:hideMark/>
          </w:tcPr>
          <w:p w14:paraId="2272B29E" w14:textId="77777777" w:rsidR="003073B2" w:rsidRPr="00142D60" w:rsidRDefault="003073B2" w:rsidP="00735601">
            <w:pPr>
              <w:rPr>
                <w:b w:val="0"/>
                <w:bCs w:val="0"/>
                <w:lang w:eastAsia="en-CA"/>
              </w:rPr>
            </w:pPr>
            <w:r w:rsidRPr="00142D60">
              <w:rPr>
                <w:b w:val="0"/>
                <w:bCs w:val="0"/>
                <w:lang w:eastAsia="en-CA"/>
              </w:rPr>
              <w:t>Maximum</w:t>
            </w:r>
          </w:p>
        </w:tc>
        <w:tc>
          <w:tcPr>
            <w:tcW w:w="829" w:type="dxa"/>
            <w:tcBorders>
              <w:bottom w:val="single" w:sz="4" w:space="0" w:color="auto"/>
            </w:tcBorders>
            <w:noWrap/>
            <w:hideMark/>
          </w:tcPr>
          <w:p w14:paraId="253B28E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bottom w:val="single" w:sz="4" w:space="0" w:color="auto"/>
            </w:tcBorders>
            <w:noWrap/>
            <w:hideMark/>
          </w:tcPr>
          <w:p w14:paraId="699DB12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w:t>
            </w:r>
          </w:p>
        </w:tc>
        <w:tc>
          <w:tcPr>
            <w:tcW w:w="828" w:type="dxa"/>
            <w:tcBorders>
              <w:bottom w:val="single" w:sz="4" w:space="0" w:color="auto"/>
            </w:tcBorders>
            <w:noWrap/>
            <w:hideMark/>
          </w:tcPr>
          <w:p w14:paraId="61A354E7"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tcBorders>
              <w:bottom w:val="single" w:sz="4" w:space="0" w:color="auto"/>
            </w:tcBorders>
            <w:noWrap/>
            <w:hideMark/>
          </w:tcPr>
          <w:p w14:paraId="51FD134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432,550</w:t>
            </w:r>
          </w:p>
        </w:tc>
        <w:tc>
          <w:tcPr>
            <w:tcW w:w="950" w:type="dxa"/>
            <w:tcBorders>
              <w:bottom w:val="single" w:sz="4" w:space="0" w:color="auto"/>
            </w:tcBorders>
            <w:noWrap/>
            <w:hideMark/>
          </w:tcPr>
          <w:p w14:paraId="74D9AA8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w:t>
            </w:r>
          </w:p>
        </w:tc>
        <w:tc>
          <w:tcPr>
            <w:tcW w:w="864" w:type="dxa"/>
            <w:tcBorders>
              <w:bottom w:val="single" w:sz="4" w:space="0" w:color="auto"/>
            </w:tcBorders>
            <w:noWrap/>
            <w:hideMark/>
          </w:tcPr>
          <w:p w14:paraId="5D7053D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tcBorders>
              <w:bottom w:val="single" w:sz="4" w:space="0" w:color="auto"/>
            </w:tcBorders>
            <w:noWrap/>
            <w:hideMark/>
          </w:tcPr>
          <w:p w14:paraId="394E162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4,232,679</w:t>
            </w:r>
          </w:p>
        </w:tc>
        <w:tc>
          <w:tcPr>
            <w:tcW w:w="1390" w:type="dxa"/>
            <w:tcBorders>
              <w:bottom w:val="single" w:sz="4" w:space="0" w:color="auto"/>
            </w:tcBorders>
            <w:noWrap/>
            <w:hideMark/>
          </w:tcPr>
          <w:p w14:paraId="03B3EFD2"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4,239,047</w:t>
            </w:r>
          </w:p>
        </w:tc>
      </w:tr>
    </w:tbl>
    <w:p w14:paraId="189F3EE5" w14:textId="77777777" w:rsidR="003073B2" w:rsidRPr="00142D60" w:rsidRDefault="003073B2" w:rsidP="003073B2">
      <w:pPr>
        <w:tabs>
          <w:tab w:val="left" w:pos="1770"/>
        </w:tabs>
        <w:rPr>
          <w:b/>
          <w:bCs/>
          <w:u w:val="single"/>
        </w:rPr>
      </w:pPr>
      <w:r w:rsidRPr="00142D60">
        <w:rPr>
          <w:b/>
          <w:bCs/>
          <w:u w:val="single"/>
        </w:rPr>
        <w:t>Notes</w:t>
      </w:r>
    </w:p>
    <w:p w14:paraId="303CA38B" w14:textId="77777777" w:rsidR="003073B2" w:rsidRPr="00142D60"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 F. 19 = Frontier 19 (the RM of Boundary Plateau).</w:t>
      </w:r>
    </w:p>
    <w:p w14:paraId="215AE8DC" w14:textId="77777777" w:rsidR="003073B2" w:rsidRDefault="003073B2" w:rsidP="003073B2">
      <w:pPr>
        <w:rPr>
          <w:b/>
          <w:bCs/>
        </w:rPr>
      </w:pPr>
      <w:r w:rsidRPr="00142D60">
        <w:rPr>
          <w:b/>
          <w:bCs/>
        </w:rPr>
        <w:br w:type="page"/>
      </w:r>
    </w:p>
    <w:p w14:paraId="46EB9B58" w14:textId="5C6B13AD" w:rsidR="003073B2" w:rsidRDefault="003073B2" w:rsidP="00B876BD">
      <w:pPr>
        <w:pStyle w:val="NormalWeb"/>
        <w:spacing w:before="0" w:beforeAutospacing="0" w:after="0" w:afterAutospacing="0" w:line="480" w:lineRule="auto"/>
        <w:rPr>
          <w:rFonts w:eastAsiaTheme="minorHAnsi"/>
        </w:rPr>
      </w:pPr>
      <w:r>
        <w:rPr>
          <w:rFonts w:eastAsiaTheme="minorHAnsi"/>
        </w:rPr>
        <w:lastRenderedPageBreak/>
        <w:tab/>
        <w:t xml:space="preserve">Table 7 reports the total economic loss to the three provinces in the Canadian prairies associated with wetland acreage loss in the PHJV Canadian Prairie landscapes. Details on how the economic loss was calculated are provided in section 4.3. </w:t>
      </w:r>
    </w:p>
    <w:p w14:paraId="05049BBE" w14:textId="77777777" w:rsidR="003073B2" w:rsidRDefault="003073B2" w:rsidP="003073B2">
      <w:pPr>
        <w:rPr>
          <w:rFonts w:eastAsiaTheme="minorHAnsi"/>
          <w:b/>
        </w:rPr>
      </w:pPr>
      <w:r>
        <w:rPr>
          <w:rFonts w:eastAsiaTheme="minorHAnsi"/>
          <w:b/>
        </w:rPr>
        <w:t>Table 7</w:t>
      </w:r>
      <w:proofErr w:type="gramStart"/>
      <w:r>
        <w:rPr>
          <w:rFonts w:eastAsiaTheme="minorHAnsi"/>
          <w:b/>
        </w:rPr>
        <w:t xml:space="preserve">.  </w:t>
      </w:r>
      <w:proofErr w:type="gramEnd"/>
      <w:r>
        <w:rPr>
          <w:rFonts w:eastAsiaTheme="minorHAnsi"/>
          <w:b/>
        </w:rPr>
        <w:t>Estimates of Economic Loss Associated with Wetland Acreage Loss in the Canadian Prairie PHJV Landscapes, 2001 – 2011.</w:t>
      </w:r>
    </w:p>
    <w:p w14:paraId="1CD76D7D" w14:textId="77777777" w:rsidR="003073B2" w:rsidRPr="00142D60" w:rsidRDefault="003073B2" w:rsidP="003073B2"/>
    <w:tbl>
      <w:tblPr>
        <w:tblStyle w:val="PlainTable4"/>
        <w:tblW w:w="9924" w:type="dxa"/>
        <w:tblLook w:val="04A0" w:firstRow="1" w:lastRow="0" w:firstColumn="1" w:lastColumn="0" w:noHBand="0" w:noVBand="1"/>
      </w:tblPr>
      <w:tblGrid>
        <w:gridCol w:w="1549"/>
        <w:gridCol w:w="981"/>
        <w:gridCol w:w="791"/>
        <w:gridCol w:w="1030"/>
        <w:gridCol w:w="1096"/>
        <w:gridCol w:w="950"/>
        <w:gridCol w:w="931"/>
        <w:gridCol w:w="1206"/>
        <w:gridCol w:w="1390"/>
      </w:tblGrid>
      <w:tr w:rsidR="003073B2" w:rsidRPr="00142D60" w14:paraId="6CBD6E30" w14:textId="77777777" w:rsidTr="007356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bottom w:val="single" w:sz="4" w:space="0" w:color="auto"/>
            </w:tcBorders>
            <w:noWrap/>
          </w:tcPr>
          <w:p w14:paraId="0F90275C" w14:textId="77777777" w:rsidR="003073B2" w:rsidRPr="00142D60" w:rsidRDefault="003073B2" w:rsidP="00735601">
            <w:pPr>
              <w:rPr>
                <w:lang w:eastAsia="en-CA"/>
              </w:rPr>
            </w:pPr>
            <w:r w:rsidRPr="00142D60">
              <w:rPr>
                <w:lang w:eastAsia="en-CA"/>
              </w:rPr>
              <w:t>Province</w:t>
            </w:r>
          </w:p>
        </w:tc>
        <w:tc>
          <w:tcPr>
            <w:tcW w:w="981" w:type="dxa"/>
            <w:tcBorders>
              <w:top w:val="single" w:sz="4" w:space="0" w:color="auto"/>
              <w:bottom w:val="single" w:sz="4" w:space="0" w:color="auto"/>
            </w:tcBorders>
            <w:noWrap/>
          </w:tcPr>
          <w:p w14:paraId="2842AAD2"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tcPr>
          <w:p w14:paraId="20A00F2F"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1030" w:type="dxa"/>
            <w:tcBorders>
              <w:top w:val="single" w:sz="4" w:space="0" w:color="auto"/>
              <w:bottom w:val="single" w:sz="4" w:space="0" w:color="auto"/>
            </w:tcBorders>
            <w:noWrap/>
          </w:tcPr>
          <w:p w14:paraId="37735032"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096" w:type="dxa"/>
            <w:tcBorders>
              <w:top w:val="single" w:sz="4" w:space="0" w:color="auto"/>
              <w:bottom w:val="single" w:sz="4" w:space="0" w:color="auto"/>
            </w:tcBorders>
            <w:noWrap/>
          </w:tcPr>
          <w:p w14:paraId="5DD86B00"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tcPr>
          <w:p w14:paraId="528DBADC"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931" w:type="dxa"/>
            <w:tcBorders>
              <w:top w:val="single" w:sz="4" w:space="0" w:color="auto"/>
              <w:bottom w:val="single" w:sz="4" w:space="0" w:color="auto"/>
            </w:tcBorders>
            <w:noWrap/>
          </w:tcPr>
          <w:p w14:paraId="22467E4A"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06" w:type="dxa"/>
            <w:tcBorders>
              <w:top w:val="single" w:sz="4" w:space="0" w:color="auto"/>
              <w:bottom w:val="single" w:sz="4" w:space="0" w:color="auto"/>
            </w:tcBorders>
            <w:noWrap/>
          </w:tcPr>
          <w:p w14:paraId="056793BC"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tcPr>
          <w:p w14:paraId="719B4545" w14:textId="77777777" w:rsidR="003073B2" w:rsidRPr="00142D60" w:rsidRDefault="003073B2" w:rsidP="00735601">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D97C747"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tcBorders>
            <w:noWrap/>
            <w:hideMark/>
          </w:tcPr>
          <w:p w14:paraId="3A3906AC" w14:textId="77777777" w:rsidR="003073B2" w:rsidRPr="00142D60" w:rsidRDefault="003073B2" w:rsidP="00735601">
            <w:pPr>
              <w:rPr>
                <w:lang w:eastAsia="en-CA"/>
              </w:rPr>
            </w:pPr>
            <w:r w:rsidRPr="00142D60">
              <w:rPr>
                <w:lang w:eastAsia="en-CA"/>
              </w:rPr>
              <w:t>Saskatchewan</w:t>
            </w:r>
          </w:p>
        </w:tc>
        <w:tc>
          <w:tcPr>
            <w:tcW w:w="981" w:type="dxa"/>
            <w:tcBorders>
              <w:top w:val="single" w:sz="4" w:space="0" w:color="auto"/>
            </w:tcBorders>
            <w:noWrap/>
            <w:hideMark/>
          </w:tcPr>
          <w:p w14:paraId="38C1C93B"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112,574</w:t>
            </w:r>
          </w:p>
        </w:tc>
        <w:tc>
          <w:tcPr>
            <w:tcW w:w="791" w:type="dxa"/>
            <w:tcBorders>
              <w:top w:val="single" w:sz="4" w:space="0" w:color="auto"/>
            </w:tcBorders>
            <w:noWrap/>
            <w:hideMark/>
          </w:tcPr>
          <w:p w14:paraId="7D51A09D"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82.56</w:t>
            </w:r>
          </w:p>
        </w:tc>
        <w:tc>
          <w:tcPr>
            <w:tcW w:w="1030" w:type="dxa"/>
            <w:tcBorders>
              <w:top w:val="single" w:sz="4" w:space="0" w:color="auto"/>
            </w:tcBorders>
            <w:noWrap/>
            <w:hideMark/>
          </w:tcPr>
          <w:p w14:paraId="3F8BB27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5,220</w:t>
            </w:r>
          </w:p>
        </w:tc>
        <w:tc>
          <w:tcPr>
            <w:tcW w:w="1096" w:type="dxa"/>
            <w:tcBorders>
              <w:top w:val="single" w:sz="4" w:space="0" w:color="auto"/>
            </w:tcBorders>
            <w:noWrap/>
            <w:hideMark/>
          </w:tcPr>
          <w:p w14:paraId="6D4ACD8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427,400</w:t>
            </w:r>
          </w:p>
        </w:tc>
        <w:tc>
          <w:tcPr>
            <w:tcW w:w="950" w:type="dxa"/>
            <w:tcBorders>
              <w:top w:val="single" w:sz="4" w:space="0" w:color="auto"/>
            </w:tcBorders>
            <w:noWrap/>
            <w:hideMark/>
          </w:tcPr>
          <w:p w14:paraId="69BAD03C"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23.48</w:t>
            </w:r>
          </w:p>
        </w:tc>
        <w:tc>
          <w:tcPr>
            <w:tcW w:w="931" w:type="dxa"/>
            <w:tcBorders>
              <w:top w:val="single" w:sz="4" w:space="0" w:color="auto"/>
            </w:tcBorders>
            <w:noWrap/>
            <w:hideMark/>
          </w:tcPr>
          <w:p w14:paraId="3ED39019"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430,973</w:t>
            </w:r>
          </w:p>
        </w:tc>
        <w:tc>
          <w:tcPr>
            <w:tcW w:w="1206" w:type="dxa"/>
            <w:tcBorders>
              <w:top w:val="single" w:sz="4" w:space="0" w:color="auto"/>
            </w:tcBorders>
            <w:noWrap/>
            <w:hideMark/>
          </w:tcPr>
          <w:p w14:paraId="554BE40D"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10,033,910</w:t>
            </w:r>
          </w:p>
        </w:tc>
        <w:tc>
          <w:tcPr>
            <w:tcW w:w="1390" w:type="dxa"/>
            <w:tcBorders>
              <w:top w:val="single" w:sz="4" w:space="0" w:color="auto"/>
            </w:tcBorders>
            <w:noWrap/>
            <w:hideMark/>
          </w:tcPr>
          <w:p w14:paraId="5B789FD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10,464,883</w:t>
            </w:r>
          </w:p>
        </w:tc>
      </w:tr>
      <w:tr w:rsidR="003073B2" w:rsidRPr="00142D60" w14:paraId="717FA4A0" w14:textId="77777777" w:rsidTr="00735601">
        <w:trPr>
          <w:trHeight w:val="300"/>
        </w:trPr>
        <w:tc>
          <w:tcPr>
            <w:cnfStyle w:val="001000000000" w:firstRow="0" w:lastRow="0" w:firstColumn="1" w:lastColumn="0" w:oddVBand="0" w:evenVBand="0" w:oddHBand="0" w:evenHBand="0" w:firstRowFirstColumn="0" w:firstRowLastColumn="0" w:lastRowFirstColumn="0" w:lastRowLastColumn="0"/>
            <w:tcW w:w="1549" w:type="dxa"/>
            <w:noWrap/>
            <w:hideMark/>
          </w:tcPr>
          <w:p w14:paraId="02C4CB09" w14:textId="77777777" w:rsidR="003073B2" w:rsidRPr="00142D60" w:rsidRDefault="003073B2" w:rsidP="00735601">
            <w:pPr>
              <w:rPr>
                <w:lang w:eastAsia="en-CA"/>
              </w:rPr>
            </w:pPr>
            <w:r w:rsidRPr="00142D60">
              <w:rPr>
                <w:lang w:eastAsia="en-CA"/>
              </w:rPr>
              <w:t xml:space="preserve">Alberta </w:t>
            </w:r>
          </w:p>
        </w:tc>
        <w:tc>
          <w:tcPr>
            <w:tcW w:w="981" w:type="dxa"/>
            <w:noWrap/>
            <w:hideMark/>
          </w:tcPr>
          <w:p w14:paraId="52ADBC6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28,252</w:t>
            </w:r>
          </w:p>
        </w:tc>
        <w:tc>
          <w:tcPr>
            <w:tcW w:w="791" w:type="dxa"/>
            <w:noWrap/>
            <w:hideMark/>
          </w:tcPr>
          <w:p w14:paraId="6E20EA9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45.17</w:t>
            </w:r>
          </w:p>
        </w:tc>
        <w:tc>
          <w:tcPr>
            <w:tcW w:w="1030" w:type="dxa"/>
            <w:noWrap/>
            <w:hideMark/>
          </w:tcPr>
          <w:p w14:paraId="7FD3D441"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4,410</w:t>
            </w:r>
          </w:p>
        </w:tc>
        <w:tc>
          <w:tcPr>
            <w:tcW w:w="1096" w:type="dxa"/>
            <w:noWrap/>
            <w:hideMark/>
          </w:tcPr>
          <w:p w14:paraId="7C82AD22"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1,523,265</w:t>
            </w:r>
          </w:p>
        </w:tc>
        <w:tc>
          <w:tcPr>
            <w:tcW w:w="950" w:type="dxa"/>
            <w:noWrap/>
            <w:hideMark/>
          </w:tcPr>
          <w:p w14:paraId="3C38E45E"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12.84</w:t>
            </w:r>
          </w:p>
        </w:tc>
        <w:tc>
          <w:tcPr>
            <w:tcW w:w="931" w:type="dxa"/>
            <w:noWrap/>
            <w:hideMark/>
          </w:tcPr>
          <w:p w14:paraId="6D9DBD17"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199,179</w:t>
            </w:r>
          </w:p>
        </w:tc>
        <w:tc>
          <w:tcPr>
            <w:tcW w:w="1206" w:type="dxa"/>
            <w:noWrap/>
            <w:hideMark/>
          </w:tcPr>
          <w:p w14:paraId="576C1E7B"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19,563,047</w:t>
            </w:r>
          </w:p>
        </w:tc>
        <w:tc>
          <w:tcPr>
            <w:tcW w:w="1390" w:type="dxa"/>
            <w:noWrap/>
            <w:hideMark/>
          </w:tcPr>
          <w:p w14:paraId="69DA29BA" w14:textId="77777777" w:rsidR="003073B2" w:rsidRPr="00142D60" w:rsidRDefault="003073B2" w:rsidP="00735601">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19,762,226</w:t>
            </w:r>
          </w:p>
        </w:tc>
      </w:tr>
      <w:tr w:rsidR="003073B2" w:rsidRPr="00142D60" w14:paraId="7C000069" w14:textId="77777777" w:rsidTr="0073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bottom w:val="single" w:sz="4" w:space="0" w:color="auto"/>
            </w:tcBorders>
            <w:noWrap/>
            <w:hideMark/>
          </w:tcPr>
          <w:p w14:paraId="48DB8915" w14:textId="77777777" w:rsidR="003073B2" w:rsidRPr="00142D60" w:rsidRDefault="003073B2" w:rsidP="00735601">
            <w:pPr>
              <w:rPr>
                <w:lang w:eastAsia="en-CA"/>
              </w:rPr>
            </w:pPr>
            <w:r w:rsidRPr="00142D60">
              <w:rPr>
                <w:lang w:eastAsia="en-CA"/>
              </w:rPr>
              <w:t>Manitoba</w:t>
            </w:r>
          </w:p>
        </w:tc>
        <w:tc>
          <w:tcPr>
            <w:tcW w:w="981" w:type="dxa"/>
            <w:tcBorders>
              <w:bottom w:val="single" w:sz="4" w:space="0" w:color="auto"/>
            </w:tcBorders>
            <w:noWrap/>
            <w:hideMark/>
          </w:tcPr>
          <w:p w14:paraId="2926C75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11,734</w:t>
            </w:r>
          </w:p>
        </w:tc>
        <w:tc>
          <w:tcPr>
            <w:tcW w:w="791" w:type="dxa"/>
            <w:tcBorders>
              <w:bottom w:val="single" w:sz="4" w:space="0" w:color="auto"/>
            </w:tcBorders>
            <w:noWrap/>
            <w:hideMark/>
          </w:tcPr>
          <w:p w14:paraId="4FB93C5A"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30.00</w:t>
            </w:r>
          </w:p>
        </w:tc>
        <w:tc>
          <w:tcPr>
            <w:tcW w:w="1030" w:type="dxa"/>
            <w:tcBorders>
              <w:bottom w:val="single" w:sz="4" w:space="0" w:color="auto"/>
            </w:tcBorders>
            <w:noWrap/>
            <w:hideMark/>
          </w:tcPr>
          <w:p w14:paraId="104D1EF1"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4,813</w:t>
            </w:r>
          </w:p>
        </w:tc>
        <w:tc>
          <w:tcPr>
            <w:tcW w:w="1096" w:type="dxa"/>
            <w:tcBorders>
              <w:bottom w:val="single" w:sz="4" w:space="0" w:color="auto"/>
            </w:tcBorders>
            <w:noWrap/>
            <w:hideMark/>
          </w:tcPr>
          <w:p w14:paraId="79A8B9A5"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484,237</w:t>
            </w:r>
          </w:p>
        </w:tc>
        <w:tc>
          <w:tcPr>
            <w:tcW w:w="950" w:type="dxa"/>
            <w:tcBorders>
              <w:bottom w:val="single" w:sz="4" w:space="0" w:color="auto"/>
            </w:tcBorders>
            <w:noWrap/>
            <w:hideMark/>
          </w:tcPr>
          <w:p w14:paraId="58E6F4B0"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8.53</w:t>
            </w:r>
          </w:p>
        </w:tc>
        <w:tc>
          <w:tcPr>
            <w:tcW w:w="931" w:type="dxa"/>
            <w:tcBorders>
              <w:bottom w:val="single" w:sz="4" w:space="0" w:color="auto"/>
            </w:tcBorders>
            <w:noWrap/>
            <w:hideMark/>
          </w:tcPr>
          <w:p w14:paraId="2F45E69F"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144,377</w:t>
            </w:r>
          </w:p>
        </w:tc>
        <w:tc>
          <w:tcPr>
            <w:tcW w:w="1206" w:type="dxa"/>
            <w:tcBorders>
              <w:bottom w:val="single" w:sz="4" w:space="0" w:color="auto"/>
            </w:tcBorders>
            <w:noWrap/>
            <w:hideMark/>
          </w:tcPr>
          <w:p w14:paraId="27AD1DB5"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4,130,426</w:t>
            </w:r>
          </w:p>
        </w:tc>
        <w:tc>
          <w:tcPr>
            <w:tcW w:w="1390" w:type="dxa"/>
            <w:tcBorders>
              <w:bottom w:val="single" w:sz="4" w:space="0" w:color="auto"/>
            </w:tcBorders>
            <w:noWrap/>
            <w:hideMark/>
          </w:tcPr>
          <w:p w14:paraId="37596838" w14:textId="77777777" w:rsidR="003073B2" w:rsidRPr="00142D60" w:rsidRDefault="003073B2" w:rsidP="00735601">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4,274,803</w:t>
            </w:r>
          </w:p>
        </w:tc>
      </w:tr>
    </w:tbl>
    <w:p w14:paraId="271CB4B5" w14:textId="77777777" w:rsidR="003073B2" w:rsidRPr="00142D60" w:rsidRDefault="003073B2" w:rsidP="003073B2">
      <w:pPr>
        <w:tabs>
          <w:tab w:val="left" w:pos="1770"/>
        </w:tabs>
        <w:rPr>
          <w:b/>
          <w:bCs/>
          <w:u w:val="single"/>
        </w:rPr>
      </w:pPr>
      <w:r w:rsidRPr="00142D60">
        <w:rPr>
          <w:b/>
          <w:bCs/>
          <w:u w:val="single"/>
        </w:rPr>
        <w:t>Notes</w:t>
      </w:r>
    </w:p>
    <w:p w14:paraId="134D4146" w14:textId="4ECD4694" w:rsidR="003073B2" w:rsidRPr="0051711E"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w:t>
      </w:r>
      <w:r w:rsidR="001279BA">
        <w:t>.</w:t>
      </w:r>
    </w:p>
    <w:p w14:paraId="12DEB64E" w14:textId="77777777" w:rsidR="003073B2" w:rsidRDefault="003073B2" w:rsidP="00B876BD">
      <w:pPr>
        <w:pStyle w:val="NormalWeb"/>
        <w:spacing w:before="0" w:beforeAutospacing="0" w:after="0" w:afterAutospacing="0" w:line="480" w:lineRule="auto"/>
        <w:rPr>
          <w:rFonts w:eastAsiaTheme="minorHAnsi"/>
        </w:rPr>
      </w:pPr>
    </w:p>
    <w:p w14:paraId="36E515C7" w14:textId="41EA16D8" w:rsidR="00915E75" w:rsidRDefault="004E2E69" w:rsidP="001279BA">
      <w:pPr>
        <w:pStyle w:val="NormalWeb"/>
        <w:spacing w:before="0" w:beforeAutospacing="0" w:after="0" w:afterAutospacing="0" w:line="480" w:lineRule="auto"/>
        <w:rPr>
          <w:rFonts w:eastAsiaTheme="minorHAnsi"/>
        </w:rPr>
      </w:pPr>
      <w:r>
        <w:rPr>
          <w:rFonts w:eastAsiaTheme="minorHAnsi"/>
        </w:rPr>
        <w:tab/>
      </w:r>
      <w:r w:rsidR="001279BA">
        <w:rPr>
          <w:rFonts w:eastAsiaTheme="minorHAnsi"/>
        </w:rPr>
        <w:t xml:space="preserve">The total economic loss associated with the PHJV wetland acreage loss highest in Alberta ($19,762,226/year) followed by Saskatchewan ($10,464,883/year) and then Manitoba ($4,274,803/year). The total economic loss is driven mainly by the number of households in the provinces which is highest in Alberta. For the entire Canadian Prairie, the total economic loss is $34,501,912/year. </w:t>
      </w:r>
    </w:p>
    <w:bookmarkEnd w:id="96"/>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1327C3EF" w14:textId="74991D68" w:rsidR="00437338" w:rsidRDefault="00437338" w:rsidP="00437338">
      <w:pPr>
        <w:spacing w:line="480" w:lineRule="auto"/>
        <w:rPr>
          <w:b/>
          <w:bCs/>
        </w:rPr>
      </w:pPr>
      <w:proofErr w:type="gramStart"/>
      <w:r>
        <w:rPr>
          <w:b/>
          <w:bCs/>
        </w:rPr>
        <w:lastRenderedPageBreak/>
        <w:t xml:space="preserve">6.1  </w:t>
      </w:r>
      <w:r w:rsidR="00B876BD" w:rsidRPr="00437338">
        <w:rPr>
          <w:b/>
          <w:bCs/>
        </w:rPr>
        <w:t>Discussion</w:t>
      </w:r>
      <w:proofErr w:type="gramEnd"/>
      <w:r w:rsidR="00B876BD" w:rsidRPr="00437338">
        <w:rPr>
          <w:b/>
          <w:bCs/>
        </w:rPr>
        <w:t xml:space="preserve"> </w:t>
      </w:r>
    </w:p>
    <w:p w14:paraId="53258556" w14:textId="77777777" w:rsidR="00437338" w:rsidRDefault="00437338">
      <w:pPr>
        <w:rPr>
          <w:b/>
          <w:bCs/>
        </w:rPr>
      </w:pPr>
      <w:r>
        <w:rPr>
          <w:b/>
          <w:bCs/>
        </w:rPr>
        <w:br w:type="page"/>
      </w:r>
    </w:p>
    <w:p w14:paraId="310A26DA" w14:textId="6CC4C0CE" w:rsidR="00437338" w:rsidRPr="00437338" w:rsidRDefault="00437338" w:rsidP="00437338">
      <w:pPr>
        <w:spacing w:line="480" w:lineRule="auto"/>
        <w:rPr>
          <w:b/>
          <w:bCs/>
        </w:rPr>
      </w:pPr>
      <w:r>
        <w:rPr>
          <w:b/>
          <w:bCs/>
        </w:rPr>
        <w:lastRenderedPageBreak/>
        <w:t>6.2.  Conclusion</w:t>
      </w:r>
    </w:p>
    <w:p w14:paraId="133A223C" w14:textId="77777777" w:rsidR="00437338" w:rsidRDefault="00437338" w:rsidP="00437338">
      <w:pPr>
        <w:pStyle w:val="ListParagraph"/>
        <w:spacing w:line="480" w:lineRule="auto"/>
        <w:ind w:left="360"/>
        <w:rPr>
          <w:b/>
          <w:bCs/>
        </w:rPr>
      </w:pP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proofErr w:type="spellStart"/>
      <w:r w:rsidRPr="004D1057">
        <w:rPr>
          <w:color w:val="222222"/>
          <w:shd w:val="clear" w:color="auto" w:fill="FFFFFF"/>
        </w:rPr>
        <w:t>Badiou</w:t>
      </w:r>
      <w:proofErr w:type="spellEnd"/>
      <w:r w:rsidRPr="004D1057">
        <w:rPr>
          <w:color w:val="222222"/>
          <w:shd w:val="clear" w:color="auto" w:fill="FFFFFF"/>
        </w:rPr>
        <w:t xml:space="preserve">,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w:t>
      </w:r>
      <w:proofErr w:type="spellStart"/>
      <w:r w:rsidRPr="004D1057">
        <w:rPr>
          <w:color w:val="222222"/>
          <w:shd w:val="clear" w:color="auto" w:fill="FFFFFF"/>
        </w:rPr>
        <w:t>Braat</w:t>
      </w:r>
      <w:proofErr w:type="spellEnd"/>
      <w:r w:rsidRPr="004D1057">
        <w:rPr>
          <w:color w:val="222222"/>
          <w:shd w:val="clear" w:color="auto" w:fill="FFFFFF"/>
        </w:rPr>
        <w:t xml:space="preserve">,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 xml:space="preserve">Emerton, L., &amp; </w:t>
      </w:r>
      <w:proofErr w:type="spellStart"/>
      <w:r w:rsidRPr="004D1057">
        <w:rPr>
          <w:color w:val="222222"/>
          <w:shd w:val="clear" w:color="auto" w:fill="FFFFFF"/>
        </w:rPr>
        <w:t>Kekulandala</w:t>
      </w:r>
      <w:proofErr w:type="spellEnd"/>
      <w:r w:rsidRPr="004D1057">
        <w:rPr>
          <w:color w:val="222222"/>
          <w:shd w:val="clear" w:color="auto" w:fill="FFFFFF"/>
        </w:rPr>
        <w:t>,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proofErr w:type="spellStart"/>
      <w:r w:rsidRPr="004D1057">
        <w:rPr>
          <w:i/>
          <w:iCs/>
          <w:color w:val="222222"/>
          <w:shd w:val="clear" w:color="auto" w:fill="FFFFFF"/>
        </w:rPr>
        <w:t>Muthurajawela</w:t>
      </w:r>
      <w:proofErr w:type="spellEnd"/>
      <w:r w:rsidRPr="004D1057">
        <w:rPr>
          <w:i/>
          <w:iCs/>
          <w:color w:val="222222"/>
          <w:shd w:val="clear" w:color="auto" w:fill="FFFFFF"/>
        </w:rPr>
        <w:t xml:space="preserve">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w:t>
      </w:r>
      <w:proofErr w:type="spellStart"/>
      <w:r w:rsidRPr="004D1057">
        <w:rPr>
          <w:color w:val="222222"/>
          <w:shd w:val="clear" w:color="auto" w:fill="FFFFFF"/>
        </w:rPr>
        <w:t>Euliss</w:t>
      </w:r>
      <w:proofErr w:type="spellEnd"/>
      <w:r w:rsidRPr="004D1057">
        <w:rPr>
          <w:color w:val="222222"/>
          <w:shd w:val="clear" w:color="auto" w:fill="FFFFFF"/>
        </w:rPr>
        <w:t xml:space="preserve">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w:t>
      </w:r>
      <w:proofErr w:type="spellStart"/>
      <w:r w:rsidRPr="004D1057">
        <w:rPr>
          <w:color w:val="222222"/>
          <w:shd w:val="clear" w:color="auto" w:fill="FFFFFF"/>
        </w:rPr>
        <w:t>Thomassin</w:t>
      </w:r>
      <w:proofErr w:type="spellEnd"/>
      <w:r w:rsidRPr="004D1057">
        <w:rPr>
          <w:color w:val="222222"/>
          <w:shd w:val="clear" w:color="auto" w:fill="FFFFFF"/>
        </w:rPr>
        <w:t xml:space="preserve">,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w:t>
      </w:r>
      <w:proofErr w:type="gramStart"/>
      <w:r w:rsidRPr="004D1057">
        <w:rPr>
          <w:color w:val="222222"/>
          <w:shd w:val="clear" w:color="auto" w:fill="FFFFFF"/>
        </w:rPr>
        <w:t>trends</w:t>
      </w:r>
      <w:proofErr w:type="gramEnd"/>
      <w:r w:rsidRPr="004D1057">
        <w:rPr>
          <w:color w:val="222222"/>
          <w:shd w:val="clear" w:color="auto" w:fill="FFFFFF"/>
        </w:rPr>
        <w:t xml:space="preserve">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Kraus (2019)</w:t>
      </w:r>
      <w:proofErr w:type="gramStart"/>
      <w:r w:rsidRPr="004D1057">
        <w:t xml:space="preserve">.  </w:t>
      </w:r>
      <w:proofErr w:type="gramEnd"/>
      <w:r w:rsidRPr="004D1057">
        <w:t xml:space="preserve">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proofErr w:type="spellStart"/>
      <w:r w:rsidRPr="004D1057">
        <w:rPr>
          <w:color w:val="222222"/>
          <w:shd w:val="clear" w:color="auto" w:fill="FFFFFF"/>
        </w:rPr>
        <w:t>Lindhjem</w:t>
      </w:r>
      <w:proofErr w:type="spellEnd"/>
      <w:r w:rsidRPr="004D1057">
        <w:rPr>
          <w:color w:val="222222"/>
          <w:shd w:val="clear" w:color="auto" w:fill="FFFFFF"/>
        </w:rPr>
        <w:t xml:space="preserve">, H., &amp; </w:t>
      </w:r>
      <w:proofErr w:type="spellStart"/>
      <w:r w:rsidRPr="004D1057">
        <w:rPr>
          <w:color w:val="222222"/>
          <w:shd w:val="clear" w:color="auto" w:fill="FFFFFF"/>
        </w:rPr>
        <w:t>Navrud</w:t>
      </w:r>
      <w:proofErr w:type="spellEnd"/>
      <w:r w:rsidRPr="004D1057">
        <w:rPr>
          <w:color w:val="222222"/>
          <w:shd w:val="clear" w:color="auto" w:fill="FFFFFF"/>
        </w:rPr>
        <w:t xml:space="preserve">, S. (2008). How reliable are meta-analyses for international </w:t>
      </w:r>
      <w:proofErr w:type="gramStart"/>
      <w:r w:rsidRPr="004D1057">
        <w:rPr>
          <w:color w:val="222222"/>
          <w:shd w:val="clear" w:color="auto" w:fill="FFFFFF"/>
        </w:rPr>
        <w:t>benefit</w:t>
      </w:r>
      <w:proofErr w:type="gramEnd"/>
      <w:r w:rsidRPr="004D1057">
        <w:rPr>
          <w:color w:val="222222"/>
          <w:shd w:val="clear" w:color="auto" w:fill="FFFFFF"/>
        </w:rPr>
        <w:t xml:space="preserve">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proofErr w:type="spellStart"/>
      <w:r w:rsidRPr="004D1057">
        <w:rPr>
          <w:color w:val="222222"/>
          <w:shd w:val="clear" w:color="auto" w:fill="FFFFFF"/>
        </w:rPr>
        <w:t>Meyerhoff</w:t>
      </w:r>
      <w:proofErr w:type="spellEnd"/>
      <w:r w:rsidRPr="004D1057">
        <w:rPr>
          <w:color w:val="222222"/>
          <w:shd w:val="clear" w:color="auto" w:fill="FFFFFF"/>
        </w:rPr>
        <w:t xml:space="preserve">, J., &amp; </w:t>
      </w:r>
      <w:proofErr w:type="spellStart"/>
      <w:r w:rsidRPr="004D1057">
        <w:rPr>
          <w:color w:val="222222"/>
          <w:shd w:val="clear" w:color="auto" w:fill="FFFFFF"/>
        </w:rPr>
        <w:t>Dehnhardt</w:t>
      </w:r>
      <w:proofErr w:type="spellEnd"/>
      <w:r w:rsidRPr="004D1057">
        <w:rPr>
          <w:color w:val="222222"/>
          <w:shd w:val="clear" w:color="auto" w:fill="FFFFFF"/>
        </w:rPr>
        <w:t xml:space="preserve">,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w:t>
      </w:r>
      <w:proofErr w:type="spellStart"/>
      <w:r w:rsidRPr="004D1057">
        <w:rPr>
          <w:i/>
          <w:iCs/>
          <w:color w:val="222222"/>
          <w:shd w:val="clear" w:color="auto" w:fill="FFFFFF"/>
        </w:rPr>
        <w:t>d'agroeconomie</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proofErr w:type="spellStart"/>
      <w:r w:rsidRPr="004D1057">
        <w:rPr>
          <w:color w:val="222222"/>
          <w:shd w:val="clear" w:color="auto" w:fill="FFFFFF"/>
        </w:rPr>
        <w:t>Schuijt</w:t>
      </w:r>
      <w:proofErr w:type="spellEnd"/>
      <w:r w:rsidRPr="004D1057">
        <w:rPr>
          <w:color w:val="222222"/>
          <w:shd w:val="clear" w:color="auto" w:fill="FFFFFF"/>
        </w:rPr>
        <w:t xml:space="preserve">,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proofErr w:type="spellStart"/>
      <w:r w:rsidRPr="004D1057">
        <w:lastRenderedPageBreak/>
        <w:t>Tkac</w:t>
      </w:r>
      <w:proofErr w:type="spellEnd"/>
      <w:r w:rsidRPr="004D1057">
        <w:t>,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proofErr w:type="spellStart"/>
      <w:r w:rsidRPr="004D1057">
        <w:rPr>
          <w:color w:val="222222"/>
          <w:shd w:val="clear" w:color="auto" w:fill="FFFFFF"/>
        </w:rPr>
        <w:t>Vossler</w:t>
      </w:r>
      <w:proofErr w:type="spellEnd"/>
      <w:r w:rsidRPr="004D1057">
        <w:rPr>
          <w:color w:val="222222"/>
          <w:shd w:val="clear" w:color="auto" w:fill="FFFFFF"/>
        </w:rPr>
        <w:t>,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w:t>
      </w:r>
      <w:proofErr w:type="gramStart"/>
      <w:r w:rsidRPr="004D1057">
        <w:rPr>
          <w:i/>
          <w:iCs/>
          <w:color w:val="222222"/>
          <w:shd w:val="clear" w:color="auto" w:fill="FFFFFF"/>
        </w:rPr>
        <w:t>accept</w:t>
      </w:r>
      <w:proofErr w:type="gramEnd"/>
      <w:r w:rsidRPr="004D1057">
        <w:rPr>
          <w:i/>
          <w:iCs/>
          <w:color w:val="222222"/>
          <w:shd w:val="clear" w:color="auto" w:fill="FFFFFF"/>
        </w:rPr>
        <w:t xml:space="preserve">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proofErr w:type="spellStart"/>
      <w:r w:rsidRPr="004D1057">
        <w:rPr>
          <w:color w:val="222222"/>
          <w:shd w:val="clear" w:color="auto" w:fill="FFFFFF"/>
        </w:rPr>
        <w:t>Vymazal</w:t>
      </w:r>
      <w:proofErr w:type="spellEnd"/>
      <w:r w:rsidRPr="004D1057">
        <w:rPr>
          <w:color w:val="222222"/>
          <w:shd w:val="clear" w:color="auto" w:fill="FFFFFF"/>
        </w:rPr>
        <w:t xml:space="preserve">,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proofErr w:type="spellStart"/>
      <w:r w:rsidRPr="004D1057">
        <w:t>Watmough</w:t>
      </w:r>
      <w:proofErr w:type="spellEnd"/>
      <w:r w:rsidRPr="004D1057">
        <w:t xml:space="preserve">, M.D., and M.J. </w:t>
      </w:r>
      <w:proofErr w:type="spellStart"/>
      <w:r w:rsidRPr="004D1057">
        <w:t>Schmoll</w:t>
      </w:r>
      <w:proofErr w:type="spellEnd"/>
      <w:r w:rsidRPr="004D1057">
        <w:t xml:space="preserve">.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59EA3018" w:rsidR="00A5769D" w:rsidRPr="004D1057" w:rsidRDefault="00A5769D" w:rsidP="00D03D13">
      <w:pPr>
        <w:tabs>
          <w:tab w:val="left" w:pos="1425"/>
        </w:tabs>
        <w:jc w:val="center"/>
        <w:rPr>
          <w:b/>
          <w:bCs/>
        </w:rPr>
      </w:pPr>
      <w:r w:rsidRPr="004D1057">
        <w:rPr>
          <w:b/>
          <w:bCs/>
        </w:rPr>
        <w:t>Appendix</w:t>
      </w:r>
      <w:r w:rsidR="00184756">
        <w:rPr>
          <w:b/>
          <w:bCs/>
        </w:rPr>
        <w:t xml:space="preserve"> A</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98"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lastRenderedPageBreak/>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proofErr w:type="spellStart"/>
            <w:r w:rsidRPr="004D1057">
              <w:rPr>
                <w:color w:val="000000"/>
                <w:sz w:val="18"/>
                <w:szCs w:val="18"/>
              </w:rPr>
              <w:t>Tkac</w:t>
            </w:r>
            <w:proofErr w:type="spellEnd"/>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xml:space="preserve">,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proofErr w:type="spellStart"/>
            <w:r>
              <w:rPr>
                <w:color w:val="000000"/>
                <w:sz w:val="18"/>
                <w:szCs w:val="18"/>
              </w:rPr>
              <w:t>Ayokunle</w:t>
            </w:r>
            <w:proofErr w:type="spellEnd"/>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 xml:space="preserve">Saltwater, </w:t>
            </w:r>
            <w:proofErr w:type="spellStart"/>
            <w:r>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proofErr w:type="spellStart"/>
            <w:r w:rsidRPr="004D1057">
              <w:rPr>
                <w:color w:val="000000"/>
                <w:sz w:val="18"/>
                <w:szCs w:val="18"/>
              </w:rPr>
              <w:t>Vossler</w:t>
            </w:r>
            <w:proofErr w:type="spellEnd"/>
            <w:r w:rsidRPr="004D1057">
              <w:rPr>
                <w:color w:val="000000"/>
                <w:sz w:val="18"/>
                <w:szCs w:val="18"/>
              </w:rPr>
              <w:t xml:space="preserve">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 xml:space="preserve">Notes: BA is base wetland acreage; PA is policy wetland acreage; WTP is willingness to pay which is measured in C$ in the year of study per household per </w:t>
      </w:r>
      <w:proofErr w:type="gramStart"/>
      <w:r w:rsidRPr="004D1057">
        <w:rPr>
          <w:sz w:val="18"/>
          <w:szCs w:val="18"/>
        </w:rPr>
        <w:t>year</w:t>
      </w:r>
      <w:r w:rsidR="006E0912">
        <w:rPr>
          <w:sz w:val="18"/>
          <w:szCs w:val="18"/>
        </w:rPr>
        <w:t>;</w:t>
      </w:r>
      <w:proofErr w:type="gramEnd"/>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98"/>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99"/>
      <w:r>
        <w:rPr>
          <w:b/>
          <w:bCs/>
        </w:rPr>
        <w:t xml:space="preserve">Model </w:t>
      </w:r>
      <w:r w:rsidR="001D60C7">
        <w:rPr>
          <w:b/>
          <w:bCs/>
        </w:rPr>
        <w:t>2</w:t>
      </w:r>
      <w:r>
        <w:rPr>
          <w:b/>
          <w:bCs/>
        </w:rPr>
        <w:t xml:space="preserve"> </w:t>
      </w:r>
      <w:r w:rsidRPr="004D1057">
        <w:rPr>
          <w:b/>
          <w:bCs/>
        </w:rPr>
        <w:t xml:space="preserve">Meta-regression results </w:t>
      </w:r>
      <w:commentRangeEnd w:id="99"/>
      <w:r>
        <w:rPr>
          <w:rStyle w:val="CommentReference"/>
          <w:rFonts w:asciiTheme="minorHAnsi" w:eastAsiaTheme="minorHAnsi" w:hAnsiTheme="minorHAnsi" w:cstheme="minorBidi"/>
        </w:rPr>
        <w:commentReference w:id="99"/>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08B9C895" w14:textId="77777777" w:rsidR="005A1844" w:rsidRDefault="005A1844" w:rsidP="005A1844">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100"/>
      <w:r>
        <w:rPr>
          <w:b/>
          <w:bCs/>
        </w:rPr>
        <w:t xml:space="preserve">Model 2 </w:t>
      </w:r>
      <w:r w:rsidRPr="004D1057">
        <w:rPr>
          <w:b/>
          <w:bCs/>
        </w:rPr>
        <w:t xml:space="preserve">Meta-regression results </w:t>
      </w:r>
      <w:commentRangeEnd w:id="100"/>
      <w:r>
        <w:rPr>
          <w:rStyle w:val="CommentReference"/>
          <w:rFonts w:asciiTheme="minorHAnsi" w:eastAsiaTheme="minorHAnsi" w:hAnsiTheme="minorHAnsi" w:cstheme="minorBidi"/>
        </w:rPr>
        <w:commentReference w:id="100"/>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6BF39769" w14:textId="41940B5F" w:rsidR="000D03CE" w:rsidRDefault="000D03CE" w:rsidP="000D03CE">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101"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82282D" w:rsidRPr="007A6CA4" w14:paraId="7CE417CE" w14:textId="77777777" w:rsidTr="00A57D0D">
        <w:trPr>
          <w:trHeight w:val="300"/>
        </w:trPr>
        <w:tc>
          <w:tcPr>
            <w:tcW w:w="3261" w:type="dxa"/>
            <w:shd w:val="clear" w:color="auto" w:fill="auto"/>
            <w:noWrap/>
            <w:vAlign w:val="bottom"/>
            <w:hideMark/>
          </w:tcPr>
          <w:p w14:paraId="7C635EA6"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91BEFBD" w:rsidR="0082282D" w:rsidRPr="007A6CA4" w:rsidRDefault="0082282D" w:rsidP="0082282D">
            <w:pPr>
              <w:jc w:val="center"/>
              <w:rPr>
                <w:color w:val="000000"/>
                <w:sz w:val="20"/>
                <w:szCs w:val="20"/>
                <w:lang w:eastAsia="en-CA"/>
              </w:rPr>
            </w:pPr>
            <w:r>
              <w:rPr>
                <w:rFonts w:ascii="Calibri" w:hAnsi="Calibri" w:cs="Calibri"/>
                <w:color w:val="000000"/>
                <w:sz w:val="22"/>
                <w:szCs w:val="22"/>
              </w:rPr>
              <w:t>23.01</w:t>
            </w:r>
          </w:p>
        </w:tc>
      </w:tr>
      <w:tr w:rsidR="0082282D" w:rsidRPr="007A6CA4" w14:paraId="19BEDA16" w14:textId="77777777" w:rsidTr="00A57D0D">
        <w:trPr>
          <w:trHeight w:val="300"/>
        </w:trPr>
        <w:tc>
          <w:tcPr>
            <w:tcW w:w="3261" w:type="dxa"/>
            <w:shd w:val="clear" w:color="auto" w:fill="auto"/>
            <w:noWrap/>
            <w:vAlign w:val="bottom"/>
            <w:hideMark/>
          </w:tcPr>
          <w:p w14:paraId="55722F19"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21BBACAC" w:rsidR="0082282D" w:rsidRPr="007A6CA4" w:rsidRDefault="0082282D" w:rsidP="0082282D">
            <w:pPr>
              <w:jc w:val="center"/>
              <w:rPr>
                <w:color w:val="000000"/>
                <w:sz w:val="20"/>
                <w:szCs w:val="20"/>
                <w:lang w:eastAsia="en-CA"/>
              </w:rPr>
            </w:pPr>
            <w:r>
              <w:rPr>
                <w:rFonts w:ascii="Calibri" w:hAnsi="Calibri" w:cs="Calibri"/>
                <w:color w:val="000000"/>
                <w:sz w:val="22"/>
                <w:szCs w:val="22"/>
              </w:rPr>
              <w:t>21.55</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17E78776"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24.97</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01C15B44"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78.39</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82282D" w:rsidRPr="007A6CA4" w14:paraId="6379D7CD" w14:textId="77777777" w:rsidTr="00A57D0D">
        <w:trPr>
          <w:trHeight w:val="300"/>
        </w:trPr>
        <w:tc>
          <w:tcPr>
            <w:tcW w:w="3261" w:type="dxa"/>
            <w:shd w:val="clear" w:color="auto" w:fill="auto"/>
            <w:noWrap/>
            <w:vAlign w:val="bottom"/>
            <w:hideMark/>
          </w:tcPr>
          <w:p w14:paraId="79536FFD"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07984CAB" w:rsidR="0082282D" w:rsidRPr="007A6CA4" w:rsidRDefault="0082282D" w:rsidP="0082282D">
            <w:pPr>
              <w:jc w:val="center"/>
              <w:rPr>
                <w:color w:val="000000"/>
                <w:sz w:val="20"/>
                <w:szCs w:val="20"/>
                <w:lang w:eastAsia="en-CA"/>
              </w:rPr>
            </w:pPr>
            <w:r>
              <w:rPr>
                <w:rFonts w:ascii="Calibri" w:hAnsi="Calibri" w:cs="Calibri"/>
                <w:color w:val="000000"/>
                <w:sz w:val="22"/>
                <w:szCs w:val="22"/>
              </w:rPr>
              <w:t>3.63</w:t>
            </w:r>
          </w:p>
        </w:tc>
      </w:tr>
      <w:tr w:rsidR="0082282D" w:rsidRPr="007A6CA4" w14:paraId="2DBC4A13" w14:textId="77777777" w:rsidTr="00A57D0D">
        <w:trPr>
          <w:trHeight w:val="300"/>
        </w:trPr>
        <w:tc>
          <w:tcPr>
            <w:tcW w:w="3261" w:type="dxa"/>
            <w:shd w:val="clear" w:color="auto" w:fill="auto"/>
            <w:noWrap/>
            <w:vAlign w:val="bottom"/>
            <w:hideMark/>
          </w:tcPr>
          <w:p w14:paraId="5458C955"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4495A0CC" w:rsidR="0082282D" w:rsidRPr="007A6CA4" w:rsidRDefault="0082282D" w:rsidP="0082282D">
            <w:pPr>
              <w:jc w:val="center"/>
              <w:rPr>
                <w:color w:val="000000"/>
                <w:sz w:val="20"/>
                <w:szCs w:val="20"/>
                <w:lang w:eastAsia="en-CA"/>
              </w:rPr>
            </w:pPr>
            <w:r>
              <w:rPr>
                <w:rFonts w:ascii="Calibri" w:hAnsi="Calibri" w:cs="Calibri"/>
                <w:color w:val="000000"/>
                <w:sz w:val="22"/>
                <w:szCs w:val="22"/>
              </w:rPr>
              <w:t>3.40</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5E7EEA68" w:rsidR="00032AB6" w:rsidRPr="007A6CA4" w:rsidRDefault="0082282D" w:rsidP="00A57D0D">
            <w:pPr>
              <w:jc w:val="center"/>
              <w:rPr>
                <w:color w:val="000000"/>
                <w:sz w:val="20"/>
                <w:szCs w:val="20"/>
                <w:lang w:eastAsia="en-CA"/>
              </w:rPr>
            </w:pPr>
            <w:r>
              <w:rPr>
                <w:color w:val="000000"/>
                <w:sz w:val="20"/>
                <w:szCs w:val="20"/>
                <w:lang w:eastAsia="en-CA"/>
              </w:rPr>
              <w:t>3.94</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59326FA8"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56835DD8" w14:textId="77777777" w:rsidTr="00A57D0D">
        <w:trPr>
          <w:trHeight w:val="300"/>
        </w:trPr>
        <w:tc>
          <w:tcPr>
            <w:tcW w:w="3261" w:type="dxa"/>
            <w:shd w:val="clear" w:color="auto" w:fill="auto"/>
            <w:noWrap/>
            <w:vAlign w:val="bottom"/>
            <w:hideMark/>
          </w:tcPr>
          <w:p w14:paraId="12A48B5B"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6DAA98DE" w:rsidR="0082282D" w:rsidRPr="007A6CA4" w:rsidRDefault="0082282D" w:rsidP="0082282D">
            <w:pPr>
              <w:jc w:val="center"/>
              <w:rPr>
                <w:color w:val="000000"/>
                <w:sz w:val="20"/>
                <w:szCs w:val="20"/>
                <w:lang w:eastAsia="en-CA"/>
              </w:rPr>
            </w:pPr>
            <w:r>
              <w:rPr>
                <w:rFonts w:ascii="Calibri" w:hAnsi="Calibri" w:cs="Calibri"/>
                <w:color w:val="000000"/>
                <w:sz w:val="22"/>
                <w:szCs w:val="22"/>
              </w:rPr>
              <w:t>6.32</w:t>
            </w:r>
          </w:p>
        </w:tc>
      </w:tr>
      <w:tr w:rsidR="0082282D" w:rsidRPr="007A6CA4" w14:paraId="5EE32939" w14:textId="77777777" w:rsidTr="00A57D0D">
        <w:trPr>
          <w:trHeight w:val="300"/>
        </w:trPr>
        <w:tc>
          <w:tcPr>
            <w:tcW w:w="3261" w:type="dxa"/>
            <w:shd w:val="clear" w:color="auto" w:fill="auto"/>
            <w:noWrap/>
            <w:vAlign w:val="bottom"/>
            <w:hideMark/>
          </w:tcPr>
          <w:p w14:paraId="08B406DB"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4CD6392F" w:rsidR="0082282D" w:rsidRPr="007A6CA4" w:rsidRDefault="0082282D" w:rsidP="0082282D">
            <w:pPr>
              <w:jc w:val="center"/>
              <w:rPr>
                <w:color w:val="000000"/>
                <w:sz w:val="20"/>
                <w:szCs w:val="20"/>
                <w:lang w:eastAsia="en-CA"/>
              </w:rPr>
            </w:pPr>
            <w:r>
              <w:rPr>
                <w:rFonts w:ascii="Calibri" w:hAnsi="Calibri" w:cs="Calibri"/>
                <w:color w:val="000000"/>
                <w:sz w:val="22"/>
                <w:szCs w:val="22"/>
              </w:rPr>
              <w:t>5.92</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5555EA4" w:rsidR="00032AB6" w:rsidRPr="007A6CA4" w:rsidRDefault="0082282D" w:rsidP="00A57D0D">
            <w:pPr>
              <w:jc w:val="center"/>
              <w:rPr>
                <w:color w:val="000000"/>
                <w:sz w:val="20"/>
                <w:szCs w:val="20"/>
                <w:lang w:eastAsia="en-CA"/>
              </w:rPr>
            </w:pPr>
            <w:r>
              <w:rPr>
                <w:color w:val="000000"/>
                <w:sz w:val="20"/>
                <w:szCs w:val="20"/>
                <w:lang w:eastAsia="en-CA"/>
              </w:rPr>
              <w:t>6.87</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5855D1D6"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4D25EB44" w14:textId="77777777" w:rsidTr="00A57D0D">
        <w:trPr>
          <w:trHeight w:val="300"/>
        </w:trPr>
        <w:tc>
          <w:tcPr>
            <w:tcW w:w="3261" w:type="dxa"/>
            <w:shd w:val="clear" w:color="auto" w:fill="auto"/>
            <w:noWrap/>
            <w:vAlign w:val="bottom"/>
            <w:hideMark/>
          </w:tcPr>
          <w:p w14:paraId="33BF527C"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5A51F885" w:rsidR="0082282D" w:rsidRPr="007A6CA4" w:rsidRDefault="0082282D" w:rsidP="0082282D">
            <w:pPr>
              <w:jc w:val="center"/>
              <w:rPr>
                <w:color w:val="000000"/>
                <w:sz w:val="20"/>
                <w:szCs w:val="20"/>
                <w:lang w:eastAsia="en-CA"/>
              </w:rPr>
            </w:pPr>
            <w:r>
              <w:rPr>
                <w:rFonts w:ascii="Calibri" w:hAnsi="Calibri" w:cs="Calibri"/>
                <w:color w:val="000000"/>
                <w:sz w:val="22"/>
                <w:szCs w:val="22"/>
              </w:rPr>
              <w:t>0.49</w:t>
            </w:r>
          </w:p>
        </w:tc>
      </w:tr>
      <w:tr w:rsidR="0082282D" w:rsidRPr="007A6CA4" w14:paraId="1ED21A65" w14:textId="77777777" w:rsidTr="00A57D0D">
        <w:trPr>
          <w:trHeight w:val="300"/>
        </w:trPr>
        <w:tc>
          <w:tcPr>
            <w:tcW w:w="3261" w:type="dxa"/>
            <w:shd w:val="clear" w:color="auto" w:fill="auto"/>
            <w:noWrap/>
            <w:vAlign w:val="bottom"/>
            <w:hideMark/>
          </w:tcPr>
          <w:p w14:paraId="42BF663F"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4BD9DC49" w:rsidR="0082282D" w:rsidRPr="007A6CA4" w:rsidRDefault="0082282D" w:rsidP="0082282D">
            <w:pPr>
              <w:jc w:val="center"/>
              <w:rPr>
                <w:color w:val="000000"/>
                <w:sz w:val="20"/>
                <w:szCs w:val="20"/>
                <w:lang w:eastAsia="en-CA"/>
              </w:rPr>
            </w:pPr>
            <w:r>
              <w:rPr>
                <w:rFonts w:ascii="Calibri" w:hAnsi="Calibri" w:cs="Calibri"/>
                <w:color w:val="000000"/>
                <w:sz w:val="22"/>
                <w:szCs w:val="22"/>
              </w:rPr>
              <w:t>0.46</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6CB8D7B8" w:rsidR="00032AB6" w:rsidRPr="007A6CA4" w:rsidRDefault="0082282D" w:rsidP="00A57D0D">
            <w:pPr>
              <w:jc w:val="center"/>
              <w:rPr>
                <w:color w:val="000000"/>
                <w:sz w:val="20"/>
                <w:szCs w:val="20"/>
                <w:lang w:eastAsia="en-CA"/>
              </w:rPr>
            </w:pPr>
            <w:r>
              <w:rPr>
                <w:color w:val="000000"/>
                <w:sz w:val="20"/>
                <w:szCs w:val="20"/>
                <w:lang w:eastAsia="en-CA"/>
              </w:rPr>
              <w:t>0.53</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0FA07B92" w:rsidR="00032AB6" w:rsidRPr="007A6CA4" w:rsidRDefault="0082282D" w:rsidP="00A57D0D">
            <w:pPr>
              <w:jc w:val="center"/>
              <w:rPr>
                <w:color w:val="000000"/>
                <w:sz w:val="20"/>
                <w:szCs w:val="20"/>
                <w:lang w:eastAsia="en-CA"/>
              </w:rPr>
            </w:pPr>
            <w:r>
              <w:rPr>
                <w:color w:val="000000"/>
                <w:sz w:val="20"/>
                <w:szCs w:val="20"/>
                <w:lang w:eastAsia="en-CA"/>
              </w:rPr>
              <w:t>78.39</w:t>
            </w:r>
          </w:p>
        </w:tc>
      </w:tr>
      <w:bookmarkEnd w:id="101"/>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735601" w:rsidRDefault="00735601">
      <w:pPr>
        <w:pStyle w:val="CommentText"/>
      </w:pPr>
      <w:r>
        <w:rPr>
          <w:rStyle w:val="CommentReference"/>
        </w:rPr>
        <w:annotationRef/>
      </w:r>
      <w:r>
        <w:t>Discuss number of Can-US studies.</w:t>
      </w:r>
    </w:p>
  </w:comment>
  <w:comment w:id="2" w:author="Lloyd-Smith, Patrick" w:date="2021-10-04T10:53:00Z" w:initials="LP">
    <w:p w14:paraId="5E7AD78E" w14:textId="6EC73E69" w:rsidR="00735601" w:rsidRDefault="00735601">
      <w:pPr>
        <w:pStyle w:val="CommentText"/>
      </w:pPr>
      <w:r>
        <w:rPr>
          <w:rStyle w:val="CommentReference"/>
        </w:rPr>
        <w:annotationRef/>
      </w:r>
      <w:r>
        <w:t xml:space="preserve">Main findings, </w:t>
      </w:r>
    </w:p>
    <w:p w14:paraId="50B94635" w14:textId="77777777" w:rsidR="00735601" w:rsidRDefault="00735601">
      <w:pPr>
        <w:pStyle w:val="CommentText"/>
      </w:pPr>
    </w:p>
    <w:p w14:paraId="6CB23635" w14:textId="4D42BE21" w:rsidR="00735601" w:rsidRDefault="00735601" w:rsidP="00735601">
      <w:pPr>
        <w:pStyle w:val="CommentText"/>
        <w:numPr>
          <w:ilvl w:val="0"/>
          <w:numId w:val="30"/>
        </w:numPr>
      </w:pPr>
      <w:r>
        <w:t xml:space="preserve">Is there </w:t>
      </w:r>
      <w:proofErr w:type="gramStart"/>
      <w:r>
        <w:t>a  difference</w:t>
      </w:r>
      <w:proofErr w:type="gramEnd"/>
      <w:r>
        <w:t xml:space="preserve"> between Can-US studies?</w:t>
      </w:r>
    </w:p>
    <w:p w14:paraId="1484D880" w14:textId="040F28F3" w:rsidR="00735601" w:rsidRDefault="00735601" w:rsidP="00735601">
      <w:pPr>
        <w:pStyle w:val="CommentText"/>
        <w:numPr>
          <w:ilvl w:val="0"/>
          <w:numId w:val="30"/>
        </w:numPr>
      </w:pPr>
      <w:r>
        <w:t>Sensitivity to scope?</w:t>
      </w:r>
    </w:p>
    <w:p w14:paraId="239AC89E" w14:textId="1E14BF81" w:rsidR="00735601" w:rsidRDefault="00735601" w:rsidP="00735601">
      <w:pPr>
        <w:pStyle w:val="CommentText"/>
        <w:numPr>
          <w:ilvl w:val="0"/>
          <w:numId w:val="30"/>
        </w:numPr>
      </w:pPr>
      <w:r>
        <w:t xml:space="preserve"> Model performance relative to unit transfer</w:t>
      </w:r>
    </w:p>
  </w:comment>
  <w:comment w:id="3" w:author="Lloyd-Smith, Patrick" w:date="2021-10-04T11:25:00Z" w:initials="LP">
    <w:p w14:paraId="4CB1957C" w14:textId="6829F0E2" w:rsidR="008C1CDB" w:rsidRDefault="008C1CDB" w:rsidP="008C1CDB">
      <w:pPr>
        <w:pStyle w:val="NormalWeb"/>
        <w:spacing w:before="0" w:beforeAutospacing="0" w:after="0" w:afterAutospacing="0" w:line="480" w:lineRule="auto"/>
        <w:ind w:firstLine="709"/>
        <w:rPr>
          <w:rFonts w:eastAsiaTheme="minorHAnsi"/>
        </w:rPr>
      </w:pPr>
      <w:r>
        <w:rPr>
          <w:rStyle w:val="CommentReference"/>
        </w:rPr>
        <w:annotationRef/>
      </w:r>
      <w:r w:rsidRPr="00374568" w:rsidDel="00985CCA">
        <w:rPr>
          <w:rFonts w:eastAsiaTheme="minorHAnsi"/>
        </w:rPr>
        <w:t>Wetland area loss continues in this region. Between 1985 and 2001 about 0.31% of the total wetland area in the PHJV region was lost each year, which is lower than the annual wetland loss (0.53%) in the greater Canadian Prairies region (</w:t>
      </w:r>
      <w:proofErr w:type="spellStart"/>
      <w:r w:rsidRPr="00374568" w:rsidDel="00985CCA">
        <w:rPr>
          <w:rFonts w:eastAsiaTheme="minorHAnsi"/>
        </w:rPr>
        <w:t>Watmough</w:t>
      </w:r>
      <w:proofErr w:type="spellEnd"/>
      <w:r w:rsidRPr="00374568" w:rsidDel="00985CCA">
        <w:rPr>
          <w:rFonts w:eastAsiaTheme="minorHAnsi"/>
        </w:rPr>
        <w:t xml:space="preserve"> and </w:t>
      </w:r>
      <w:proofErr w:type="spellStart"/>
      <w:r w:rsidRPr="00374568" w:rsidDel="00985CCA">
        <w:rPr>
          <w:rFonts w:eastAsiaTheme="minorHAnsi"/>
        </w:rPr>
        <w:t>Schmoll</w:t>
      </w:r>
      <w:proofErr w:type="spellEnd"/>
      <w:r w:rsidRPr="00374568" w:rsidDel="00985CCA">
        <w:rPr>
          <w:rFonts w:eastAsiaTheme="minorHAnsi"/>
        </w:rPr>
        <w:t xml:space="preserve">,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7ECF7DC5" w14:textId="77777777" w:rsidR="008C1CDB" w:rsidRDefault="008C1CDB" w:rsidP="008C1CDB">
      <w:pPr>
        <w:pStyle w:val="NormalWeb"/>
        <w:spacing w:before="0" w:beforeAutospacing="0" w:after="0" w:afterAutospacing="0" w:line="480" w:lineRule="auto"/>
        <w:ind w:firstLine="709"/>
        <w:rPr>
          <w:rFonts w:eastAsiaTheme="minorHAnsi"/>
        </w:rPr>
      </w:pPr>
    </w:p>
    <w:p w14:paraId="7918EF4B" w14:textId="4CA10369" w:rsidR="008C1CDB" w:rsidRPr="008C1CDB" w:rsidRDefault="008C1CDB" w:rsidP="008C1CDB">
      <w:pPr>
        <w:pStyle w:val="NormalWeb"/>
        <w:spacing w:before="0" w:beforeAutospacing="0" w:after="0" w:afterAutospacing="0" w:line="480" w:lineRule="auto"/>
        <w:ind w:firstLine="709"/>
        <w:rPr>
          <w:rFonts w:eastAsiaTheme="minorHAnsi"/>
        </w:rPr>
      </w:pPr>
      <w:r>
        <w:rPr>
          <w:rFonts w:eastAsiaTheme="minorHAnsi"/>
        </w:rPr>
        <w:t>Extra text we can incorporate here, later or delete</w:t>
      </w:r>
    </w:p>
  </w:comment>
  <w:comment w:id="4" w:author="Lloyd-Smith, Patrick" w:date="2021-10-04T11:02:00Z" w:initials="LP">
    <w:p w14:paraId="1FD92E65" w14:textId="4ED20E1E" w:rsidR="009626A9" w:rsidRDefault="009626A9">
      <w:pPr>
        <w:pStyle w:val="CommentText"/>
      </w:pPr>
      <w:r>
        <w:rPr>
          <w:rStyle w:val="CommentReference"/>
        </w:rPr>
        <w:annotationRef/>
      </w:r>
      <w:proofErr w:type="spellStart"/>
      <w:r>
        <w:t>Its</w:t>
      </w:r>
      <w:proofErr w:type="spellEnd"/>
      <w:r>
        <w:t xml:space="preserve"> not clear what these two numbers mean. Is this for people living within the landscape and not?</w:t>
      </w:r>
      <w:r w:rsidR="00985CCA">
        <w:t xml:space="preserve"> Why only present </w:t>
      </w:r>
      <w:proofErr w:type="spellStart"/>
      <w:r w:rsidR="00985CCA">
        <w:t>sask</w:t>
      </w:r>
      <w:proofErr w:type="spellEnd"/>
      <w:r w:rsidR="00985CCA">
        <w:t xml:space="preserve"> numbers?</w:t>
      </w:r>
    </w:p>
  </w:comment>
  <w:comment w:id="6" w:author="Lloyd-Smith, Patrick" w:date="2021-10-04T11:12:00Z" w:initials="LP">
    <w:p w14:paraId="53C07F7C" w14:textId="07506945" w:rsidR="00985CCA" w:rsidRDefault="00985CCA">
      <w:pPr>
        <w:pStyle w:val="CommentText"/>
      </w:pPr>
      <w:r>
        <w:rPr>
          <w:rStyle w:val="CommentReference"/>
        </w:rPr>
        <w:annotationRef/>
      </w:r>
      <w:r>
        <w:t>Need to update</w:t>
      </w:r>
    </w:p>
  </w:comment>
  <w:comment w:id="7" w:author="Lloyd-Smith, Patrick" w:date="2021-08-19T09:43:00Z" w:initials="LP">
    <w:p w14:paraId="0983A6B5" w14:textId="63C53D62" w:rsidR="00735601" w:rsidRDefault="00735601">
      <w:pPr>
        <w:pStyle w:val="CommentText"/>
      </w:pPr>
      <w:r>
        <w:rPr>
          <w:rStyle w:val="CommentReference"/>
        </w:rPr>
        <w:annotationRef/>
      </w:r>
      <w:r>
        <w:t xml:space="preserve">Need to strengthen argument for why we focus on only SP value estimates. </w:t>
      </w:r>
    </w:p>
  </w:comment>
  <w:comment w:id="8" w:author="Asare, Eric" w:date="2021-09-30T01:14:00Z" w:initials="AE">
    <w:p w14:paraId="3DFDE194" w14:textId="1E3E7A38" w:rsidR="00735601" w:rsidRDefault="00735601">
      <w:pPr>
        <w:pStyle w:val="CommentText"/>
      </w:pPr>
      <w:r>
        <w:rPr>
          <w:rStyle w:val="CommentReference"/>
        </w:rPr>
        <w:annotationRef/>
      </w:r>
      <w:r>
        <w:t>I will need your help here, Pat.</w:t>
      </w:r>
    </w:p>
  </w:comment>
  <w:comment w:id="9" w:author="Lloyd-Smith, Patrick" w:date="2021-08-19T09:44:00Z" w:initials="LP">
    <w:p w14:paraId="20D0BEE2" w14:textId="3FA1B7BA" w:rsidR="00735601" w:rsidRDefault="00735601">
      <w:pPr>
        <w:pStyle w:val="CommentText"/>
      </w:pPr>
      <w:r>
        <w:rPr>
          <w:rStyle w:val="CommentReference"/>
        </w:rPr>
        <w:annotationRef/>
      </w:r>
      <w:r>
        <w:t xml:space="preserve">Mention that these can be important for wetlands. </w:t>
      </w:r>
    </w:p>
  </w:comment>
  <w:comment w:id="10" w:author="Lloyd-Smith, Patrick" w:date="2021-08-19T09:45:00Z" w:initials="LP">
    <w:p w14:paraId="4EC7A664" w14:textId="32DE394A" w:rsidR="00735601" w:rsidRDefault="00735601">
      <w:pPr>
        <w:pStyle w:val="CommentText"/>
      </w:pPr>
      <w:r>
        <w:rPr>
          <w:rStyle w:val="CommentReference"/>
        </w:rPr>
        <w:annotationRef/>
      </w:r>
      <w:r>
        <w:t>Is this true? I thought it was in Ontario and Great Lakes (so freshwater)</w:t>
      </w:r>
    </w:p>
  </w:comment>
  <w:comment w:id="11" w:author="Asare, Eric" w:date="2021-09-28T07:06:00Z" w:initials="AE">
    <w:p w14:paraId="7A17940B" w14:textId="71BB124B" w:rsidR="00735601" w:rsidRDefault="00735601">
      <w:pPr>
        <w:pStyle w:val="CommentText"/>
      </w:pPr>
      <w:r>
        <w:rPr>
          <w:rStyle w:val="CommentReference"/>
        </w:rPr>
        <w:annotationRef/>
      </w:r>
      <w:r>
        <w:t>It was not very clear; but I believe so</w:t>
      </w:r>
    </w:p>
  </w:comment>
  <w:comment w:id="12" w:author="Asare, Eric" w:date="2021-09-30T01:36:00Z" w:initials="AE">
    <w:p w14:paraId="599FCD0A" w14:textId="43B1D975" w:rsidR="00735601" w:rsidRDefault="00735601">
      <w:pPr>
        <w:pStyle w:val="CommentText"/>
      </w:pPr>
      <w:r>
        <w:rPr>
          <w:rStyle w:val="CommentReference"/>
        </w:rPr>
        <w:annotationRef/>
      </w:r>
      <w:r>
        <w:t xml:space="preserve">I rechecked. It focused on coastal wetlands in the ecosystem survey. </w:t>
      </w:r>
    </w:p>
  </w:comment>
  <w:comment w:id="13" w:author="Lloyd-Smith, Patrick" w:date="2021-10-04T11:10:00Z" w:initials="LP">
    <w:p w14:paraId="7A65135E" w14:textId="5E58FA49" w:rsidR="009626A9" w:rsidRDefault="009626A9">
      <w:pPr>
        <w:pStyle w:val="CommentText"/>
      </w:pPr>
      <w:r>
        <w:rPr>
          <w:rStyle w:val="CommentReference"/>
        </w:rPr>
        <w:annotationRef/>
      </w:r>
      <w:r>
        <w:t xml:space="preserve">Yes, its coastal but freshwater costal as </w:t>
      </w:r>
      <w:proofErr w:type="spellStart"/>
      <w:r>
        <w:t>its</w:t>
      </w:r>
      <w:proofErr w:type="spellEnd"/>
      <w:r>
        <w:t xml:space="preserve"> along the Great Lakes. I would include this study.</w:t>
      </w:r>
    </w:p>
  </w:comment>
  <w:comment w:id="14" w:author="Lloyd-Smith, Patrick" w:date="2021-10-04T11:11:00Z" w:initials="LP">
    <w:p w14:paraId="6A2F694F" w14:textId="22AADD56" w:rsidR="00985CCA" w:rsidRDefault="00985CCA">
      <w:pPr>
        <w:pStyle w:val="CommentText"/>
      </w:pPr>
      <w:r>
        <w:rPr>
          <w:rStyle w:val="CommentReference"/>
        </w:rPr>
        <w:annotationRef/>
      </w:r>
      <w:r>
        <w:t xml:space="preserve">Include a reference to the ecosystem service differences summarized in appendix. </w:t>
      </w:r>
    </w:p>
  </w:comment>
  <w:comment w:id="17" w:author="Lloyd-Smith, Patrick" w:date="2021-08-19T10:16:00Z" w:initials="LP">
    <w:p w14:paraId="32653D5F" w14:textId="4AB59D23" w:rsidR="00735601" w:rsidRDefault="00735601">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8" w:author="Asare, Eric" w:date="2021-09-30T23:00:00Z" w:initials="AE">
    <w:p w14:paraId="61CD5E82" w14:textId="2577D453" w:rsidR="00735601" w:rsidRDefault="00735601">
      <w:pPr>
        <w:pStyle w:val="CommentText"/>
      </w:pPr>
      <w:r>
        <w:rPr>
          <w:rStyle w:val="CommentReference"/>
        </w:rPr>
        <w:annotationRef/>
      </w:r>
      <w:r>
        <w:t xml:space="preserve">I think that is a great idea, but </w:t>
      </w:r>
      <w:proofErr w:type="gramStart"/>
      <w:r>
        <w:t>It</w:t>
      </w:r>
      <w:proofErr w:type="gramEnd"/>
      <w:r>
        <w:t xml:space="preserve"> was not possible to identify that information from the US data.</w:t>
      </w:r>
    </w:p>
  </w:comment>
  <w:comment w:id="19" w:author="Lloyd-Smith, Patrick" w:date="2021-08-19T10:17:00Z" w:initials="LP">
    <w:p w14:paraId="345A1890" w14:textId="4EC7C138" w:rsidR="00735601" w:rsidRDefault="00735601">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20" w:author="Asare, Eric" w:date="2021-09-30T01:51:00Z" w:initials="AE">
    <w:p w14:paraId="652E5E8D" w14:textId="74918AA9" w:rsidR="00735601" w:rsidRDefault="00735601">
      <w:pPr>
        <w:pStyle w:val="CommentText"/>
      </w:pPr>
      <w:r>
        <w:rPr>
          <w:rStyle w:val="CommentReference"/>
        </w:rPr>
        <w:annotationRef/>
      </w:r>
      <w:r>
        <w:t xml:space="preserve">I will do that and put it in the appendix. </w:t>
      </w:r>
    </w:p>
  </w:comment>
  <w:comment w:id="21" w:author="Pat" w:date="2021-05-25T10:24:00Z" w:initials="P">
    <w:p w14:paraId="7BE6507C" w14:textId="77777777" w:rsidR="00735601" w:rsidRDefault="00735601">
      <w:pPr>
        <w:pStyle w:val="CommentText"/>
      </w:pPr>
      <w:r>
        <w:rPr>
          <w:rStyle w:val="CommentReference"/>
        </w:rPr>
        <w:annotationRef/>
      </w:r>
      <w:r>
        <w:t>Can you double check this in the data. The two Rudd policy changes are the same in the code</w:t>
      </w:r>
    </w:p>
  </w:comment>
  <w:comment w:id="22" w:author="Asare, Eric" w:date="2021-07-08T09:15:00Z" w:initials="AE">
    <w:p w14:paraId="5C652811" w14:textId="4DA0608B" w:rsidR="00735601" w:rsidRDefault="00735601">
      <w:pPr>
        <w:pStyle w:val="CommentText"/>
      </w:pPr>
      <w:r>
        <w:rPr>
          <w:rStyle w:val="CommentReference"/>
        </w:rPr>
        <w:annotationRef/>
      </w:r>
      <w:r>
        <w:t>I corrected the policy acres in the code. But I excluded Rudd from the analysis. I think it focused on saltwater wetland</w:t>
      </w:r>
    </w:p>
  </w:comment>
  <w:comment w:id="23" w:author="Lloyd-Smith, Patrick" w:date="2021-03-29T09:55:00Z" w:initials="LP">
    <w:p w14:paraId="1DAB9EC9" w14:textId="77777777" w:rsidR="00735601" w:rsidRDefault="00735601">
      <w:pPr>
        <w:pStyle w:val="CommentText"/>
      </w:pPr>
      <w:r>
        <w:rPr>
          <w:rStyle w:val="CommentReference"/>
        </w:rPr>
        <w:annotationRef/>
      </w:r>
      <w:r>
        <w:t>Is one of these CE?</w:t>
      </w:r>
    </w:p>
  </w:comment>
  <w:comment w:id="24" w:author="Asare, Eric [2]" w:date="2021-04-12T08:07:00Z" w:initials="AE">
    <w:p w14:paraId="5BF7363F" w14:textId="77777777" w:rsidR="00735601" w:rsidRDefault="00735601">
      <w:pPr>
        <w:pStyle w:val="CommentText"/>
      </w:pPr>
      <w:r>
        <w:rPr>
          <w:rStyle w:val="CommentReference"/>
        </w:rPr>
        <w:annotationRef/>
      </w:r>
      <w:r>
        <w:t>It has been corrected</w:t>
      </w:r>
    </w:p>
  </w:comment>
  <w:comment w:id="25" w:author="Lloyd-Smith, Patrick" w:date="2021-05-21T14:37:00Z" w:initials="LP">
    <w:p w14:paraId="76F0A9A9" w14:textId="77777777" w:rsidR="00735601" w:rsidRDefault="00735601">
      <w:pPr>
        <w:pStyle w:val="CommentText"/>
      </w:pPr>
      <w:r>
        <w:rPr>
          <w:rStyle w:val="CommentReference"/>
        </w:rPr>
        <w:annotationRef/>
      </w:r>
      <w:r>
        <w:t>I don’t think the referendum is a format, but rather whether it is a one-time contribution or an annual contribution?</w:t>
      </w:r>
    </w:p>
  </w:comment>
  <w:comment w:id="26" w:author="Pat" w:date="2021-05-25T10:30:00Z" w:initials="P">
    <w:p w14:paraId="74F58B67" w14:textId="77777777" w:rsidR="00735601" w:rsidRDefault="00735601">
      <w:pPr>
        <w:pStyle w:val="CommentText"/>
      </w:pPr>
      <w:r>
        <w:rPr>
          <w:rStyle w:val="CommentReference"/>
        </w:rPr>
        <w:annotationRef/>
      </w:r>
      <w:r>
        <w:t>How was this calculated?</w:t>
      </w:r>
    </w:p>
  </w:comment>
  <w:comment w:id="27" w:author="Asare, Eric" w:date="2021-07-08T09:17:00Z" w:initials="AE">
    <w:p w14:paraId="1D626EEE" w14:textId="0BFB76EB" w:rsidR="00735601" w:rsidRDefault="00735601" w:rsidP="00886B32">
      <w:pPr>
        <w:pStyle w:val="CommentText"/>
        <w:spacing w:before="240"/>
      </w:pPr>
      <w:r>
        <w:rPr>
          <w:rStyle w:val="CommentReference"/>
        </w:rPr>
        <w:annotationRef/>
      </w:r>
      <w:r>
        <w:t>Status quo is 14% of 2.96E8 acres (1.2mill ha) and Policy acreage: 35% of 2.96E8 acres (1.2mill ha)</w:t>
      </w:r>
    </w:p>
  </w:comment>
  <w:comment w:id="28" w:author="Lloyd-Smith, Patrick" w:date="2021-08-19T09:47:00Z" w:initials="LP">
    <w:p w14:paraId="46FC923D" w14:textId="57414065" w:rsidR="00735601" w:rsidRDefault="00735601">
      <w:pPr>
        <w:pStyle w:val="CommentText"/>
      </w:pPr>
      <w:r>
        <w:rPr>
          <w:rStyle w:val="CommentReference"/>
        </w:rPr>
        <w:annotationRef/>
      </w:r>
      <w:r>
        <w:t>What are the numbers here? I think the policy acres is the same as SQ.</w:t>
      </w:r>
    </w:p>
  </w:comment>
  <w:comment w:id="29" w:author="Asare, Eric" w:date="2021-09-30T01:44:00Z" w:initials="AE">
    <w:p w14:paraId="18F03998" w14:textId="35159C1D" w:rsidR="00735601" w:rsidRDefault="00735601">
      <w:pPr>
        <w:pStyle w:val="CommentText"/>
      </w:pPr>
      <w:r>
        <w:rPr>
          <w:rStyle w:val="CommentReference"/>
        </w:rPr>
        <w:annotationRef/>
      </w:r>
      <w:r>
        <w:t xml:space="preserve">Pat the SQ is “conserving 14% of the 1.2million ha which is the mandated level of conservation across the province”. The 35% is the SP which is </w:t>
      </w:r>
      <w:proofErr w:type="gramStart"/>
      <w:r>
        <w:t>“ mandated</w:t>
      </w:r>
      <w:proofErr w:type="gramEnd"/>
      <w:r>
        <w:t xml:space="preserve"> by ecologists”. The </w:t>
      </w:r>
      <w:proofErr w:type="spellStart"/>
      <w:r>
        <w:t>wtp</w:t>
      </w:r>
      <w:proofErr w:type="spellEnd"/>
      <w:r>
        <w:t xml:space="preserve"> is to increase conservation from 14% to 35%.</w:t>
      </w:r>
    </w:p>
  </w:comment>
  <w:comment w:id="30" w:author="Pat" w:date="2021-05-25T10:31:00Z" w:initials="P">
    <w:p w14:paraId="65282507" w14:textId="6E09E641" w:rsidR="00735601" w:rsidRDefault="00735601">
      <w:pPr>
        <w:pStyle w:val="CommentText"/>
      </w:pPr>
      <w:r>
        <w:rPr>
          <w:rStyle w:val="CommentReference"/>
        </w:rPr>
        <w:annotationRef/>
      </w:r>
      <w:r>
        <w:t>Except for the one-time payments</w:t>
      </w:r>
    </w:p>
  </w:comment>
  <w:comment w:id="31" w:author="Lloyd-Smith, Patrick" w:date="2021-03-29T10:12:00Z" w:initials="LP">
    <w:p w14:paraId="1964F5F0" w14:textId="7AD357CE" w:rsidR="00735601" w:rsidRDefault="00735601">
      <w:pPr>
        <w:pStyle w:val="CommentText"/>
      </w:pPr>
      <w:r>
        <w:rPr>
          <w:rStyle w:val="CommentReference"/>
        </w:rPr>
        <w:annotationRef/>
      </w:r>
      <w:r>
        <w:t>2018 or 2017 in table?</w:t>
      </w:r>
    </w:p>
  </w:comment>
  <w:comment w:id="32" w:author="Asare, Eric" w:date="2021-09-23T04:56:00Z" w:initials="AE">
    <w:p w14:paraId="40664010" w14:textId="0C1498D3" w:rsidR="00735601" w:rsidRDefault="00735601">
      <w:pPr>
        <w:pStyle w:val="CommentText"/>
      </w:pPr>
      <w:r>
        <w:rPr>
          <w:rStyle w:val="CommentReference"/>
        </w:rPr>
        <w:annotationRef/>
      </w:r>
      <w:r>
        <w:t>They are not converted. They are original values.</w:t>
      </w:r>
    </w:p>
  </w:comment>
  <w:comment w:id="33" w:author="Lloyd-Smith, Patrick" w:date="2021-05-21T14:45:00Z" w:initials="LP">
    <w:p w14:paraId="5E5E413B" w14:textId="77777777" w:rsidR="00735601" w:rsidRDefault="00735601" w:rsidP="00D55208">
      <w:pPr>
        <w:pStyle w:val="CommentText"/>
      </w:pPr>
      <w:r>
        <w:rPr>
          <w:rStyle w:val="CommentReference"/>
        </w:rPr>
        <w:annotationRef/>
      </w:r>
      <w:r>
        <w:t>I would start with Canada $ then average acres, then US $ and average acres, then compare the two.</w:t>
      </w:r>
    </w:p>
  </w:comment>
  <w:comment w:id="34" w:author="Lloyd-Smith, Patrick" w:date="2021-08-19T09:49:00Z" w:initials="LP">
    <w:p w14:paraId="7E4D72B2" w14:textId="36D0F229" w:rsidR="00735601" w:rsidRDefault="00735601">
      <w:pPr>
        <w:pStyle w:val="CommentText"/>
      </w:pPr>
      <w:r>
        <w:rPr>
          <w:rStyle w:val="CommentReference"/>
        </w:rPr>
        <w:annotationRef/>
      </w:r>
      <w:r>
        <w:t xml:space="preserve">Remove the </w:t>
      </w:r>
      <w:proofErr w:type="gramStart"/>
      <w:r>
        <w:t>exp(</w:t>
      </w:r>
      <w:proofErr w:type="gramEnd"/>
      <w:r>
        <w:t>) terms as they are unnecessary</w:t>
      </w:r>
    </w:p>
  </w:comment>
  <w:comment w:id="35" w:author="Lloyd-Smith, Patrick" w:date="2021-10-04T11:42:00Z" w:initials="LP">
    <w:p w14:paraId="6E7A908E" w14:textId="38468B9C" w:rsidR="00184756" w:rsidRDefault="00184756">
      <w:pPr>
        <w:pStyle w:val="CommentText"/>
      </w:pPr>
      <w:r>
        <w:rPr>
          <w:rStyle w:val="CommentReference"/>
        </w:rPr>
        <w:annotationRef/>
      </w:r>
      <w:r>
        <w:t>Instead of SD include min/max</w:t>
      </w:r>
    </w:p>
  </w:comment>
  <w:comment w:id="36" w:author="Lloyd-Smith, Patrick" w:date="2021-05-22T08:15:00Z" w:initials="LP">
    <w:p w14:paraId="118FF4C0" w14:textId="3E8928C5" w:rsidR="00735601" w:rsidRDefault="00735601">
      <w:pPr>
        <w:pStyle w:val="CommentText"/>
      </w:pPr>
      <w:r>
        <w:rPr>
          <w:rStyle w:val="CommentReference"/>
        </w:rPr>
        <w:annotationRef/>
      </w:r>
      <w:r>
        <w:t>I could not find this figure in the code to change it</w:t>
      </w:r>
    </w:p>
  </w:comment>
  <w:comment w:id="37" w:author="Asare, Eric" w:date="2021-07-08T09:53:00Z" w:initials="AE">
    <w:p w14:paraId="53C4AA71" w14:textId="2EEBB212" w:rsidR="00735601" w:rsidRDefault="00735601">
      <w:pPr>
        <w:pStyle w:val="CommentText"/>
      </w:pPr>
      <w:r>
        <w:rPr>
          <w:rStyle w:val="CommentReference"/>
        </w:rPr>
        <w:annotationRef/>
      </w:r>
      <w:r>
        <w:t>It was in the summary statistics code</w:t>
      </w:r>
    </w:p>
  </w:comment>
  <w:comment w:id="38" w:author="Lloyd-Smith, Patrick" w:date="2021-05-21T14:46:00Z" w:initials="LP">
    <w:p w14:paraId="0AF70611" w14:textId="1961332A" w:rsidR="00735601" w:rsidRDefault="00735601">
      <w:pPr>
        <w:pStyle w:val="CommentText"/>
      </w:pPr>
      <w:r>
        <w:rPr>
          <w:rStyle w:val="CommentReference"/>
        </w:rPr>
        <w:annotationRef/>
      </w:r>
      <w:r>
        <w:t>What is the line here? I’d remove it or mention what it represents.</w:t>
      </w:r>
    </w:p>
  </w:comment>
  <w:comment w:id="39" w:author="Asare, Eric" w:date="2021-07-08T09:53:00Z" w:initials="AE">
    <w:p w14:paraId="231B2DB0" w14:textId="4E18434C" w:rsidR="00735601" w:rsidRDefault="00735601">
      <w:pPr>
        <w:pStyle w:val="CommentText"/>
      </w:pPr>
      <w:r>
        <w:rPr>
          <w:rStyle w:val="CommentReference"/>
        </w:rPr>
        <w:annotationRef/>
      </w:r>
      <w:r>
        <w:t>It was a trend term to show the positive relation; but I agree with you I have removed it because the scatter plot shows the same info</w:t>
      </w:r>
    </w:p>
  </w:comment>
  <w:comment w:id="40" w:author="Lloyd-Smith, Patrick" w:date="2021-08-19T09:51:00Z" w:initials="LP">
    <w:p w14:paraId="1EE1DCA9" w14:textId="0D6DF838" w:rsidR="00735601" w:rsidRDefault="00735601">
      <w:pPr>
        <w:pStyle w:val="CommentText"/>
      </w:pPr>
      <w:r>
        <w:rPr>
          <w:rStyle w:val="CommentReference"/>
        </w:rPr>
        <w:annotationRef/>
      </w:r>
      <w:proofErr w:type="spellStart"/>
      <w:r>
        <w:t>Its</w:t>
      </w:r>
      <w:proofErr w:type="spellEnd"/>
      <w:r>
        <w:t xml:space="preserve"> still hard to see the US vs Canadian difference, can the points be made larger with maybe white and black circles differentiating them? Open to your thoughts here</w:t>
      </w:r>
    </w:p>
  </w:comment>
  <w:comment w:id="41" w:author="Asare, Eric" w:date="2021-09-23T05:28:00Z" w:initials="AE">
    <w:p w14:paraId="27323B1E" w14:textId="497AE3D4" w:rsidR="00735601" w:rsidRDefault="00735601">
      <w:pPr>
        <w:pStyle w:val="CommentText"/>
      </w:pPr>
      <w:r>
        <w:rPr>
          <w:rStyle w:val="CommentReference"/>
        </w:rPr>
        <w:annotationRef/>
      </w:r>
      <w:r>
        <w:t xml:space="preserve">I have not been ablet to put the black and white circles around </w:t>
      </w:r>
      <w:proofErr w:type="gramStart"/>
      <w:r>
        <w:t>it</w:t>
      </w:r>
      <w:proofErr w:type="gramEnd"/>
      <w:r>
        <w:t xml:space="preserve"> but it seems ok.</w:t>
      </w:r>
    </w:p>
  </w:comment>
  <w:comment w:id="42" w:author="Lloyd-Smith, Patrick" w:date="2021-10-04T11:14:00Z" w:initials="LP">
    <w:p w14:paraId="6B747DB9" w14:textId="2106C28E" w:rsidR="00985CCA" w:rsidRDefault="00985CCA">
      <w:pPr>
        <w:pStyle w:val="CommentText"/>
      </w:pPr>
      <w:r>
        <w:rPr>
          <w:rStyle w:val="CommentReference"/>
        </w:rPr>
        <w:annotationRef/>
      </w:r>
      <w:r>
        <w:t>I would say about the same rather than more. Seems very similar</w:t>
      </w:r>
    </w:p>
  </w:comment>
  <w:comment w:id="43" w:author="Lloyd-Smith, Patrick" w:date="2021-10-04T11:16:00Z" w:initials="LP">
    <w:p w14:paraId="1B6275AA" w14:textId="698C2C11" w:rsidR="00985CCA" w:rsidRDefault="00985CCA">
      <w:pPr>
        <w:pStyle w:val="CommentText"/>
      </w:pPr>
      <w:r>
        <w:rPr>
          <w:rStyle w:val="CommentReference"/>
        </w:rPr>
        <w:annotationRef/>
      </w:r>
      <w:r>
        <w:t>How is local level defined?</w:t>
      </w:r>
    </w:p>
  </w:comment>
  <w:comment w:id="44" w:author="Lloyd-Smith, Patrick" w:date="2021-10-04T11:48:00Z" w:initials="LP">
    <w:p w14:paraId="4C137A25" w14:textId="50267F8C" w:rsidR="00184756" w:rsidRDefault="00184756">
      <w:pPr>
        <w:pStyle w:val="CommentText"/>
      </w:pPr>
      <w:r>
        <w:rPr>
          <w:rStyle w:val="CommentReference"/>
        </w:rPr>
        <w:annotationRef/>
      </w:r>
      <w:r>
        <w:t>One thing to note is that are the summary stats for observations or studies? If for observations, then we need to go through this section to make distinction clear.</w:t>
      </w:r>
    </w:p>
  </w:comment>
  <w:comment w:id="45" w:author="Lloyd-Smith, Patrick" w:date="2021-03-29T10:19:00Z" w:initials="LP">
    <w:p w14:paraId="268B460C" w14:textId="77777777" w:rsidR="00735601" w:rsidRDefault="00735601"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46" w:author="Lloyd-Smith, Patrick" w:date="2021-10-04T11:49:00Z" w:initials="LP">
    <w:p w14:paraId="6FF810B9" w14:textId="63EEC436" w:rsidR="00184756" w:rsidRDefault="00184756">
      <w:pPr>
        <w:pStyle w:val="CommentText"/>
      </w:pPr>
      <w:r>
        <w:rPr>
          <w:rStyle w:val="CommentReference"/>
        </w:rPr>
        <w:annotationRef/>
      </w:r>
      <w:r>
        <w:t>Isn’t it the opposite?</w:t>
      </w:r>
    </w:p>
  </w:comment>
  <w:comment w:id="47" w:author="Lloyd-Smith, Patrick" w:date="2021-05-21T14:28:00Z" w:initials="LP">
    <w:p w14:paraId="27E89F56" w14:textId="77777777" w:rsidR="00735601" w:rsidRDefault="00735601" w:rsidP="00FF0BCF">
      <w:pPr>
        <w:pStyle w:val="CommentText"/>
      </w:pPr>
      <w:r>
        <w:rPr>
          <w:rStyle w:val="CommentReference"/>
        </w:rPr>
        <w:annotationRef/>
      </w:r>
      <w:r>
        <w:t xml:space="preserve">This table is </w:t>
      </w:r>
      <w:proofErr w:type="gramStart"/>
      <w:r>
        <w:t>really hard</w:t>
      </w:r>
      <w:proofErr w:type="gramEnd"/>
      <w:r>
        <w:t xml:space="preserve"> to read because data is over two lines and columns.  What about copying the format of Moeltner Table 2 with only the mean, </w:t>
      </w:r>
      <w:proofErr w:type="gramStart"/>
      <w:r>
        <w:t>min</w:t>
      </w:r>
      <w:proofErr w:type="gramEnd"/>
      <w:r>
        <w:t xml:space="preserve"> and max all in same line?</w:t>
      </w:r>
    </w:p>
    <w:p w14:paraId="22357704" w14:textId="77777777" w:rsidR="00735601" w:rsidRDefault="00735601" w:rsidP="00FF0BCF">
      <w:pPr>
        <w:pStyle w:val="CommentText"/>
      </w:pPr>
    </w:p>
    <w:p w14:paraId="7823A6F2" w14:textId="77777777" w:rsidR="00735601" w:rsidRDefault="00735601" w:rsidP="00FF0BCF">
      <w:pPr>
        <w:pStyle w:val="CommentText"/>
      </w:pPr>
      <w:r>
        <w:t>Also, what do you think about including Canada Only and US only to really highlight the differences?</w:t>
      </w:r>
    </w:p>
  </w:comment>
  <w:comment w:id="48" w:author="Asare, Eric" w:date="2021-07-08T10:12:00Z" w:initials="AE">
    <w:p w14:paraId="51C452C6" w14:textId="1AE635A0" w:rsidR="00735601" w:rsidRDefault="00735601">
      <w:pPr>
        <w:pStyle w:val="CommentText"/>
      </w:pPr>
      <w:r>
        <w:rPr>
          <w:rStyle w:val="CommentReference"/>
        </w:rPr>
        <w:annotationRef/>
      </w:r>
      <w:r>
        <w:t>Sure. I only added the standard deviation information in parenthesis</w:t>
      </w:r>
    </w:p>
  </w:comment>
  <w:comment w:id="51" w:author="Lloyd-Smith, Patrick" w:date="2021-08-19T10:19:00Z" w:initials="LP">
    <w:p w14:paraId="604C5A95" w14:textId="1B6F6ECE" w:rsidR="00735601" w:rsidRDefault="00735601">
      <w:pPr>
        <w:pStyle w:val="CommentText"/>
      </w:pPr>
      <w:r>
        <w:rPr>
          <w:rStyle w:val="CommentReference"/>
        </w:rPr>
        <w:annotationRef/>
      </w:r>
      <w:r>
        <w:t xml:space="preserve">Can we swap this variable such that 1 = peer </w:t>
      </w:r>
      <w:proofErr w:type="gramStart"/>
      <w:r>
        <w:t>review.</w:t>
      </w:r>
      <w:proofErr w:type="gramEnd"/>
      <w:r>
        <w:t xml:space="preserve"> I think that makes more intuitive sense for the paper and interpreting the results. Not that much will change.</w:t>
      </w:r>
    </w:p>
  </w:comment>
  <w:comment w:id="52" w:author="Lloyd-Smith, Patrick" w:date="2021-10-04T11:18:00Z" w:initials="LP">
    <w:p w14:paraId="6BA6DED8" w14:textId="0BDA01C7" w:rsidR="00985CCA" w:rsidRDefault="00985CCA">
      <w:pPr>
        <w:pStyle w:val="CommentText"/>
      </w:pPr>
      <w:r>
        <w:rPr>
          <w:rStyle w:val="CommentReference"/>
        </w:rPr>
        <w:annotationRef/>
      </w:r>
      <w:r>
        <w:t>Are we sure only 19% of Canadian studies peer reviewed?</w:t>
      </w:r>
    </w:p>
  </w:comment>
  <w:comment w:id="53" w:author="Lloyd-Smith, Patrick" w:date="2021-03-29T10:22:00Z" w:initials="LP">
    <w:p w14:paraId="2BC3B141" w14:textId="77777777" w:rsidR="00735601" w:rsidRDefault="00735601" w:rsidP="00AA50E0">
      <w:pPr>
        <w:pStyle w:val="CommentText"/>
      </w:pPr>
      <w:r>
        <w:rPr>
          <w:rStyle w:val="CommentReference"/>
        </w:rPr>
        <w:annotationRef/>
      </w:r>
      <w:r>
        <w:t xml:space="preserve">First introduce equation, then discuss error terms and tests. </w:t>
      </w:r>
    </w:p>
  </w:comment>
  <w:comment w:id="54" w:author="Lloyd-Smith, Patrick" w:date="2021-03-29T10:21:00Z" w:initials="LP">
    <w:p w14:paraId="018DE75A" w14:textId="20E125A4" w:rsidR="00735601" w:rsidRDefault="00735601">
      <w:pPr>
        <w:pStyle w:val="CommentText"/>
      </w:pPr>
      <w:r>
        <w:rPr>
          <w:rStyle w:val="CommentReference"/>
        </w:rPr>
        <w:annotationRef/>
      </w:r>
      <w:r>
        <w:t>I don’t think this is a LR test.</w:t>
      </w:r>
    </w:p>
  </w:comment>
  <w:comment w:id="55" w:author="Asare, Eric" w:date="2021-04-12T05:47:00Z" w:initials="AE">
    <w:p w14:paraId="5683B04E" w14:textId="07BF4851" w:rsidR="00735601" w:rsidRDefault="00735601">
      <w:pPr>
        <w:pStyle w:val="CommentText"/>
      </w:pPr>
      <w:r>
        <w:rPr>
          <w:rStyle w:val="CommentReference"/>
        </w:rPr>
        <w:annotationRef/>
      </w:r>
      <w:r>
        <w:t>It is Pat. But we can discuss this later.</w:t>
      </w:r>
    </w:p>
  </w:comment>
  <w:comment w:id="56" w:author="Lloyd-Smith, Patrick" w:date="2021-05-21T14:33:00Z" w:initials="LP">
    <w:p w14:paraId="10EE2DC6" w14:textId="556200F7" w:rsidR="00735601" w:rsidRDefault="00735601">
      <w:pPr>
        <w:pStyle w:val="CommentText"/>
      </w:pPr>
      <w:r>
        <w:rPr>
          <w:rStyle w:val="CommentReference"/>
        </w:rPr>
        <w:annotationRef/>
      </w:r>
      <w:r>
        <w:t xml:space="preserve">How was this VIF factor applied? What variables were removed? </w:t>
      </w:r>
    </w:p>
  </w:comment>
  <w:comment w:id="57" w:author="Asare, Eric" w:date="2021-07-08T10:29:00Z" w:initials="AE">
    <w:p w14:paraId="2BCBF9BE" w14:textId="555C3850" w:rsidR="00735601" w:rsidRDefault="00735601">
      <w:pPr>
        <w:pStyle w:val="CommentText"/>
      </w:pPr>
      <w:r>
        <w:rPr>
          <w:rStyle w:val="CommentReference"/>
        </w:rPr>
        <w:annotationRef/>
      </w:r>
      <w:r>
        <w:t>I provided the results of the VIF in the results section.</w:t>
      </w:r>
    </w:p>
  </w:comment>
  <w:comment w:id="58" w:author="Lloyd-Smith, Patrick" w:date="2021-05-21T17:06:00Z" w:initials="LP">
    <w:p w14:paraId="59357107" w14:textId="30AD7D61" w:rsidR="00735601" w:rsidRDefault="00735601">
      <w:pPr>
        <w:pStyle w:val="CommentText"/>
      </w:pPr>
      <w:r>
        <w:rPr>
          <w:rStyle w:val="CommentReference"/>
        </w:rPr>
        <w:annotationRef/>
      </w:r>
      <w:r>
        <w:t>Did this get updated in the code? It looks like it has not in the version in Dropbox</w:t>
      </w:r>
    </w:p>
  </w:comment>
  <w:comment w:id="59" w:author="Asare, Eric" w:date="2021-07-08T10:34:00Z" w:initials="AE">
    <w:p w14:paraId="61FBD5B5" w14:textId="6CDF2234" w:rsidR="00735601" w:rsidRDefault="00735601">
      <w:pPr>
        <w:pStyle w:val="CommentText"/>
      </w:pPr>
      <w:r>
        <w:rPr>
          <w:rStyle w:val="CommentReference"/>
        </w:rPr>
        <w:annotationRef/>
      </w:r>
      <w:r>
        <w:t>I have done that</w:t>
      </w:r>
    </w:p>
  </w:comment>
  <w:comment w:id="60" w:author="Lloyd-Smith, Patrick" w:date="2021-04-16T14:35:00Z" w:initials="LP">
    <w:p w14:paraId="318F9B33" w14:textId="70BEE54D" w:rsidR="00735601" w:rsidRDefault="00735601">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61" w:author="Lloyd-Smith, Patrick" w:date="2021-05-21T14:23:00Z" w:initials="LP">
    <w:p w14:paraId="0F98BC95" w14:textId="77777777" w:rsidR="00735601" w:rsidRDefault="00735601" w:rsidP="00F27899">
      <w:pPr>
        <w:pStyle w:val="CommentText"/>
      </w:pPr>
      <w:r>
        <w:rPr>
          <w:rStyle w:val="CommentReference"/>
        </w:rPr>
        <w:annotationRef/>
      </w:r>
      <w:r>
        <w:t xml:space="preserve">I’m not sure if this is the appropriate method here, why not just the leave-one-out analysis as in Johnston and Brouwer MAs? Perhaps k-fold is the best way to go but </w:t>
      </w:r>
      <w:proofErr w:type="spellStart"/>
      <w:r>
        <w:t>its</w:t>
      </w:r>
      <w:proofErr w:type="spellEnd"/>
      <w:r>
        <w:t xml:space="preserve"> not clear how this was done.</w:t>
      </w:r>
    </w:p>
  </w:comment>
  <w:comment w:id="62" w:author="Asare, Eric" w:date="2021-09-23T05:39:00Z" w:initials="AE">
    <w:p w14:paraId="3A86B165" w14:textId="6330AC6C" w:rsidR="00735601" w:rsidRDefault="00735601">
      <w:pPr>
        <w:pStyle w:val="CommentText"/>
      </w:pPr>
      <w:r>
        <w:rPr>
          <w:rStyle w:val="CommentReference"/>
        </w:rPr>
        <w:annotationRef/>
      </w:r>
      <w:r>
        <w:t>It is now the LOOCV</w:t>
      </w:r>
    </w:p>
  </w:comment>
  <w:comment w:id="63" w:author="Lloyd-Smith, Patrick" w:date="2020-11-25T10:14:00Z" w:initials="LP">
    <w:p w14:paraId="0E5424BE" w14:textId="77777777" w:rsidR="00735601" w:rsidRDefault="00735601" w:rsidP="005E76B1">
      <w:pPr>
        <w:pStyle w:val="CommentText"/>
      </w:pPr>
      <w:r>
        <w:rPr>
          <w:rStyle w:val="CommentReference"/>
        </w:rPr>
        <w:annotationRef/>
      </w:r>
      <w:r>
        <w:t>Would returning to 2001 levels be consistent with this or a step in this direction&gt;</w:t>
      </w:r>
    </w:p>
  </w:comment>
  <w:comment w:id="64" w:author="Asare, Eric" w:date="2021-09-28T07:29:00Z" w:initials="AE">
    <w:p w14:paraId="4D12443F" w14:textId="77777777" w:rsidR="00735601" w:rsidRDefault="00735601" w:rsidP="005E76B1">
      <w:pPr>
        <w:pStyle w:val="CommentText"/>
      </w:pPr>
      <w:r>
        <w:rPr>
          <w:rStyle w:val="CommentReference"/>
        </w:rPr>
        <w:annotationRef/>
      </w:r>
      <w:r>
        <w:t>I modified the sentence with “contribute to”</w:t>
      </w:r>
    </w:p>
  </w:comment>
  <w:comment w:id="66" w:author="Lloyd-Smith, Patrick" w:date="2021-10-04T12:06:00Z" w:initials="LP">
    <w:p w14:paraId="7B034206" w14:textId="3090AD2F" w:rsidR="000366F7" w:rsidRDefault="000366F7">
      <w:pPr>
        <w:pStyle w:val="CommentText"/>
      </w:pPr>
      <w:r>
        <w:rPr>
          <w:rStyle w:val="CommentReference"/>
        </w:rPr>
        <w:annotationRef/>
      </w:r>
      <w:r>
        <w:t>Use mean value for all moderating variables</w:t>
      </w:r>
      <w:proofErr w:type="gramStart"/>
      <w:r>
        <w:t xml:space="preserve">.  </w:t>
      </w:r>
      <w:proofErr w:type="gramEnd"/>
    </w:p>
  </w:comment>
  <w:comment w:id="67" w:author="Lloyd-Smith, Patrick" w:date="2021-10-04T12:06:00Z" w:initials="LP">
    <w:p w14:paraId="623ACC63" w14:textId="7FDDCCB5" w:rsidR="000366F7" w:rsidRDefault="000366F7">
      <w:pPr>
        <w:pStyle w:val="CommentText"/>
      </w:pPr>
      <w:r>
        <w:rPr>
          <w:rStyle w:val="CommentReference"/>
        </w:rPr>
        <w:annotationRef/>
      </w:r>
      <w:r>
        <w:t xml:space="preserve">Why not use </w:t>
      </w:r>
      <w:proofErr w:type="spellStart"/>
      <w:r>
        <w:t>Sask</w:t>
      </w:r>
      <w:proofErr w:type="spellEnd"/>
      <w:r>
        <w:t xml:space="preserve"> income data?</w:t>
      </w:r>
    </w:p>
  </w:comment>
  <w:comment w:id="65" w:author="Lloyd-Smith, Patrick" w:date="2021-10-04T12:07:00Z" w:initials="LP">
    <w:p w14:paraId="3950B2CA" w14:textId="3E2CFECD" w:rsidR="000366F7" w:rsidRDefault="000366F7">
      <w:pPr>
        <w:pStyle w:val="CommentText"/>
      </w:pPr>
      <w:r>
        <w:rPr>
          <w:rStyle w:val="CommentReference"/>
        </w:rPr>
        <w:annotationRef/>
      </w:r>
      <w:r>
        <w:t xml:space="preserve">Can you include a table in appendix with the coefficient from model and the variable value used in the regression (obviously acreage will change, but all others will </w:t>
      </w:r>
      <w:proofErr w:type="gramStart"/>
      <w:r>
        <w:t>be same).</w:t>
      </w:r>
      <w:proofErr w:type="gramEnd"/>
      <w:r>
        <w:t xml:space="preserve"> This would help clarify.</w:t>
      </w:r>
    </w:p>
  </w:comment>
  <w:comment w:id="68" w:author="Lloyd-Smith, Patrick" w:date="2021-10-04T12:09:00Z" w:initials="LP">
    <w:p w14:paraId="5F37CB1F" w14:textId="76A7A6ED" w:rsidR="000366F7" w:rsidRDefault="000366F7">
      <w:pPr>
        <w:pStyle w:val="CommentText"/>
      </w:pPr>
      <w:r>
        <w:rPr>
          <w:rStyle w:val="CommentReference"/>
        </w:rPr>
        <w:annotationRef/>
      </w:r>
      <w:r>
        <w:t>Move this footnote to main text. We need to discuss these 4 locations without RMs? Do they cross the boundaries?</w:t>
      </w:r>
    </w:p>
  </w:comment>
  <w:comment w:id="69" w:author="Lloyd-Smith, Patrick" w:date="2021-10-04T11:56:00Z" w:initials="LP">
    <w:p w14:paraId="3B1B10F7" w14:textId="36F801E2" w:rsidR="00432FA0" w:rsidRDefault="00432FA0">
      <w:pPr>
        <w:pStyle w:val="CommentText"/>
      </w:pPr>
      <w:r>
        <w:rPr>
          <w:rStyle w:val="CommentReference"/>
        </w:rPr>
        <w:annotationRef/>
      </w:r>
      <w:r>
        <w:t xml:space="preserve">I wonder if it makes sense to </w:t>
      </w:r>
      <w:proofErr w:type="spellStart"/>
      <w:r>
        <w:t>limite</w:t>
      </w:r>
      <w:proofErr w:type="spellEnd"/>
      <w:r>
        <w:t xml:space="preserve"> the non-RM population to people in </w:t>
      </w:r>
      <w:proofErr w:type="spellStart"/>
      <w:r>
        <w:t>Sask</w:t>
      </w:r>
      <w:proofErr w:type="spellEnd"/>
      <w:r>
        <w:t xml:space="preserve"> or the 3 </w:t>
      </w:r>
      <w:proofErr w:type="spellStart"/>
      <w:r>
        <w:t>priarie</w:t>
      </w:r>
      <w:proofErr w:type="spellEnd"/>
      <w:r>
        <w:t xml:space="preserve"> provinces. </w:t>
      </w:r>
    </w:p>
  </w:comment>
  <w:comment w:id="70" w:author="Lloyd-Smith, Patrick" w:date="2021-10-04T11:57:00Z" w:initials="LP">
    <w:p w14:paraId="636D0E32" w14:textId="7EFDB0EF" w:rsidR="00432FA0" w:rsidRDefault="00432FA0">
      <w:pPr>
        <w:pStyle w:val="CommentText"/>
      </w:pPr>
      <w:r>
        <w:rPr>
          <w:rStyle w:val="CommentReference"/>
        </w:rPr>
        <w:annotationRef/>
      </w:r>
      <w:r>
        <w:t xml:space="preserve">What about just running the analysis at the provincial level? </w:t>
      </w:r>
    </w:p>
  </w:comment>
  <w:comment w:id="71" w:author="Lloyd-Smith, Patrick" w:date="2021-10-04T12:09:00Z" w:initials="LP">
    <w:p w14:paraId="18BBD18E" w14:textId="0545414C" w:rsidR="000366F7" w:rsidRDefault="000366F7">
      <w:pPr>
        <w:pStyle w:val="CommentText"/>
      </w:pPr>
      <w:r>
        <w:rPr>
          <w:rStyle w:val="CommentReference"/>
        </w:rPr>
        <w:annotationRef/>
      </w:r>
      <w:proofErr w:type="gramStart"/>
      <w:r>
        <w:t>So</w:t>
      </w:r>
      <w:proofErr w:type="gramEnd"/>
      <w:r>
        <w:t xml:space="preserve"> is it for the province or all Canadians?</w:t>
      </w:r>
    </w:p>
  </w:comment>
  <w:comment w:id="72" w:author="Lloyd-Smith, Patrick" w:date="2021-08-19T09:59:00Z" w:initials="LP">
    <w:p w14:paraId="6F2153AB" w14:textId="12AFBE3B" w:rsidR="00735601" w:rsidRDefault="00735601">
      <w:pPr>
        <w:pStyle w:val="CommentText"/>
      </w:pPr>
      <w:r>
        <w:rPr>
          <w:rStyle w:val="CommentReference"/>
        </w:rPr>
        <w:annotationRef/>
      </w:r>
      <w:r>
        <w:t>It’d use the model 1 description</w:t>
      </w:r>
    </w:p>
  </w:comment>
  <w:comment w:id="73" w:author="Lloyd-Smith, Patrick" w:date="2021-08-19T09:59:00Z" w:initials="LP">
    <w:p w14:paraId="7B219D1F" w14:textId="45A122BD" w:rsidR="00735601" w:rsidRDefault="00735601">
      <w:pPr>
        <w:pStyle w:val="CommentText"/>
      </w:pPr>
      <w:r>
        <w:rPr>
          <w:rStyle w:val="CommentReference"/>
        </w:rPr>
        <w:annotationRef/>
      </w:r>
      <w:r>
        <w:t>Negative or positive?</w:t>
      </w:r>
    </w:p>
  </w:comment>
  <w:comment w:id="74" w:author="Lloyd-Smith, Patrick" w:date="2021-08-19T10:00:00Z" w:initials="LP">
    <w:p w14:paraId="51BE8F6A" w14:textId="18232464" w:rsidR="00735601" w:rsidRDefault="00735601">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735601" w:rsidRDefault="00735601">
      <w:pPr>
        <w:pStyle w:val="CommentText"/>
      </w:pPr>
    </w:p>
    <w:p w14:paraId="1737C5FB" w14:textId="5CB945F2" w:rsidR="00735601" w:rsidRDefault="00735601">
      <w:pPr>
        <w:pStyle w:val="CommentText"/>
      </w:pPr>
      <w:r>
        <w:t xml:space="preserve">One question though is that in the log-log model, do you need this adjustment if the X variable is continuous? I don’t think you do. </w:t>
      </w:r>
    </w:p>
  </w:comment>
  <w:comment w:id="75" w:author="Asare, Eric" w:date="2021-09-23T06:38:00Z" w:initials="AE">
    <w:p w14:paraId="52D5DF52" w14:textId="6B31222A" w:rsidR="00735601" w:rsidRDefault="00735601">
      <w:pPr>
        <w:pStyle w:val="CommentText"/>
      </w:pPr>
      <w:r>
        <w:rPr>
          <w:rStyle w:val="CommentReference"/>
        </w:rPr>
        <w:annotationRef/>
      </w:r>
      <w:r>
        <w:t>Thanks Pat, you are right.</w:t>
      </w:r>
    </w:p>
  </w:comment>
  <w:comment w:id="76" w:author="Lloyd-Smith, Patrick" w:date="2021-08-19T10:01:00Z" w:initials="LP">
    <w:p w14:paraId="4ABD2B02" w14:textId="0B5DD139" w:rsidR="00735601" w:rsidRDefault="00735601">
      <w:pPr>
        <w:pStyle w:val="CommentText"/>
      </w:pPr>
      <w:r>
        <w:rPr>
          <w:rStyle w:val="CommentReference"/>
        </w:rPr>
        <w:annotationRef/>
      </w:r>
      <w:r>
        <w:t>This is not clear. Relative to what? Wetlands that provide provisioning services are less valuable than wetlands without provisioning services</w:t>
      </w:r>
    </w:p>
  </w:comment>
  <w:comment w:id="78" w:author="Lloyd-Smith, Patrick [2]" w:date="2021-04-16T09:10:00Z" w:initials="LSP">
    <w:p w14:paraId="19C33118" w14:textId="77777777" w:rsidR="00735601" w:rsidRDefault="00735601"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79" w:author="Lloyd-Smith, Patrick" w:date="2021-10-04T11:58:00Z" w:initials="LP">
    <w:p w14:paraId="6579BA0E" w14:textId="7D998E47" w:rsidR="00432FA0" w:rsidRDefault="00432FA0">
      <w:pPr>
        <w:pStyle w:val="CommentText"/>
      </w:pPr>
      <w:r>
        <w:rPr>
          <w:rStyle w:val="CommentReference"/>
        </w:rPr>
        <w:annotationRef/>
      </w:r>
      <w:r>
        <w:t>This coefficient is an important one to discuss.</w:t>
      </w:r>
    </w:p>
  </w:comment>
  <w:comment w:id="80" w:author="Lloyd-Smith, Patrick" w:date="2021-08-19T09:57:00Z" w:initials="LP">
    <w:p w14:paraId="703F3178" w14:textId="77777777" w:rsidR="00735601" w:rsidRDefault="00735601" w:rsidP="00EA0C9A">
      <w:pPr>
        <w:pStyle w:val="CommentText"/>
      </w:pPr>
      <w:r>
        <w:rPr>
          <w:rStyle w:val="CommentReference"/>
        </w:rPr>
        <w:annotationRef/>
      </w:r>
      <w:r>
        <w:t>Log income?</w:t>
      </w:r>
    </w:p>
  </w:comment>
  <w:comment w:id="81" w:author="Lloyd-Smith, Patrick" w:date="2021-08-19T10:02:00Z" w:initials="LP">
    <w:p w14:paraId="293028A3" w14:textId="3A3F177F" w:rsidR="00735601" w:rsidRDefault="00735601">
      <w:pPr>
        <w:pStyle w:val="CommentText"/>
      </w:pPr>
      <w:r>
        <w:rPr>
          <w:rStyle w:val="CommentReference"/>
        </w:rPr>
        <w:annotationRef/>
      </w:r>
      <w:r>
        <w:t xml:space="preserve">Need to describe what these scenarios are. Perhaps move to a new paragraph detailing what was conducted here. </w:t>
      </w:r>
    </w:p>
  </w:comment>
  <w:comment w:id="82" w:author="Lloyd-Smith, Patrick" w:date="2021-08-19T10:08:00Z" w:initials="LP">
    <w:p w14:paraId="376D05F2" w14:textId="3623BD57" w:rsidR="00735601" w:rsidRDefault="00735601">
      <w:pPr>
        <w:pStyle w:val="CommentText"/>
      </w:pPr>
      <w:r>
        <w:rPr>
          <w:rStyle w:val="CommentReference"/>
        </w:rPr>
        <w:annotationRef/>
      </w:r>
      <w:r>
        <w:t>I’m not sure this is a convincing reason not to consider the full model. Of course, lots of variables with limited data. We should either not present it or find a more compelling reason for why we don’t consider it</w:t>
      </w:r>
      <w:proofErr w:type="gramStart"/>
      <w:r>
        <w:t xml:space="preserve">.  </w:t>
      </w:r>
      <w:proofErr w:type="gramEnd"/>
    </w:p>
  </w:comment>
  <w:comment w:id="83" w:author="Asare, Eric" w:date="2021-09-23T09:20:00Z" w:initials="AE">
    <w:p w14:paraId="6603E5B5" w14:textId="03DEB809" w:rsidR="00735601" w:rsidRDefault="00735601">
      <w:pPr>
        <w:pStyle w:val="CommentText"/>
      </w:pPr>
      <w:r>
        <w:rPr>
          <w:rStyle w:val="CommentReference"/>
        </w:rPr>
        <w:annotationRef/>
      </w:r>
      <w:r>
        <w:t>I agree Pat. I reported the results of the full model now.</w:t>
      </w:r>
    </w:p>
  </w:comment>
  <w:comment w:id="86" w:author="Lloyd-Smith, Patrick" w:date="2021-08-19T10:03:00Z" w:initials="LP">
    <w:p w14:paraId="7D9AFE14" w14:textId="0FC5EEF6" w:rsidR="00735601" w:rsidRDefault="00735601">
      <w:pPr>
        <w:pStyle w:val="CommentText"/>
      </w:pPr>
      <w:r>
        <w:rPr>
          <w:rStyle w:val="CommentReference"/>
        </w:rPr>
        <w:annotationRef/>
      </w:r>
      <w:r>
        <w:t xml:space="preserve">These large </w:t>
      </w:r>
      <w:proofErr w:type="spellStart"/>
      <w:r>
        <w:t>se’s</w:t>
      </w:r>
      <w:proofErr w:type="spellEnd"/>
      <w:r>
        <w:t xml:space="preserve"> suggest some identification concerns. </w:t>
      </w:r>
    </w:p>
  </w:comment>
  <w:comment w:id="85" w:author="Asare, Eric" w:date="2021-09-30T03:39:00Z" w:initials="AE">
    <w:p w14:paraId="6DD3E25E" w14:textId="3477573C" w:rsidR="00735601" w:rsidRDefault="00735601">
      <w:pPr>
        <w:pStyle w:val="CommentText"/>
      </w:pPr>
      <w:r>
        <w:rPr>
          <w:rStyle w:val="CommentReference"/>
        </w:rPr>
        <w:annotationRef/>
      </w:r>
      <w:r>
        <w:t xml:space="preserve">I tried re-estimating the models without the insignificant variables but the large se still persist. However, the models remain homoscedastic and VIFs less </w:t>
      </w:r>
      <w:proofErr w:type="gramStart"/>
      <w:r>
        <w:t>than  2</w:t>
      </w:r>
      <w:proofErr w:type="gramEnd"/>
      <w:r>
        <w:t>. Do you have any idea what might be causing it, Pat, or ways to correct it?</w:t>
      </w:r>
    </w:p>
  </w:comment>
  <w:comment w:id="87" w:author="Lloyd-Smith, Patrick" w:date="2021-08-19T10:11:00Z" w:initials="LP">
    <w:p w14:paraId="64BDB8A3" w14:textId="14B0CE83" w:rsidR="00735601" w:rsidRDefault="00735601">
      <w:pPr>
        <w:pStyle w:val="CommentText"/>
      </w:pPr>
      <w:r>
        <w:rPr>
          <w:rStyle w:val="CommentReference"/>
        </w:rPr>
        <w:annotationRef/>
      </w:r>
      <w:r>
        <w:t>Need a sentence for using the mean value transfer.</w:t>
      </w:r>
    </w:p>
  </w:comment>
  <w:comment w:id="88" w:author="Lloyd-Smith, Patrick" w:date="2021-10-04T12:01:00Z" w:initials="LP">
    <w:p w14:paraId="16C22AB9" w14:textId="0547ED47" w:rsidR="00432FA0" w:rsidRDefault="00432FA0">
      <w:pPr>
        <w:pStyle w:val="CommentText"/>
      </w:pPr>
      <w:r>
        <w:rPr>
          <w:rStyle w:val="CommentReference"/>
        </w:rPr>
        <w:annotationRef/>
      </w:r>
      <w:r>
        <w:t>Need to be consistent on acres vs hectares</w:t>
      </w:r>
    </w:p>
  </w:comment>
  <w:comment w:id="90" w:author="Lloyd-Smith, Patrick" w:date="2021-08-19T10:11:00Z" w:initials="LP">
    <w:p w14:paraId="7C17E228" w14:textId="6F1070A1" w:rsidR="00735601" w:rsidRDefault="00735601">
      <w:pPr>
        <w:pStyle w:val="CommentText"/>
      </w:pPr>
      <w:r>
        <w:rPr>
          <w:rStyle w:val="CommentReference"/>
        </w:rPr>
        <w:annotationRef/>
      </w:r>
      <w:r>
        <w:t>Are these for the full models or the restricted ones?</w:t>
      </w:r>
    </w:p>
  </w:comment>
  <w:comment w:id="89" w:author="Asare, Eric" w:date="2021-09-30T08:11:00Z" w:initials="AE">
    <w:p w14:paraId="613E4E4D" w14:textId="77777777" w:rsidR="00735601" w:rsidRDefault="00735601">
      <w:pPr>
        <w:pStyle w:val="CommentText"/>
      </w:pPr>
      <w:r>
        <w:rPr>
          <w:rStyle w:val="CommentReference"/>
        </w:rPr>
        <w:annotationRef/>
      </w:r>
    </w:p>
    <w:p w14:paraId="7DB211F6" w14:textId="7E65F344" w:rsidR="00735601" w:rsidRDefault="00735601">
      <w:pPr>
        <w:pStyle w:val="CommentText"/>
      </w:pPr>
      <w:r>
        <w:t>The full models. I have stated it in the table.</w:t>
      </w:r>
    </w:p>
  </w:comment>
  <w:comment w:id="91" w:author="Lloyd-Smith, Patrick" w:date="2021-05-21T14:21:00Z" w:initials="LP">
    <w:p w14:paraId="5B3526E2" w14:textId="77777777" w:rsidR="00735601" w:rsidRDefault="00735601" w:rsidP="00FB5EA2">
      <w:pPr>
        <w:pStyle w:val="CommentText"/>
      </w:pPr>
      <w:r>
        <w:rPr>
          <w:rStyle w:val="CommentReference"/>
        </w:rPr>
        <w:annotationRef/>
      </w:r>
      <w:r>
        <w:rPr>
          <w:rStyle w:val="CommentReference"/>
        </w:rPr>
        <w:t>Is this using a $/acre transfer or simply the mean value?</w:t>
      </w:r>
    </w:p>
  </w:comment>
  <w:comment w:id="92" w:author="Asare, Eric" w:date="2021-07-08T14:51:00Z" w:initials="AE">
    <w:p w14:paraId="72775EE2" w14:textId="2BA40DA1" w:rsidR="00735601" w:rsidRDefault="00735601">
      <w:pPr>
        <w:pStyle w:val="CommentText"/>
      </w:pPr>
      <w:r>
        <w:rPr>
          <w:rStyle w:val="CommentReference"/>
        </w:rPr>
        <w:annotationRef/>
      </w:r>
      <w:r>
        <w:t>It is the mean value</w:t>
      </w:r>
    </w:p>
  </w:comment>
  <w:comment w:id="93" w:author="Lloyd-Smith, Patrick" w:date="2021-08-19T10:12:00Z" w:initials="LP">
    <w:p w14:paraId="5DEF37A7" w14:textId="40590C75" w:rsidR="00735601" w:rsidRDefault="00735601">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94" w:author="Asare, Eric" w:date="2021-09-30T08:34:00Z" w:initials="AE">
    <w:p w14:paraId="79430EAE" w14:textId="3ABD45CD" w:rsidR="00735601" w:rsidRDefault="00735601">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95" w:author="Lloyd-Smith, Patrick" w:date="2021-10-04T12:02:00Z" w:initials="LP">
    <w:p w14:paraId="33666F72" w14:textId="7F7AE2DD" w:rsidR="00432FA0" w:rsidRDefault="00432FA0">
      <w:pPr>
        <w:pStyle w:val="CommentText"/>
      </w:pPr>
      <w:r>
        <w:rPr>
          <w:rStyle w:val="CommentReference"/>
        </w:rPr>
        <w:annotationRef/>
      </w:r>
      <w:r>
        <w:t>Sorry I meant $/HH/</w:t>
      </w:r>
      <w:proofErr w:type="spellStart"/>
      <w:r>
        <w:t>yr</w:t>
      </w:r>
      <w:proofErr w:type="spellEnd"/>
      <w:r>
        <w:t>/acres</w:t>
      </w:r>
    </w:p>
    <w:p w14:paraId="285E38B7" w14:textId="77777777" w:rsidR="00432FA0" w:rsidRDefault="00432FA0">
      <w:pPr>
        <w:pStyle w:val="CommentText"/>
      </w:pPr>
    </w:p>
    <w:p w14:paraId="7D448583" w14:textId="77777777" w:rsidR="00432FA0" w:rsidRDefault="00432FA0">
      <w:pPr>
        <w:pStyle w:val="CommentText"/>
      </w:pPr>
      <w:r>
        <w:t xml:space="preserve">Two options: </w:t>
      </w:r>
    </w:p>
    <w:p w14:paraId="41B284D8" w14:textId="51162F85" w:rsidR="00432FA0" w:rsidRDefault="00432FA0" w:rsidP="00432FA0">
      <w:pPr>
        <w:pStyle w:val="CommentText"/>
        <w:numPr>
          <w:ilvl w:val="0"/>
          <w:numId w:val="31"/>
        </w:numPr>
      </w:pPr>
      <w:r>
        <w:t>$500 to conserve 100 acres</w:t>
      </w:r>
    </w:p>
    <w:p w14:paraId="17C68B3D" w14:textId="3C26DAB6" w:rsidR="00432FA0" w:rsidRDefault="00432FA0" w:rsidP="00432FA0">
      <w:pPr>
        <w:pStyle w:val="CommentText"/>
        <w:numPr>
          <w:ilvl w:val="0"/>
          <w:numId w:val="31"/>
        </w:numPr>
      </w:pPr>
      <w:r>
        <w:t>$5/ acre</w:t>
      </w:r>
    </w:p>
    <w:p w14:paraId="36D85224" w14:textId="77777777" w:rsidR="00432FA0" w:rsidRDefault="00432FA0">
      <w:pPr>
        <w:pStyle w:val="CommentText"/>
      </w:pPr>
    </w:p>
    <w:p w14:paraId="17C3186B" w14:textId="7B596C76" w:rsidR="00432FA0" w:rsidRDefault="00432FA0">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97" w:author="Lloyd-Smith, Patrick" w:date="2021-10-04T12:04:00Z" w:initials="LP">
    <w:p w14:paraId="30A2EBF8" w14:textId="35093E91" w:rsidR="00432FA0" w:rsidRDefault="00432FA0">
      <w:pPr>
        <w:pStyle w:val="CommentText"/>
      </w:pPr>
      <w:r>
        <w:rPr>
          <w:rStyle w:val="CommentReference"/>
        </w:rPr>
        <w:annotationRef/>
      </w:r>
      <w:r>
        <w:t>? There are 38 million people here. How are there so few HHs?</w:t>
      </w:r>
    </w:p>
  </w:comment>
  <w:comment w:id="99" w:author="Lloyd-Smith, Patrick [2]" w:date="2021-04-16T09:10:00Z" w:initials="LSP">
    <w:p w14:paraId="746C75C4" w14:textId="77777777" w:rsidR="00735601" w:rsidRDefault="00735601"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100" w:author="Lloyd-Smith, Patrick [2]" w:date="2021-04-16T09:10:00Z" w:initials="LSP">
    <w:p w14:paraId="05DC0581" w14:textId="77777777" w:rsidR="00735601" w:rsidRDefault="00735601"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0"/>
  <w15:commentEx w15:paraId="239AC89E" w15:done="0"/>
  <w15:commentEx w15:paraId="7918EF4B" w15:done="0"/>
  <w15:commentEx w15:paraId="1FD92E65" w15:done="0"/>
  <w15:commentEx w15:paraId="53C07F7C" w15:done="0"/>
  <w15:commentEx w15:paraId="0983A6B5" w15:done="0"/>
  <w15:commentEx w15:paraId="3DFDE194" w15:paraIdParent="0983A6B5" w15:done="0"/>
  <w15:commentEx w15:paraId="20D0BEE2" w15:done="0"/>
  <w15:commentEx w15:paraId="4EC7A664" w15:done="0"/>
  <w15:commentEx w15:paraId="7A17940B" w15:paraIdParent="4EC7A664" w15:done="0"/>
  <w15:commentEx w15:paraId="599FCD0A" w15:paraIdParent="4EC7A664" w15:done="0"/>
  <w15:commentEx w15:paraId="7A65135E" w15:paraIdParent="4EC7A664" w15:done="0"/>
  <w15:commentEx w15:paraId="6A2F694F" w15:done="0"/>
  <w15:commentEx w15:paraId="32653D5F" w15:done="0"/>
  <w15:commentEx w15:paraId="61CD5E82" w15:paraIdParent="32653D5F" w15:done="0"/>
  <w15:commentEx w15:paraId="345A1890" w15:done="0"/>
  <w15:commentEx w15:paraId="652E5E8D" w15:paraIdParent="345A1890" w15:done="0"/>
  <w15:commentEx w15:paraId="7BE6507C" w15:done="0"/>
  <w15:commentEx w15:paraId="5C652811" w15:paraIdParent="7BE6507C" w15:done="0"/>
  <w15:commentEx w15:paraId="1DAB9EC9" w15:done="0"/>
  <w15:commentEx w15:paraId="5BF7363F" w15:paraIdParent="1DAB9EC9" w15:done="0"/>
  <w15:commentEx w15:paraId="76F0A9A9" w15:done="0"/>
  <w15:commentEx w15:paraId="74F58B67" w15:done="0"/>
  <w15:commentEx w15:paraId="1D626EEE" w15:paraIdParent="74F58B67" w15:done="0"/>
  <w15:commentEx w15:paraId="46FC923D" w15:paraIdParent="74F58B67" w15:done="0"/>
  <w15:commentEx w15:paraId="18F03998" w15:paraIdParent="74F58B67" w15:done="0"/>
  <w15:commentEx w15:paraId="65282507" w15:done="0"/>
  <w15:commentEx w15:paraId="1964F5F0" w15:done="0"/>
  <w15:commentEx w15:paraId="40664010" w15:paraIdParent="1964F5F0" w15:done="0"/>
  <w15:commentEx w15:paraId="5E5E413B" w15:done="0"/>
  <w15:commentEx w15:paraId="7E4D72B2" w15:done="0"/>
  <w15:commentEx w15:paraId="6E7A908E" w15:done="0"/>
  <w15:commentEx w15:paraId="118FF4C0" w15:done="0"/>
  <w15:commentEx w15:paraId="53C4AA71" w15:paraIdParent="118FF4C0" w15:done="0"/>
  <w15:commentEx w15:paraId="0AF70611" w15:done="0"/>
  <w15:commentEx w15:paraId="231B2DB0" w15:paraIdParent="0AF70611" w15:done="0"/>
  <w15:commentEx w15:paraId="1EE1DCA9" w15:done="0"/>
  <w15:commentEx w15:paraId="27323B1E" w15:paraIdParent="1EE1DCA9" w15:done="0"/>
  <w15:commentEx w15:paraId="6B747DB9" w15:done="0"/>
  <w15:commentEx w15:paraId="1B6275AA" w15:done="0"/>
  <w15:commentEx w15:paraId="4C137A25" w15:done="0"/>
  <w15:commentEx w15:paraId="268B460C" w15:done="0"/>
  <w15:commentEx w15:paraId="6FF810B9" w15:done="0"/>
  <w15:commentEx w15:paraId="7823A6F2" w15:done="0"/>
  <w15:commentEx w15:paraId="51C452C6" w15:paraIdParent="7823A6F2" w15:done="0"/>
  <w15:commentEx w15:paraId="604C5A95" w15:done="0"/>
  <w15:commentEx w15:paraId="6BA6DED8" w15:done="0"/>
  <w15:commentEx w15:paraId="2BC3B141" w15:done="0"/>
  <w15:commentEx w15:paraId="018DE75A" w15:done="0"/>
  <w15:commentEx w15:paraId="5683B04E" w15:paraIdParent="018DE75A" w15:done="0"/>
  <w15:commentEx w15:paraId="10EE2DC6" w15:done="0"/>
  <w15:commentEx w15:paraId="2BCBF9BE" w15:paraIdParent="10EE2DC6" w15:done="0"/>
  <w15:commentEx w15:paraId="59357107" w15:done="0"/>
  <w15:commentEx w15:paraId="61FBD5B5" w15:paraIdParent="59357107" w15:done="0"/>
  <w15:commentEx w15:paraId="318F9B33" w15:done="0"/>
  <w15:commentEx w15:paraId="0F98BC95" w15:done="0"/>
  <w15:commentEx w15:paraId="3A86B165" w15:paraIdParent="0F98BC95" w15:done="0"/>
  <w15:commentEx w15:paraId="0E5424BE" w15:done="0"/>
  <w15:commentEx w15:paraId="4D12443F" w15:paraIdParent="0E5424BE" w15:done="0"/>
  <w15:commentEx w15:paraId="7B034206" w15:done="0"/>
  <w15:commentEx w15:paraId="623ACC63" w15:done="0"/>
  <w15:commentEx w15:paraId="3950B2CA" w15:done="0"/>
  <w15:commentEx w15:paraId="5F37CB1F" w15:done="0"/>
  <w15:commentEx w15:paraId="3B1B10F7" w15:done="0"/>
  <w15:commentEx w15:paraId="636D0E32" w15:done="0"/>
  <w15:commentEx w15:paraId="18BBD18E" w15:done="0"/>
  <w15:commentEx w15:paraId="6F2153AB" w15:done="0"/>
  <w15:commentEx w15:paraId="7B219D1F" w15:done="0"/>
  <w15:commentEx w15:paraId="1737C5FB" w15:done="0"/>
  <w15:commentEx w15:paraId="52D5DF52" w15:paraIdParent="1737C5FB" w15:done="0"/>
  <w15:commentEx w15:paraId="4ABD2B02" w15:done="0"/>
  <w15:commentEx w15:paraId="19C33118" w15:done="0"/>
  <w15:commentEx w15:paraId="6579BA0E" w15:done="0"/>
  <w15:commentEx w15:paraId="703F3178" w15:done="0"/>
  <w15:commentEx w15:paraId="293028A3" w15:done="0"/>
  <w15:commentEx w15:paraId="376D05F2" w15:done="0"/>
  <w15:commentEx w15:paraId="6603E5B5" w15:paraIdParent="376D05F2" w15:done="0"/>
  <w15:commentEx w15:paraId="7D9AFE14" w15:done="0"/>
  <w15:commentEx w15:paraId="6DD3E25E" w15:paraIdParent="7D9AFE14" w15:done="0"/>
  <w15:commentEx w15:paraId="64BDB8A3" w15:done="0"/>
  <w15:commentEx w15:paraId="16C22AB9" w15:done="0"/>
  <w15:commentEx w15:paraId="7C17E228" w15:done="0"/>
  <w15:commentEx w15:paraId="7DB211F6" w15:paraIdParent="7C17E228" w15:done="0"/>
  <w15:commentEx w15:paraId="5B3526E2" w15:done="0"/>
  <w15:commentEx w15:paraId="72775EE2" w15:paraIdParent="5B3526E2" w15:done="0"/>
  <w15:commentEx w15:paraId="5DEF37A7" w15:paraIdParent="5B3526E2" w15:done="0"/>
  <w15:commentEx w15:paraId="79430EAE" w15:paraIdParent="5B3526E2" w15:done="0"/>
  <w15:commentEx w15:paraId="17C3186B" w15:paraIdParent="5B3526E2" w15:done="0"/>
  <w15:commentEx w15:paraId="30A2EBF8" w15:done="0"/>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F8DF9" w16cex:dateUtc="2021-09-30T05:14:00Z"/>
  <w16cex:commentExtensible w16cex:durableId="24FD3D5E" w16cex:dateUtc="2021-09-28T11:06:00Z"/>
  <w16cex:commentExtensible w16cex:durableId="24FF930F" w16cex:dateUtc="2021-09-30T05:36:00Z"/>
  <w16cex:commentExtensible w16cex:durableId="2500C00A" w16cex:dateUtc="2021-10-01T03:00:00Z"/>
  <w16cex:commentExtensible w16cex:durableId="24FF969E" w16cex:dateUtc="2021-09-30T05:5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F94E7" w16cex:dateUtc="2021-09-30T05:44:00Z"/>
  <w16cex:commentExtensible w16cex:durableId="24F68781" w16cex:dateUtc="2021-09-23T08:56: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50008E8" w16cex:dateUtc="2021-09-28T11:2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FFAFF6" w16cex:dateUtc="2021-09-30T07:39:00Z"/>
  <w16cex:commentExtensible w16cex:durableId="24FFEF97" w16cex:dateUtc="2021-09-30T12:11:00Z"/>
  <w16cex:commentExtensible w16cex:durableId="24918F59" w16cex:dateUtc="2021-07-08T20:51:00Z"/>
  <w16cex:commentExtensible w16cex:durableId="24FFF529" w16cex:dateUtc="2021-09-30T12:34: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239AC89E" w16cid:durableId="2508FDB9"/>
  <w16cid:commentId w16cid:paraId="7918EF4B" w16cid:durableId="2508FDBA"/>
  <w16cid:commentId w16cid:paraId="1FD92E65" w16cid:durableId="2508FDBC"/>
  <w16cid:commentId w16cid:paraId="53C07F7C" w16cid:durableId="2508FDBD"/>
  <w16cid:commentId w16cid:paraId="0983A6B5" w16cid:durableId="24F2F007"/>
  <w16cid:commentId w16cid:paraId="3DFDE194" w16cid:durableId="24FF8DF9"/>
  <w16cid:commentId w16cid:paraId="20D0BEE2" w16cid:durableId="24F2F008"/>
  <w16cid:commentId w16cid:paraId="4EC7A664" w16cid:durableId="24F2F009"/>
  <w16cid:commentId w16cid:paraId="7A17940B" w16cid:durableId="24FD3D5E"/>
  <w16cid:commentId w16cid:paraId="599FCD0A" w16cid:durableId="24FF930F"/>
  <w16cid:commentId w16cid:paraId="7A65135E" w16cid:durableId="2508FDC4"/>
  <w16cid:commentId w16cid:paraId="6A2F694F" w16cid:durableId="2508FDC5"/>
  <w16cid:commentId w16cid:paraId="32653D5F" w16cid:durableId="24F2F00D"/>
  <w16cid:commentId w16cid:paraId="61CD5E82" w16cid:durableId="2500C00A"/>
  <w16cid:commentId w16cid:paraId="345A1890" w16cid:durableId="24F2F010"/>
  <w16cid:commentId w16cid:paraId="652E5E8D" w16cid:durableId="24FF969E"/>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18F03998" w16cid:durableId="24FF94E7"/>
  <w16cid:commentId w16cid:paraId="65282507" w16cid:durableId="248ADFB0"/>
  <w16cid:commentId w16cid:paraId="1964F5F0" w16cid:durableId="240D78ED"/>
  <w16cid:commentId w16cid:paraId="40664010" w16cid:durableId="24F68781"/>
  <w16cid:commentId w16cid:paraId="5E5E413B" w16cid:durableId="2491461A"/>
  <w16cid:commentId w16cid:paraId="7E4D72B2" w16cid:durableId="24F2F020"/>
  <w16cid:commentId w16cid:paraId="6E7A908E" w16cid:durableId="2508FDD9"/>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6B747DB9" w16cid:durableId="2508FDE4"/>
  <w16cid:commentId w16cid:paraId="1B6275AA" w16cid:durableId="2508FDE5"/>
  <w16cid:commentId w16cid:paraId="4C137A25" w16cid:durableId="2508FDE6"/>
  <w16cid:commentId w16cid:paraId="268B460C" w16cid:durableId="240D78F4"/>
  <w16cid:commentId w16cid:paraId="6FF810B9" w16cid:durableId="2508FDE8"/>
  <w16cid:commentId w16cid:paraId="7823A6F2" w16cid:durableId="248ADFBA"/>
  <w16cid:commentId w16cid:paraId="51C452C6" w16cid:durableId="24914E19"/>
  <w16cid:commentId w16cid:paraId="604C5A95" w16cid:durableId="24F2F02C"/>
  <w16cid:commentId w16cid:paraId="6BA6DED8" w16cid:durableId="2508FDE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0E5424BE" w16cid:durableId="250008E9"/>
  <w16cid:commentId w16cid:paraId="4D12443F" w16cid:durableId="250008E8"/>
  <w16cid:commentId w16cid:paraId="7B034206" w16cid:durableId="2508FDF9"/>
  <w16cid:commentId w16cid:paraId="623ACC63" w16cid:durableId="2508FDFA"/>
  <w16cid:commentId w16cid:paraId="3950B2CA" w16cid:durableId="2508FDFB"/>
  <w16cid:commentId w16cid:paraId="5F37CB1F" w16cid:durableId="2508FDFC"/>
  <w16cid:commentId w16cid:paraId="3B1B10F7" w16cid:durableId="2508FDFD"/>
  <w16cid:commentId w16cid:paraId="636D0E32" w16cid:durableId="2508FDFE"/>
  <w16cid:commentId w16cid:paraId="18BBD18E" w16cid:durableId="2508FDFF"/>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6579BA0E" w16cid:durableId="2508FE06"/>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DD3E25E" w16cid:durableId="24FFAFF6"/>
  <w16cid:commentId w16cid:paraId="64BDB8A3" w16cid:durableId="24F2F040"/>
  <w16cid:commentId w16cid:paraId="16C22AB9" w16cid:durableId="2508FE0E"/>
  <w16cid:commentId w16cid:paraId="7C17E228" w16cid:durableId="24F2F041"/>
  <w16cid:commentId w16cid:paraId="7DB211F6" w16cid:durableId="24FFEF97"/>
  <w16cid:commentId w16cid:paraId="5B3526E2" w16cid:durableId="248ADFCB"/>
  <w16cid:commentId w16cid:paraId="72775EE2" w16cid:durableId="24918F59"/>
  <w16cid:commentId w16cid:paraId="5DEF37A7" w16cid:durableId="24F2F044"/>
  <w16cid:commentId w16cid:paraId="79430EAE" w16cid:durableId="24FFF529"/>
  <w16cid:commentId w16cid:paraId="17C3186B" w16cid:durableId="2508FE15"/>
  <w16cid:commentId w16cid:paraId="30A2EBF8" w16cid:durableId="2508FE16"/>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F4C7" w14:textId="77777777" w:rsidR="00484021" w:rsidRDefault="00484021" w:rsidP="006F11E0">
      <w:r>
        <w:separator/>
      </w:r>
    </w:p>
  </w:endnote>
  <w:endnote w:type="continuationSeparator" w:id="0">
    <w:p w14:paraId="441698B7" w14:textId="77777777" w:rsidR="00484021" w:rsidRDefault="00484021"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735601" w:rsidRDefault="00735601">
        <w:pPr>
          <w:pStyle w:val="Footer"/>
          <w:jc w:val="center"/>
        </w:pPr>
        <w:r>
          <w:fldChar w:fldCharType="begin"/>
        </w:r>
        <w:r>
          <w:instrText xml:space="preserve"> PAGE   \* MERGEFORMAT </w:instrText>
        </w:r>
        <w:r>
          <w:fldChar w:fldCharType="separate"/>
        </w:r>
        <w:r w:rsidR="00F02F97">
          <w:rPr>
            <w:noProof/>
          </w:rPr>
          <w:t>25</w:t>
        </w:r>
        <w:r>
          <w:rPr>
            <w:noProof/>
          </w:rPr>
          <w:fldChar w:fldCharType="end"/>
        </w:r>
      </w:p>
    </w:sdtContent>
  </w:sdt>
  <w:p w14:paraId="1557D885" w14:textId="77777777" w:rsidR="00735601" w:rsidRDefault="0073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963E" w14:textId="77777777" w:rsidR="00484021" w:rsidRDefault="00484021" w:rsidP="006F11E0">
      <w:r>
        <w:separator/>
      </w:r>
    </w:p>
  </w:footnote>
  <w:footnote w:type="continuationSeparator" w:id="0">
    <w:p w14:paraId="3DC1C503" w14:textId="77777777" w:rsidR="00484021" w:rsidRDefault="00484021" w:rsidP="006F11E0">
      <w:r>
        <w:continuationSeparator/>
      </w:r>
    </w:p>
  </w:footnote>
  <w:footnote w:id="1">
    <w:p w14:paraId="1DCA05A6" w14:textId="4CA4AC16" w:rsidR="00735601" w:rsidRDefault="00735601">
      <w:pPr>
        <w:pStyle w:val="FootnoteText"/>
      </w:pPr>
      <w:r>
        <w:rPr>
          <w:rStyle w:val="FootnoteReference"/>
        </w:rPr>
        <w:footnoteRef/>
      </w:r>
      <w:r>
        <w:t xml:space="preserve"> Data on household size for rural municipalities in Saskatchewan and the province were obtained on September 20, 2021 from </w:t>
      </w:r>
      <w:hyperlink r:id="rId1" w:history="1">
        <w:r>
          <w:rPr>
            <w:rStyle w:val="Hyperlink"/>
          </w:rPr>
          <w:t>Census Profile, 2016 Census - Abbey, Village [Census subdivision], Saskatchewan and Saskatchewan [Province] (statcan.gc.ca)</w:t>
        </w:r>
      </w:hyperlink>
      <w:r>
        <w:t xml:space="preserve"> We could not identify the RM name for 4 PHJV locations, therefore, the household size for these locations were imputed using the median of the RM household size for the other locations. We used the median because two extreme RM household sizes (2,775 and 2,150). The RMs for Upper Assiniboine were numbers 181 and 211. The household size information for Manitoba and Alberta were obtained from the same source. </w:t>
      </w:r>
    </w:p>
  </w:footnote>
  <w:footnote w:id="2">
    <w:p w14:paraId="4CCF417F" w14:textId="3610B472" w:rsidR="00735601" w:rsidRDefault="00735601">
      <w:pPr>
        <w:pStyle w:val="FootnoteText"/>
      </w:pPr>
      <w:r>
        <w:rPr>
          <w:rStyle w:val="FootnoteReference"/>
        </w:rPr>
        <w:footnoteRef/>
      </w:r>
      <w:r>
        <w:t xml:space="preserve"> The 10 villages in Alberta were Acne, Barnwell, Carbon, Delburne, Edberg, Ferintosh, Gadsby, Irma and Kitscoty. The 10 rural municipalities in Manitoba were Armstrong, Brokenhead, Cornwallis, De Sale Berry, Elton, Fisher, Cumly, Hanover, Kelsey and Piney. </w:t>
      </w:r>
    </w:p>
  </w:footnote>
  <w:footnote w:id="3">
    <w:p w14:paraId="1AC1131C" w14:textId="6EB2080C" w:rsidR="00735601" w:rsidRDefault="00735601">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0"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9713E"/>
    <w:multiLevelType w:val="hybridMultilevel"/>
    <w:tmpl w:val="F6B89E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625F8"/>
    <w:multiLevelType w:val="hybridMultilevel"/>
    <w:tmpl w:val="CCBCD1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0"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1"/>
  </w:num>
  <w:num w:numId="3">
    <w:abstractNumId w:val="24"/>
  </w:num>
  <w:num w:numId="4">
    <w:abstractNumId w:val="21"/>
  </w:num>
  <w:num w:numId="5">
    <w:abstractNumId w:val="28"/>
  </w:num>
  <w:num w:numId="6">
    <w:abstractNumId w:val="23"/>
  </w:num>
  <w:num w:numId="7">
    <w:abstractNumId w:val="0"/>
  </w:num>
  <w:num w:numId="8">
    <w:abstractNumId w:val="17"/>
  </w:num>
  <w:num w:numId="9">
    <w:abstractNumId w:val="14"/>
  </w:num>
  <w:num w:numId="10">
    <w:abstractNumId w:val="13"/>
  </w:num>
  <w:num w:numId="11">
    <w:abstractNumId w:val="6"/>
  </w:num>
  <w:num w:numId="12">
    <w:abstractNumId w:val="4"/>
  </w:num>
  <w:num w:numId="13">
    <w:abstractNumId w:val="29"/>
  </w:num>
  <w:num w:numId="14">
    <w:abstractNumId w:val="18"/>
  </w:num>
  <w:num w:numId="15">
    <w:abstractNumId w:val="1"/>
  </w:num>
  <w:num w:numId="16">
    <w:abstractNumId w:val="30"/>
  </w:num>
  <w:num w:numId="17">
    <w:abstractNumId w:val="16"/>
  </w:num>
  <w:num w:numId="18">
    <w:abstractNumId w:val="10"/>
  </w:num>
  <w:num w:numId="19">
    <w:abstractNumId w:val="15"/>
  </w:num>
  <w:num w:numId="20">
    <w:abstractNumId w:val="26"/>
  </w:num>
  <w:num w:numId="21">
    <w:abstractNumId w:val="3"/>
  </w:num>
  <w:num w:numId="22">
    <w:abstractNumId w:val="7"/>
  </w:num>
  <w:num w:numId="23">
    <w:abstractNumId w:val="12"/>
  </w:num>
  <w:num w:numId="24">
    <w:abstractNumId w:val="8"/>
  </w:num>
  <w:num w:numId="25">
    <w:abstractNumId w:val="27"/>
  </w:num>
  <w:num w:numId="26">
    <w:abstractNumId w:val="2"/>
  </w:num>
  <w:num w:numId="27">
    <w:abstractNumId w:val="22"/>
  </w:num>
  <w:num w:numId="28">
    <w:abstractNumId w:val="9"/>
  </w:num>
  <w:num w:numId="29">
    <w:abstractNumId w:val="20"/>
  </w:num>
  <w:num w:numId="30">
    <w:abstractNumId w:val="25"/>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Asare, Eric">
    <w15:presenceInfo w15:providerId="None" w15:userId="Asare, Eric"/>
  </w15:person>
  <w15:person w15:author="Pat">
    <w15:presenceInfo w15:providerId="None" w15:userId="Pat"/>
  </w15:person>
  <w15:person w15:author="Asare, Eric [2]">
    <w15:presenceInfo w15:providerId="AD" w15:userId="S::era413@usask.ca::5d6e979b-9568-4c79-ad99-574e43155db9"/>
  </w15:person>
  <w15:person w15:author="Lloyd-Smith, Patrick [2]">
    <w15:presenceInfo w15:providerId="AD" w15:userId="S::pal453@usask.ca::005558d1-fe41-4b76-8fd0-407077b4c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66F7"/>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6615"/>
    <w:rsid w:val="00067ECA"/>
    <w:rsid w:val="00071426"/>
    <w:rsid w:val="00071CAD"/>
    <w:rsid w:val="0007374B"/>
    <w:rsid w:val="00073902"/>
    <w:rsid w:val="0008052D"/>
    <w:rsid w:val="00081430"/>
    <w:rsid w:val="00081905"/>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05B0"/>
    <w:rsid w:val="000F1F42"/>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279BA"/>
    <w:rsid w:val="00131119"/>
    <w:rsid w:val="001311D0"/>
    <w:rsid w:val="001335CB"/>
    <w:rsid w:val="0013421E"/>
    <w:rsid w:val="00134919"/>
    <w:rsid w:val="00137DB0"/>
    <w:rsid w:val="00141299"/>
    <w:rsid w:val="00141C1E"/>
    <w:rsid w:val="001434E1"/>
    <w:rsid w:val="00152976"/>
    <w:rsid w:val="00153456"/>
    <w:rsid w:val="0015364D"/>
    <w:rsid w:val="001538FC"/>
    <w:rsid w:val="0015542E"/>
    <w:rsid w:val="0017270E"/>
    <w:rsid w:val="00176805"/>
    <w:rsid w:val="00180789"/>
    <w:rsid w:val="00184132"/>
    <w:rsid w:val="00184756"/>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0912"/>
    <w:rsid w:val="001D124E"/>
    <w:rsid w:val="001D1767"/>
    <w:rsid w:val="001D3376"/>
    <w:rsid w:val="001D609A"/>
    <w:rsid w:val="001D60C7"/>
    <w:rsid w:val="001D6E1B"/>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846FE"/>
    <w:rsid w:val="00285133"/>
    <w:rsid w:val="0029035E"/>
    <w:rsid w:val="0029106D"/>
    <w:rsid w:val="0029686F"/>
    <w:rsid w:val="00297AAF"/>
    <w:rsid w:val="002A3791"/>
    <w:rsid w:val="002A7866"/>
    <w:rsid w:val="002B0D3A"/>
    <w:rsid w:val="002B1272"/>
    <w:rsid w:val="002B2084"/>
    <w:rsid w:val="002B2366"/>
    <w:rsid w:val="002B2AC8"/>
    <w:rsid w:val="002B3727"/>
    <w:rsid w:val="002C0B0B"/>
    <w:rsid w:val="002C3D3D"/>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073B2"/>
    <w:rsid w:val="00310157"/>
    <w:rsid w:val="00310A1B"/>
    <w:rsid w:val="00312F9A"/>
    <w:rsid w:val="00321ECF"/>
    <w:rsid w:val="00324B6F"/>
    <w:rsid w:val="0032518F"/>
    <w:rsid w:val="00326322"/>
    <w:rsid w:val="00327265"/>
    <w:rsid w:val="00330124"/>
    <w:rsid w:val="003301D7"/>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0ACA"/>
    <w:rsid w:val="00374568"/>
    <w:rsid w:val="003753B7"/>
    <w:rsid w:val="0037550B"/>
    <w:rsid w:val="00376298"/>
    <w:rsid w:val="00376FF7"/>
    <w:rsid w:val="00385856"/>
    <w:rsid w:val="003874EE"/>
    <w:rsid w:val="00391576"/>
    <w:rsid w:val="00391BE7"/>
    <w:rsid w:val="00391E0D"/>
    <w:rsid w:val="00392FE9"/>
    <w:rsid w:val="00394723"/>
    <w:rsid w:val="003960D3"/>
    <w:rsid w:val="00396752"/>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2EF8"/>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2FA0"/>
    <w:rsid w:val="004337A3"/>
    <w:rsid w:val="00433E47"/>
    <w:rsid w:val="00437338"/>
    <w:rsid w:val="00440621"/>
    <w:rsid w:val="0044313F"/>
    <w:rsid w:val="00443EFD"/>
    <w:rsid w:val="00443FDD"/>
    <w:rsid w:val="00444E07"/>
    <w:rsid w:val="004456A8"/>
    <w:rsid w:val="00445D0F"/>
    <w:rsid w:val="004462DC"/>
    <w:rsid w:val="00447157"/>
    <w:rsid w:val="0044769C"/>
    <w:rsid w:val="004507E3"/>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4021"/>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6750"/>
    <w:rsid w:val="004E680F"/>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2531"/>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6ACE"/>
    <w:rsid w:val="005977BD"/>
    <w:rsid w:val="005A0DBB"/>
    <w:rsid w:val="005A1844"/>
    <w:rsid w:val="005A4C15"/>
    <w:rsid w:val="005A4F6F"/>
    <w:rsid w:val="005A50D7"/>
    <w:rsid w:val="005B12E2"/>
    <w:rsid w:val="005B394A"/>
    <w:rsid w:val="005B3A9F"/>
    <w:rsid w:val="005B7614"/>
    <w:rsid w:val="005C09E7"/>
    <w:rsid w:val="005C2675"/>
    <w:rsid w:val="005C3E60"/>
    <w:rsid w:val="005C6ECE"/>
    <w:rsid w:val="005D18E9"/>
    <w:rsid w:val="005D23AE"/>
    <w:rsid w:val="005D4C08"/>
    <w:rsid w:val="005D519A"/>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12F"/>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A157A"/>
    <w:rsid w:val="006A3152"/>
    <w:rsid w:val="006A37B5"/>
    <w:rsid w:val="006A43FC"/>
    <w:rsid w:val="006A5377"/>
    <w:rsid w:val="006A5469"/>
    <w:rsid w:val="006B1296"/>
    <w:rsid w:val="006B2955"/>
    <w:rsid w:val="006B35DF"/>
    <w:rsid w:val="006B475F"/>
    <w:rsid w:val="006B4DE9"/>
    <w:rsid w:val="006B7FCA"/>
    <w:rsid w:val="006C0F0B"/>
    <w:rsid w:val="006C17C5"/>
    <w:rsid w:val="006C73B8"/>
    <w:rsid w:val="006C7F16"/>
    <w:rsid w:val="006D039A"/>
    <w:rsid w:val="006D13F4"/>
    <w:rsid w:val="006D33B1"/>
    <w:rsid w:val="006D5459"/>
    <w:rsid w:val="006E0912"/>
    <w:rsid w:val="006E1FC6"/>
    <w:rsid w:val="006E6A02"/>
    <w:rsid w:val="006E73CB"/>
    <w:rsid w:val="006F11E0"/>
    <w:rsid w:val="006F1C0D"/>
    <w:rsid w:val="006F3024"/>
    <w:rsid w:val="007030B4"/>
    <w:rsid w:val="00710191"/>
    <w:rsid w:val="0071047D"/>
    <w:rsid w:val="007111E9"/>
    <w:rsid w:val="00711BBD"/>
    <w:rsid w:val="007151B3"/>
    <w:rsid w:val="00716E1D"/>
    <w:rsid w:val="00720478"/>
    <w:rsid w:val="0073276A"/>
    <w:rsid w:val="0073428E"/>
    <w:rsid w:val="007351CE"/>
    <w:rsid w:val="00735601"/>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102C"/>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309DF"/>
    <w:rsid w:val="00830FA0"/>
    <w:rsid w:val="00831BE1"/>
    <w:rsid w:val="0083447D"/>
    <w:rsid w:val="00835CD9"/>
    <w:rsid w:val="00836DCE"/>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87871"/>
    <w:rsid w:val="008930EE"/>
    <w:rsid w:val="00896336"/>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CDB"/>
    <w:rsid w:val="008C1D6C"/>
    <w:rsid w:val="008C2CBE"/>
    <w:rsid w:val="008C4763"/>
    <w:rsid w:val="008C4E2D"/>
    <w:rsid w:val="008C5F8A"/>
    <w:rsid w:val="008D1632"/>
    <w:rsid w:val="008D47C3"/>
    <w:rsid w:val="008D5EA4"/>
    <w:rsid w:val="008D6D3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26A9"/>
    <w:rsid w:val="009642D1"/>
    <w:rsid w:val="00965712"/>
    <w:rsid w:val="00966EE6"/>
    <w:rsid w:val="009673DF"/>
    <w:rsid w:val="00975902"/>
    <w:rsid w:val="00976C7D"/>
    <w:rsid w:val="00977468"/>
    <w:rsid w:val="009776A4"/>
    <w:rsid w:val="00981F96"/>
    <w:rsid w:val="00983736"/>
    <w:rsid w:val="00985CCA"/>
    <w:rsid w:val="00986F9E"/>
    <w:rsid w:val="00987E5B"/>
    <w:rsid w:val="009902BA"/>
    <w:rsid w:val="00990F6D"/>
    <w:rsid w:val="00994346"/>
    <w:rsid w:val="00995D9B"/>
    <w:rsid w:val="0099792C"/>
    <w:rsid w:val="009A1688"/>
    <w:rsid w:val="009A21F4"/>
    <w:rsid w:val="009A3350"/>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075"/>
    <w:rsid w:val="00A268A0"/>
    <w:rsid w:val="00A27185"/>
    <w:rsid w:val="00A27377"/>
    <w:rsid w:val="00A27EFD"/>
    <w:rsid w:val="00A3088B"/>
    <w:rsid w:val="00A33B62"/>
    <w:rsid w:val="00A33F50"/>
    <w:rsid w:val="00A353E3"/>
    <w:rsid w:val="00A37EB2"/>
    <w:rsid w:val="00A41385"/>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5795"/>
    <w:rsid w:val="00A9609C"/>
    <w:rsid w:val="00A97019"/>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47CF"/>
    <w:rsid w:val="00B14FF0"/>
    <w:rsid w:val="00B16C03"/>
    <w:rsid w:val="00B1736B"/>
    <w:rsid w:val="00B20B19"/>
    <w:rsid w:val="00B21434"/>
    <w:rsid w:val="00B22583"/>
    <w:rsid w:val="00B2394E"/>
    <w:rsid w:val="00B23D4A"/>
    <w:rsid w:val="00B23E7F"/>
    <w:rsid w:val="00B240BD"/>
    <w:rsid w:val="00B24D1E"/>
    <w:rsid w:val="00B2690E"/>
    <w:rsid w:val="00B34838"/>
    <w:rsid w:val="00B4233B"/>
    <w:rsid w:val="00B43763"/>
    <w:rsid w:val="00B453D6"/>
    <w:rsid w:val="00B50D9C"/>
    <w:rsid w:val="00B51184"/>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6BD"/>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3C2C"/>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D77EB"/>
    <w:rsid w:val="00CE3891"/>
    <w:rsid w:val="00CE3ECF"/>
    <w:rsid w:val="00CE4FC5"/>
    <w:rsid w:val="00CE57A3"/>
    <w:rsid w:val="00CE6106"/>
    <w:rsid w:val="00CE6553"/>
    <w:rsid w:val="00CE7426"/>
    <w:rsid w:val="00CF06F4"/>
    <w:rsid w:val="00CF5ED8"/>
    <w:rsid w:val="00CF6A22"/>
    <w:rsid w:val="00CF7AA7"/>
    <w:rsid w:val="00CF7F4B"/>
    <w:rsid w:val="00D00226"/>
    <w:rsid w:val="00D01196"/>
    <w:rsid w:val="00D011DE"/>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48F"/>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D22"/>
    <w:rsid w:val="00DE6F50"/>
    <w:rsid w:val="00DE7826"/>
    <w:rsid w:val="00DE7E53"/>
    <w:rsid w:val="00DF0196"/>
    <w:rsid w:val="00DF01EA"/>
    <w:rsid w:val="00DF0449"/>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830"/>
    <w:rsid w:val="00EE0C47"/>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2F97"/>
    <w:rsid w:val="00F039FA"/>
    <w:rsid w:val="00F05C3B"/>
    <w:rsid w:val="00F060FD"/>
    <w:rsid w:val="00F116DA"/>
    <w:rsid w:val="00F16E9D"/>
    <w:rsid w:val="00F204DC"/>
    <w:rsid w:val="00F20CBC"/>
    <w:rsid w:val="00F24375"/>
    <w:rsid w:val="00F27899"/>
    <w:rsid w:val="00F35A64"/>
    <w:rsid w:val="00F35D9C"/>
    <w:rsid w:val="00F373F5"/>
    <w:rsid w:val="00F376AB"/>
    <w:rsid w:val="00F40835"/>
    <w:rsid w:val="00F40BE2"/>
    <w:rsid w:val="00F40C49"/>
    <w:rsid w:val="00F40CB3"/>
    <w:rsid w:val="00F410B1"/>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7105"/>
    <w:rsid w:val="00F772A3"/>
    <w:rsid w:val="00F83D03"/>
    <w:rsid w:val="00F86B73"/>
    <w:rsid w:val="00F877AA"/>
    <w:rsid w:val="00F87DD1"/>
    <w:rsid w:val="00F909C6"/>
    <w:rsid w:val="00F94762"/>
    <w:rsid w:val="00F951D8"/>
    <w:rsid w:val="00F96C58"/>
    <w:rsid w:val="00FA12B7"/>
    <w:rsid w:val="00FA2BED"/>
    <w:rsid w:val="00FA2D71"/>
    <w:rsid w:val="00FA31EC"/>
    <w:rsid w:val="00FA50E8"/>
    <w:rsid w:val="00FA63E4"/>
    <w:rsid w:val="00FA6CE5"/>
    <w:rsid w:val="00FA6F36"/>
    <w:rsid w:val="00FB0899"/>
    <w:rsid w:val="00FB5EA2"/>
    <w:rsid w:val="00FB62FD"/>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6663ED8F-F709-447C-84EA-28EE245E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 w:type="table" w:styleId="PlainTable4">
    <w:name w:val="Plain Table 4"/>
    <w:basedOn w:val="TableNormal"/>
    <w:uiPriority w:val="44"/>
    <w:rsid w:val="00081905"/>
    <w:rPr>
      <w:sz w:val="22"/>
      <w:szCs w:val="22"/>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32A52-DA83-49F1-839D-33B48AC3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9464</Words>
  <Characters>53951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cp:revision>
  <dcterms:created xsi:type="dcterms:W3CDTF">2021-10-04T18:11:00Z</dcterms:created>
  <dcterms:modified xsi:type="dcterms:W3CDTF">2021-10-09T02:34:00Z</dcterms:modified>
</cp:coreProperties>
</file>