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widowControl w:val="0"/>
        <w:spacing w:before="0" w:after="0" w:line="240" w:lineRule="auto"/>
        <w:jc w:val="center"/>
        <w:rPr>
          <w:rFonts w:ascii="Helvetica Neue" w:cs="Helvetica Neue" w:hAnsi="Helvetica Neue" w:eastAsia="Helvetica Neue"/>
          <w:b w:val="1"/>
          <w:bCs w:val="1"/>
          <w:sz w:val="32"/>
          <w:szCs w:val="32"/>
        </w:rPr>
      </w:pPr>
      <w:bookmarkStart w:name="_gjdgxs" w:id="0"/>
      <w:bookmarkEnd w:id="0"/>
    </w:p>
    <w:p>
      <w:pPr>
        <w:pStyle w:val="Heading"/>
        <w:widowControl w:val="0"/>
        <w:spacing w:before="0" w:after="0" w:line="240" w:lineRule="auto"/>
        <w:jc w:val="center"/>
        <w:rPr>
          <w:rFonts w:ascii="Helvetica Neue" w:cs="Helvetica Neue" w:hAnsi="Helvetica Neue" w:eastAsia="Helvetica Neue"/>
          <w:b w:val="1"/>
          <w:bCs w:val="1"/>
          <w:sz w:val="32"/>
          <w:szCs w:val="32"/>
        </w:rPr>
      </w:pPr>
      <w:r>
        <w:rPr>
          <w:rFonts w:ascii="Helvetica Neue" w:hAnsi="Helvetica Neue"/>
          <w:b w:val="1"/>
          <w:bCs w:val="1"/>
          <w:sz w:val="32"/>
          <w:szCs w:val="32"/>
          <w:rtl w:val="0"/>
          <w:lang w:val="en-US"/>
        </w:rPr>
        <w:t>O</w:t>
      </w:r>
      <w:r>
        <w:rPr>
          <w:rFonts w:ascii="Helvetica Neue" w:hAnsi="Helvetica Neue"/>
          <w:b w:val="1"/>
          <w:bCs w:val="1"/>
          <w:sz w:val="32"/>
          <w:szCs w:val="32"/>
          <w:rtl w:val="0"/>
          <w:lang w:val="da-DK"/>
        </w:rPr>
        <w:t>ne Page Plan</w:t>
      </w:r>
    </w:p>
    <w:p>
      <w:pPr>
        <w:pStyle w:val="Body A"/>
        <w:spacing w:line="240" w:lineRule="auto"/>
        <w:rPr>
          <w:rFonts w:ascii="Helvetica Neue" w:cs="Helvetica Neue" w:hAnsi="Helvetica Neue" w:eastAsia="Helvetica Neue"/>
        </w:rPr>
      </w:pPr>
    </w:p>
    <w:p>
      <w:pPr>
        <w:pStyle w:val="Body A"/>
        <w:spacing w:line="240" w:lineRule="auto"/>
        <w:rPr>
          <w:rFonts w:ascii="Helvetica Neue" w:cs="Helvetica Neue" w:hAnsi="Helvetica Neue" w:eastAsia="Helvetica Neue"/>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NET WORTH &amp; FINANCIAL GOALS</w:t>
            </w:r>
          </w:p>
        </w:tc>
      </w:tr>
      <w:tr>
        <w:tblPrEx>
          <w:shd w:val="clear" w:color="auto" w:fill="ced7e7"/>
        </w:tblPrEx>
        <w:trPr>
          <w:trHeight w:val="343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40" w:lineRule="auto"/>
              <w:jc w:val="both"/>
              <w:rPr>
                <w:rFonts w:ascii="Helvetica Neue" w:cs="Helvetica Neue" w:hAnsi="Helvetica Neue" w:eastAsia="Helvetica Neue"/>
                <w:b w:val="1"/>
                <w:bCs w:val="1"/>
                <w:sz w:val="20"/>
                <w:szCs w:val="20"/>
                <w:lang w:val="en-US"/>
              </w:rPr>
            </w:pPr>
            <w:r>
              <w:rPr>
                <w:rFonts w:ascii="Helvetica Neue" w:hAnsi="Helvetica Neue"/>
                <w:b w:val="1"/>
                <w:bCs w:val="1"/>
                <w:sz w:val="20"/>
                <w:szCs w:val="20"/>
                <w:shd w:val="nil" w:color="auto" w:fill="auto"/>
                <w:rtl w:val="0"/>
                <w:lang w:val="en-US"/>
              </w:rPr>
              <w:t xml:space="preserve">Financial Plan Objectives </w:t>
            </w:r>
          </w:p>
          <w:p>
            <w:pPr>
              <w:pStyle w:val="Body A"/>
              <w:spacing w:line="240" w:lineRule="auto"/>
              <w:jc w:val="both"/>
              <w:rPr>
                <w:rFonts w:ascii="Helvetica Neue" w:cs="Helvetica Neue" w:hAnsi="Helvetica Neue" w:eastAsia="Helvetica Neue"/>
                <w:b w:val="0"/>
                <w:bCs w:val="0"/>
                <w:sz w:val="20"/>
                <w:szCs w:val="20"/>
                <w:lang w:val="en-US"/>
              </w:rPr>
            </w:pPr>
            <w:r>
              <w:rPr>
                <w:rFonts w:ascii="Helvetica Neue" w:hAnsi="Helvetica Neue"/>
                <w:b w:val="0"/>
                <w:bCs w:val="0"/>
                <w:sz w:val="20"/>
                <w:szCs w:val="20"/>
                <w:shd w:val="nil" w:color="auto" w:fill="auto"/>
                <w:rtl w:val="0"/>
                <w:lang w:val="en-US"/>
              </w:rPr>
              <w:t xml:space="preserve">Provide cash flow analysis, review expenses, and show projected cash flow with recommendations for spending and saving. </w:t>
            </w:r>
          </w:p>
          <w:p>
            <w:pPr>
              <w:pStyle w:val="Body A"/>
              <w:spacing w:line="240" w:lineRule="auto"/>
              <w:jc w:val="both"/>
              <w:rPr>
                <w:rFonts w:ascii="Helvetica Neue" w:cs="Helvetica Neue" w:hAnsi="Helvetica Neue" w:eastAsia="Helvetica Neue"/>
                <w:sz w:val="20"/>
                <w:szCs w:val="20"/>
                <w:lang w:val="en-US"/>
              </w:rPr>
            </w:pPr>
            <w:r>
              <w:rPr>
                <w:rFonts w:ascii="Helvetica Neue" w:hAnsi="Helvetica Neue"/>
                <w:sz w:val="20"/>
                <w:szCs w:val="20"/>
                <w:rtl w:val="0"/>
                <w:lang w:val="en-US"/>
              </w:rPr>
              <w:t xml:space="preserve">Calculate retirement goals and progress towards those goals. </w:t>
            </w:r>
          </w:p>
          <w:p>
            <w:pPr>
              <w:pStyle w:val="Body A"/>
              <w:spacing w:line="240" w:lineRule="auto"/>
              <w:jc w:val="both"/>
              <w:rPr>
                <w:rFonts w:ascii="Helvetica Neue" w:cs="Helvetica Neue" w:hAnsi="Helvetica Neue" w:eastAsia="Helvetica Neue"/>
                <w:sz w:val="20"/>
                <w:szCs w:val="20"/>
                <w:lang w:val="en-US"/>
              </w:rPr>
            </w:pPr>
            <w:r>
              <w:rPr>
                <w:rFonts w:ascii="Helvetica Neue" w:hAnsi="Helvetica Neue"/>
                <w:sz w:val="20"/>
                <w:szCs w:val="20"/>
                <w:rtl w:val="0"/>
                <w:lang w:val="en-US"/>
              </w:rPr>
              <w:t xml:space="preserve">Review and make recommendations on investments and asset allocation. </w:t>
            </w:r>
          </w:p>
          <w:p>
            <w:pPr>
              <w:pStyle w:val="Body A"/>
              <w:spacing w:line="240" w:lineRule="auto"/>
              <w:jc w:val="both"/>
              <w:rPr>
                <w:rFonts w:ascii="Helvetica Neue" w:cs="Helvetica Neue" w:hAnsi="Helvetica Neue" w:eastAsia="Helvetica Neue"/>
                <w:sz w:val="20"/>
                <w:szCs w:val="20"/>
                <w:lang w:val="en-US"/>
              </w:rPr>
            </w:pPr>
            <w:r>
              <w:rPr>
                <w:rFonts w:ascii="Helvetica Neue" w:hAnsi="Helvetica Neue"/>
                <w:sz w:val="20"/>
                <w:szCs w:val="20"/>
                <w:rtl w:val="0"/>
                <w:lang w:val="en-US"/>
              </w:rPr>
              <w:t>Determine home affordability, down payment and recommended monthly payments.</w:t>
            </w:r>
          </w:p>
          <w:p>
            <w:pPr>
              <w:pStyle w:val="Body A"/>
              <w:spacing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rtl w:val="0"/>
                <w:lang w:val="en-US"/>
              </w:rPr>
              <w:t xml:space="preserve">Create an education savings strategy and investment recommendation. </w:t>
            </w:r>
          </w:p>
          <w:p>
            <w:pPr>
              <w:pStyle w:val="Body A"/>
              <w:spacing w:line="240" w:lineRule="auto"/>
              <w:ind w:left="1440" w:firstLine="0"/>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Net Worth</w:t>
            </w:r>
          </w:p>
          <w:p>
            <w:pPr>
              <w:pStyle w:val="Body A"/>
              <w:bidi w:val="0"/>
              <w:spacing w:line="240" w:lineRule="auto"/>
              <w:ind w:left="0" w:right="0" w:firstLine="0"/>
              <w:jc w:val="both"/>
              <w:rPr>
                <w:rFonts w:ascii="Helvetica Neue" w:cs="Helvetica Neue" w:hAnsi="Helvetica Neue" w:eastAsia="Helvetica Neue"/>
                <w:sz w:val="20"/>
                <w:szCs w:val="20"/>
                <w:rtl w:val="0"/>
                <w:lang w:val="en-US"/>
              </w:rPr>
            </w:pPr>
            <w:r>
              <w:rPr>
                <w:rFonts w:ascii="Helvetica Neue" w:hAnsi="Helvetica Neue"/>
                <w:sz w:val="20"/>
                <w:szCs w:val="20"/>
                <w:rtl w:val="0"/>
                <w:lang w:val="en-US"/>
              </w:rPr>
              <w:t>Currently ~{1}</w:t>
            </w:r>
          </w:p>
          <w:p>
            <w:pPr>
              <w:pStyle w:val="Body A"/>
              <w:bidi w:val="0"/>
              <w:spacing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rtl w:val="0"/>
                <w:lang w:val="en-US"/>
              </w:rPr>
              <w:t>Strive to grow net worth by 5-10% per year.</w:t>
            </w:r>
          </w:p>
          <w:p>
            <w:pPr>
              <w:pStyle w:val="Body A"/>
              <w:spacing w:line="240" w:lineRule="auto"/>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Financial Model </w:t>
            </w:r>
          </w:p>
          <w:p>
            <w:pPr>
              <w:pStyle w:val="Body A"/>
              <w:bidi w:val="0"/>
              <w:spacing w:line="240" w:lineRule="auto"/>
              <w:ind w:left="0" w:right="0" w:firstLine="0"/>
              <w:jc w:val="both"/>
              <w:rPr>
                <w:rtl w:val="0"/>
              </w:rPr>
            </w:pPr>
            <w:r>
              <w:rPr>
                <w:rFonts w:ascii="Helvetica Neue" w:hAnsi="Helvetica Neue"/>
                <w:sz w:val="20"/>
                <w:szCs w:val="20"/>
                <w:shd w:val="clear" w:color="auto" w:fill="ffff00"/>
                <w:rtl w:val="0"/>
                <w:lang w:val="en-US"/>
              </w:rPr>
              <w:t>Here is a [CLIENT_MODEL_LINK] to your financial model</w:t>
            </w:r>
            <w:r>
              <w:rPr>
                <w:rFonts w:ascii="Helvetica Neue" w:hAnsi="Helvetica Neue"/>
                <w:sz w:val="20"/>
                <w:szCs w:val="20"/>
                <w:rtl w:val="0"/>
                <w:lang w:val="en-US"/>
              </w:rPr>
              <w:t xml:space="preserve">. </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800"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00"/>
      </w:tblGrid>
      <w:tr>
        <w:tblPrEx>
          <w:shd w:val="clear" w:color="auto" w:fill="ced7e7"/>
        </w:tblPrEx>
        <w:trPr>
          <w:trHeight w:val="314"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CASH FLOW </w:t>
            </w:r>
          </w:p>
        </w:tc>
      </w:tr>
      <w:tr>
        <w:tblPrEx>
          <w:shd w:val="clear" w:color="auto" w:fill="ced7e7"/>
        </w:tblPrEx>
        <w:trPr>
          <w:trHeight w:val="10258"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Break even: ~{2} gross income per year to cover historical spending and current retirement contributions.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Based on the spending plan, your breakeven is ~{3}.</w:t>
            </w:r>
          </w:p>
          <w:p>
            <w:pPr>
              <w:pStyle w:val="Body A"/>
              <w:bidi w:val="0"/>
              <w:spacing w:after="200"/>
              <w:ind w:left="0" w:right="0" w:firstLine="0"/>
              <w:jc w:val="both"/>
              <w:rPr>
                <w:rFonts w:ascii="Helvetica Neue" w:cs="Helvetica Neue" w:hAnsi="Helvetica Neue" w:eastAsia="Helvetica Neue"/>
                <w:sz w:val="20"/>
                <w:szCs w:val="20"/>
                <w:shd w:val="clear" w:color="auto" w:fill="ffff00"/>
                <w:rtl w:val="0"/>
              </w:rPr>
            </w:pPr>
            <w:r>
              <w:rPr>
                <w:rFonts w:ascii="Helvetica Neue" w:hAnsi="Helvetica Neue"/>
                <w:sz w:val="20"/>
                <w:szCs w:val="20"/>
                <w:shd w:val="nil" w:color="auto" w:fill="auto"/>
                <w:rtl w:val="0"/>
                <w:lang w:val="en-US"/>
              </w:rPr>
              <w:t>Your current gross base income (Scenario #1) is ~{4}.</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Your total compensation (Scenario #3)  is ~{5}</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On a spending plan, you have an estimated {6} of {7} per month or {9} per year. {10}</w:t>
            </w:r>
          </w:p>
          <w:p>
            <w:pPr>
              <w:pStyle w:val="Body A"/>
              <w:bidi w:val="0"/>
              <w:spacing w:after="200"/>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Your effective tax rate is {11}.</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ACTION ITEMS:</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Continue to use Monarch Money via our sponsored account</w:t>
            </w:r>
            <w:r>
              <w:rPr>
                <w:rFonts w:ascii="Helvetica Neue" w:hAnsi="Helvetica Neue"/>
                <w:b w:val="1"/>
                <w:bCs w:val="1"/>
                <w:sz w:val="20"/>
                <w:szCs w:val="20"/>
                <w:shd w:val="nil" w:color="auto" w:fill="auto"/>
                <w:rtl w:val="0"/>
                <w:lang w:val="en-US"/>
              </w:rPr>
              <w:t xml:space="preserve">. Load the app on your phone. </w:t>
            </w:r>
            <w:r>
              <w:rPr>
                <w:rFonts w:ascii="Helvetica Neue" w:hAnsi="Helvetica Neue"/>
                <w:b w:val="1"/>
                <w:bCs w:val="1"/>
                <w:sz w:val="20"/>
                <w:szCs w:val="20"/>
                <w:shd w:val="nil" w:color="auto" w:fill="auto"/>
                <w:rtl w:val="0"/>
                <w:lang w:val="en-US"/>
              </w:rPr>
              <w:t xml:space="preserve">Target spending </w:t>
            </w:r>
            <w:r>
              <w:rPr>
                <w:rFonts w:ascii="Helvetica Neue" w:hAnsi="Helvetica Neue"/>
                <w:b w:val="1"/>
                <w:bCs w:val="1"/>
                <w:sz w:val="20"/>
                <w:szCs w:val="20"/>
                <w:shd w:val="nil" w:color="auto" w:fill="auto"/>
                <w:rtl w:val="0"/>
                <w:lang w:val="en-US"/>
              </w:rPr>
              <w:t>{12}</w:t>
            </w:r>
            <w:r>
              <w:rPr>
                <w:rFonts w:ascii="Helvetica Neue" w:hAnsi="Helvetica Neue"/>
                <w:b w:val="1"/>
                <w:bCs w:val="1"/>
                <w:sz w:val="20"/>
                <w:szCs w:val="20"/>
                <w:shd w:val="nil" w:color="auto" w:fill="auto"/>
                <w:rtl w:val="0"/>
                <w:lang w:val="en-US"/>
              </w:rPr>
              <w:t xml:space="preserve"> per month </w:t>
            </w:r>
            <w:r>
              <w:rPr>
                <w:rFonts w:ascii="Helvetica Neue" w:hAnsi="Helvetica Neue"/>
                <w:b w:val="1"/>
                <w:bCs w:val="1"/>
                <w:sz w:val="20"/>
                <w:szCs w:val="20"/>
                <w:u w:val="single"/>
                <w:shd w:val="nil" w:color="auto" w:fill="auto"/>
                <w:rtl w:val="0"/>
                <w:lang w:val="en-US"/>
              </w:rPr>
              <w:t>not</w:t>
            </w:r>
            <w:r>
              <w:rPr>
                <w:rFonts w:ascii="Helvetica Neue" w:hAnsi="Helvetica Neue"/>
                <w:b w:val="1"/>
                <w:bCs w:val="1"/>
                <w:sz w:val="20"/>
                <w:szCs w:val="20"/>
                <w:shd w:val="nil" w:color="auto" w:fill="auto"/>
                <w:rtl w:val="0"/>
                <w:lang w:val="en-US"/>
              </w:rPr>
              <w:t xml:space="preserve"> including property taxes and travel</w:t>
            </w:r>
            <w:r>
              <w:rPr>
                <w:rFonts w:ascii="Helvetica Neue" w:hAnsi="Helvetica Neue"/>
                <w:b w:val="1"/>
                <w:bCs w:val="1"/>
                <w:sz w:val="20"/>
                <w:szCs w:val="20"/>
                <w:shd w:val="nil" w:color="auto" w:fill="auto"/>
                <w:rtl w:val="0"/>
                <w:lang w:val="en-US"/>
              </w:rPr>
              <w:t xml:space="preserve">. Total spending with property taxes and travel is {13} </w:t>
            </w:r>
            <w:r>
              <w:rPr>
                <w:rFonts w:ascii="Helvetica Neue" w:hAnsi="Helvetica Neue"/>
                <w:b w:val="1"/>
                <w:bCs w:val="1"/>
                <w:sz w:val="20"/>
                <w:szCs w:val="20"/>
                <w:shd w:val="nil" w:color="auto" w:fill="auto"/>
                <w:rtl w:val="0"/>
                <w:lang w:val="en-US"/>
              </w:rPr>
              <w:t xml:space="preserve">per month or </w:t>
            </w:r>
            <w:r>
              <w:rPr>
                <w:rFonts w:ascii="Helvetica Neue" w:hAnsi="Helvetica Neue"/>
                <w:b w:val="1"/>
                <w:bCs w:val="1"/>
                <w:sz w:val="20"/>
                <w:szCs w:val="20"/>
                <w:shd w:val="nil" w:color="auto" w:fill="auto"/>
                <w:rtl w:val="0"/>
                <w:lang w:val="en-US"/>
              </w:rPr>
              <w:t>{14}</w:t>
            </w:r>
            <w:r>
              <w:rPr>
                <w:rFonts w:ascii="Helvetica Neue" w:hAnsi="Helvetica Neue"/>
                <w:b w:val="1"/>
                <w:bCs w:val="1"/>
                <w:sz w:val="20"/>
                <w:szCs w:val="20"/>
                <w:shd w:val="nil" w:color="auto" w:fill="auto"/>
                <w:rtl w:val="0"/>
                <w:lang w:val="en-US"/>
              </w:rPr>
              <w:t xml:space="preserve"> per year. </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Go to the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Reports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tab</w:t>
            </w:r>
            <w:r>
              <w:rPr>
                <w:rFonts w:ascii="Helvetica Neue" w:hAnsi="Helvetica Neue"/>
                <w:b w:val="1"/>
                <w:bCs w:val="1"/>
                <w:sz w:val="20"/>
                <w:szCs w:val="20"/>
                <w:shd w:val="nil" w:color="auto" w:fill="auto"/>
                <w:rtl w:val="0"/>
                <w:lang w:val="en-US"/>
              </w:rPr>
              <w:t xml:space="preserve"> &gt;&gt; click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Spending</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as this shows your spending in a pie chart format. </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Make sure the charts make sense. Clean up miscellaneous spending.</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Go to transactions, search for Venmo/Paypal/Zelle, categorize spending. It defaults to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transfer</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which is usually incorrect and will not show up as an expense. This needs to be fixed in order for the pie chart to be accurate. </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At the end of each month, sit down and review your monthly spending. This should take less than 30 minutes each month. </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Go to the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Budgets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tab, </w:t>
            </w:r>
            <w:r>
              <w:rPr>
                <w:rFonts w:ascii="Helvetica Neue" w:hAnsi="Helvetica Neue"/>
                <w:b w:val="1"/>
                <w:bCs w:val="1"/>
                <w:sz w:val="20"/>
                <w:szCs w:val="20"/>
                <w:shd w:val="nil" w:color="auto" w:fill="auto"/>
                <w:rtl w:val="0"/>
                <w:lang w:val="en-US"/>
              </w:rPr>
              <w:t xml:space="preserve">input the </w:t>
            </w:r>
            <w:r>
              <w:rPr>
                <w:rFonts w:ascii="Helvetica Neue" w:hAnsi="Helvetica Neue"/>
                <w:b w:val="1"/>
                <w:bCs w:val="1"/>
                <w:sz w:val="20"/>
                <w:szCs w:val="20"/>
                <w:shd w:val="nil" w:color="auto" w:fill="auto"/>
                <w:rtl w:val="0"/>
                <w:lang w:val="en-US"/>
              </w:rPr>
              <w:t>blue line items</w:t>
            </w:r>
            <w:r>
              <w:rPr>
                <w:rFonts w:ascii="Helvetica Neue" w:hAnsi="Helvetica Neue"/>
                <w:b w:val="1"/>
                <w:bCs w:val="1"/>
                <w:sz w:val="20"/>
                <w:szCs w:val="20"/>
                <w:shd w:val="nil" w:color="auto" w:fill="auto"/>
                <w:rtl w:val="0"/>
                <w:lang w:val="en-US"/>
              </w:rPr>
              <w:t xml:space="preserve"> from the </w:t>
            </w:r>
            <w:r>
              <w:rPr>
                <w:rFonts w:ascii="Helvetica Neue" w:hAnsi="Helvetica Neue"/>
                <w:b w:val="1"/>
                <w:bCs w:val="1"/>
                <w:sz w:val="20"/>
                <w:szCs w:val="20"/>
                <w:shd w:val="nil" w:color="auto" w:fill="auto"/>
                <w:rtl w:val="0"/>
                <w:lang w:val="en-US"/>
              </w:rPr>
              <w:t xml:space="preserve">spending plan </w:t>
            </w:r>
            <w:r>
              <w:rPr>
                <w:rFonts w:ascii="Helvetica Neue" w:hAnsi="Helvetica Neue"/>
                <w:b w:val="1"/>
                <w:bCs w:val="1"/>
                <w:sz w:val="20"/>
                <w:szCs w:val="20"/>
                <w:shd w:val="nil" w:color="auto" w:fill="auto"/>
                <w:rtl w:val="0"/>
                <w:lang w:val="en-US"/>
              </w:rPr>
              <w:t xml:space="preserve">as your budgets. </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Target food spending </w:t>
            </w:r>
            <w:r>
              <w:rPr>
                <w:rFonts w:ascii="Helvetica Neue" w:hAnsi="Helvetica Neue"/>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{15}</w:t>
            </w:r>
            <w:r>
              <w:rPr>
                <w:rFonts w:ascii="Helvetica Neue" w:hAnsi="Helvetica Neue"/>
                <w:b w:val="1"/>
                <w:bCs w:val="1"/>
                <w:sz w:val="20"/>
                <w:szCs w:val="20"/>
                <w:shd w:val="nil" w:color="auto" w:fill="auto"/>
                <w:rtl w:val="0"/>
                <w:lang w:val="en-US"/>
              </w:rPr>
              <w:t>/month.</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Target shopping </w:t>
            </w:r>
            <w:r>
              <w:rPr>
                <w:rFonts w:ascii="Helvetica Neue" w:hAnsi="Helvetica Neue"/>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{16}</w:t>
            </w:r>
            <w:r>
              <w:rPr>
                <w:rFonts w:ascii="Helvetica Neue" w:hAnsi="Helvetica Neue"/>
                <w:b w:val="1"/>
                <w:bCs w:val="1"/>
                <w:sz w:val="20"/>
                <w:szCs w:val="20"/>
                <w:shd w:val="nil" w:color="auto" w:fill="auto"/>
                <w:rtl w:val="0"/>
                <w:lang w:val="en-US"/>
              </w:rPr>
              <w:t>/month.</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Target annual Travel ~{17}</w:t>
            </w:r>
            <w:r>
              <w:rPr>
                <w:rFonts w:ascii="Helvetica Neue" w:hAnsi="Helvetica Neue"/>
                <w:b w:val="1"/>
                <w:bCs w:val="1"/>
                <w:sz w:val="20"/>
                <w:szCs w:val="20"/>
                <w:shd w:val="nil" w:color="auto" w:fill="auto"/>
                <w:rtl w:val="0"/>
                <w:lang w:val="en-US"/>
              </w:rPr>
              <w:t>/year.</w:t>
            </w:r>
          </w:p>
          <w:p>
            <w:pPr>
              <w:pStyle w:val="Body A"/>
              <w:bidi w:val="0"/>
              <w:spacing w:after="200"/>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Target entertainment ~{18}</w:t>
            </w:r>
            <w:r>
              <w:rPr>
                <w:rFonts w:ascii="Helvetica Neue" w:hAnsi="Helvetica Neue"/>
                <w:b w:val="1"/>
                <w:bCs w:val="1"/>
                <w:sz w:val="20"/>
                <w:szCs w:val="20"/>
                <w:shd w:val="nil" w:color="auto" w:fill="auto"/>
                <w:rtl w:val="0"/>
                <w:lang w:val="en-US"/>
              </w:rPr>
              <w:t>/month.</w:t>
            </w:r>
          </w:p>
          <w:p>
            <w:pPr>
              <w:pStyle w:val="Body A"/>
              <w:bidi w:val="0"/>
              <w:spacing w:after="200"/>
              <w:ind w:left="0" w:right="0" w:firstLine="0"/>
              <w:jc w:val="both"/>
              <w:rPr>
                <w:rtl w:val="0"/>
              </w:rPr>
            </w:pPr>
            <w:r>
              <w:rPr>
                <w:rFonts w:ascii="Helvetica Neue" w:hAnsi="Helvetica Neue"/>
                <w:b w:val="1"/>
                <w:bCs w:val="1"/>
                <w:sz w:val="20"/>
                <w:szCs w:val="20"/>
                <w:shd w:val="nil" w:color="auto" w:fill="auto"/>
                <w:rtl w:val="0"/>
                <w:lang w:val="en-US"/>
              </w:rPr>
              <w:t>Target Health/Personal Care ~{19}</w:t>
            </w:r>
            <w:r>
              <w:rPr>
                <w:rFonts w:ascii="Helvetica Neue" w:hAnsi="Helvetica Neue"/>
                <w:b w:val="1"/>
                <w:bCs w:val="1"/>
                <w:sz w:val="20"/>
                <w:szCs w:val="20"/>
                <w:shd w:val="nil" w:color="auto" w:fill="auto"/>
                <w:rtl w:val="0"/>
                <w:lang w:val="en-US"/>
              </w:rPr>
              <w:t>/month.</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PURPOSE BASED SAVINGS &amp; INVESTING</w:t>
            </w:r>
          </w:p>
        </w:tc>
      </w:tr>
      <w:tr>
        <w:tblPrEx>
          <w:shd w:val="clear" w:color="auto" w:fill="ced7e7"/>
        </w:tblPrEx>
        <w:trPr>
          <w:trHeight w:val="45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You have ~{20} of cash on hand in liquid accounts and an estimated {21} of ~{22} per month. You also have cash in taxable brokerage accounts of ~{sum}</w:t>
            </w:r>
          </w:p>
          <w:p>
            <w:pPr>
              <w:pStyle w:val="Body A"/>
              <w:bidi w:val="0"/>
              <w:spacing w:after="200" w:line="240" w:lineRule="auto"/>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Right now, your top priorities are</w:t>
            </w:r>
            <w:r>
              <w:rPr>
                <w:rFonts w:ascii="Helvetica Neue" w:hAnsi="Helvetica Neue"/>
                <w:sz w:val="20"/>
                <w:szCs w:val="20"/>
                <w:shd w:val="nil" w:color="auto" w:fill="auto"/>
                <w:rtl w:val="0"/>
                <w:lang w:val="en-US"/>
              </w:rPr>
              <w:t xml:space="preserve"> fully funding your</w:t>
            </w:r>
            <w:r>
              <w:rPr>
                <w:rFonts w:ascii="Helvetica Neue" w:hAnsi="Helvetica Neue"/>
                <w:sz w:val="20"/>
                <w:szCs w:val="20"/>
                <w:shd w:val="nil" w:color="auto" w:fill="auto"/>
                <w:rtl w:val="0"/>
                <w:lang w:val="en-US"/>
              </w:rPr>
              <w:t xml:space="preserve"> {list_main}</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Open a High Yield Savings Account at (Ally // Marcus // current bank if applicable) and move $XX,000 from your Chase savings account to fully fund your emergency fund.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To fund your (travel, property taxes, home improvement, etc.) create separate buckets in your  High Yield Savings Account and move $XX,XXX from your Chase savings account to fully fund these goals.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Move $XX,XXX from your savings to your brokerage account.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Increase your retirement contributions to </w:t>
            </w:r>
            <w:r>
              <w:rPr>
                <w:rFonts w:ascii="Helvetica Neue" w:hAnsi="Helvetica Neue"/>
                <w:b w:val="1"/>
                <w:bCs w:val="1"/>
                <w:sz w:val="20"/>
                <w:szCs w:val="20"/>
                <w:shd w:val="clear" w:color="auto" w:fill="00ff00"/>
                <w:rtl w:val="0"/>
                <w:lang w:val="en-US"/>
              </w:rPr>
              <w:t>%Compensation for Retirement.</w:t>
            </w:r>
            <w:r>
              <w:rPr>
                <w:rFonts w:ascii="Helvetica Neue" w:hAnsi="Helvetica Neue"/>
                <w:b w:val="1"/>
                <w:bCs w:val="1"/>
                <w:sz w:val="20"/>
                <w:szCs w:val="20"/>
                <w:shd w:val="nil" w:color="auto" w:fill="auto"/>
                <w:rtl w:val="0"/>
                <w:lang w:val="en-US"/>
              </w:rPr>
              <w:t xml:space="preserve">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 xml:space="preserve">Set up recurring contributions from your checking account to your brokerage account of $1,000/month. </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widowControl w:val="0"/>
        <w:spacing w:line="240" w:lineRule="auto"/>
        <w:ind w:left="540" w:hanging="540"/>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DEBT MANAGEMENT</w:t>
            </w:r>
          </w:p>
        </w:tc>
      </w:tr>
      <w:tr>
        <w:tblPrEx>
          <w:shd w:val="clear" w:color="auto" w:fill="ced7e7"/>
        </w:tblPrEx>
        <w:trPr>
          <w:trHeight w:val="303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currently have {23} of debt excluding your mortgage. Once you have adjusted your spending, you will have an estimated monthly {6}  of ~{7} per month or ~{8} per year.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Prioritize paying down your debt with the highest interest rate.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Get 0% APY card and transfer the balances from your interest bearing debt. There will be a 3-4% transfer fee. This is less than you are currently paying in finance charges and interest.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 xml:space="preserve">Put all extra cash towards this balance until it is paid off. Be sure to pay it off before the promotional APY period ends. </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EDUCATION SAVINGS</w:t>
            </w:r>
          </w:p>
        </w:tc>
      </w:tr>
      <w:tr>
        <w:tblPrEx>
          <w:shd w:val="clear" w:color="auto" w:fill="ced7e7"/>
        </w:tblPrEx>
        <w:trPr>
          <w:trHeight w:val="47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To fully fund a 4-year public education, you need to save {25} per month or {24}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To fully fund a 4-year private education, you need to save {27} per month or {26}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Focus all savings for education into a 529 Plan until middle school. Invest in a static/passive Aggressive Growth Portfolio and not age-based to take greatest advantage of the power of compounding.</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Open a 529 plan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Set up recurring contributions or make lump sum gift of $X,XXX per year.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The IRS lets you frontload five year</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 xml:space="preserve">s worth of giving to 529 plans ($19,000 x 5 = $95,000) per person.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Attach form 709 to your tax return. The amount of the gift will decrease by $19,000/year until reaching $0. Then, you no longer need to include form 709.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Set the investment allocation to X.</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HOME AFFORDABILITY </w:t>
            </w:r>
          </w:p>
        </w:tc>
      </w:tr>
      <w:tr>
        <w:tblPrEx>
          <w:shd w:val="clear" w:color="auto" w:fill="ced7e7"/>
        </w:tblPrEx>
        <w:trPr>
          <w:trHeight w:val="29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On your base income, keep principal, interest, taxes, and insurance (PITI) monthly payments {28}.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A lender will lend you anywhere from {29} - {30} per month in PITI.</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should target a mortgage of {31} which is equivalent to a {32} home. Your max home price should be {33} unless you want to put down more money.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have {34} liquid for a house down payment. It will take you </w:t>
            </w:r>
            <w:r>
              <w:rPr>
                <w:rFonts w:ascii="Helvetica Neue" w:hAnsi="Helvetica Neue"/>
                <w:sz w:val="20"/>
                <w:szCs w:val="20"/>
                <w:shd w:val="clear" w:color="auto" w:fill="00ff00"/>
                <w:rtl w:val="0"/>
                <w:lang w:val="en-US"/>
              </w:rPr>
              <w:t>X</w:t>
            </w:r>
            <w:r>
              <w:rPr>
                <w:rFonts w:ascii="Helvetica Neue" w:hAnsi="Helvetica Neue"/>
                <w:sz w:val="20"/>
                <w:szCs w:val="20"/>
                <w:shd w:val="nil" w:color="auto" w:fill="auto"/>
                <w:rtl w:val="0"/>
                <w:lang w:val="en-US"/>
              </w:rPr>
              <w:t xml:space="preserve"> years to reach your goal.</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Placeholder</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RETIREMENT PLANNING</w:t>
            </w:r>
          </w:p>
        </w:tc>
      </w:tr>
      <w:tr>
        <w:tblPrEx>
          <w:shd w:val="clear" w:color="auto" w:fill="ced7e7"/>
        </w:tblPrEx>
        <w:trPr>
          <w:trHeight w:val="470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To fully fund retirement at {35}, you {36} today. You currently have </w:t>
            </w:r>
            <w:r>
              <w:rPr>
                <w:rFonts w:ascii="Helvetica Neue" w:hAnsi="Helvetica Neue"/>
                <w:sz w:val="20"/>
                <w:szCs w:val="20"/>
                <w:shd w:val="nil" w:color="auto" w:fill="auto"/>
                <w:rtl w:val="0"/>
                <w:lang w:val="en-US"/>
              </w:rPr>
              <w:t>~</w:t>
            </w:r>
            <w:r>
              <w:rPr>
                <w:rFonts w:ascii="Helvetica Neue" w:hAnsi="Helvetica Neue"/>
                <w:sz w:val="20"/>
                <w:szCs w:val="20"/>
                <w:shd w:val="nil" w:color="auto" w:fill="auto"/>
                <w:rtl w:val="0"/>
                <w:lang w:val="en-US"/>
              </w:rPr>
              <w:t xml:space="preserve">{40} of qualified retirement accounts, and </w:t>
            </w:r>
            <w:r>
              <w:rPr>
                <w:rFonts w:ascii="Helvetica Neue" w:hAnsi="Helvetica Neue"/>
                <w:sz w:val="20"/>
                <w:szCs w:val="20"/>
                <w:shd w:val="nil" w:color="auto" w:fill="auto"/>
                <w:rtl w:val="0"/>
                <w:lang w:val="en-US"/>
              </w:rPr>
              <w:t>~</w:t>
            </w:r>
            <w:r>
              <w:rPr>
                <w:rFonts w:ascii="Helvetica Neue" w:hAnsi="Helvetica Neue"/>
                <w:sz w:val="20"/>
                <w:szCs w:val="20"/>
                <w:shd w:val="nil" w:color="auto" w:fill="auto"/>
                <w:rtl w:val="0"/>
                <w:lang w:val="en-US"/>
              </w:rPr>
              <w:t xml:space="preserve">{41} of brokerage assets that could be earmarked for retirement.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To be on track for retirement at assuming some social security, you need to save {37} per year.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re currently saving </w:t>
            </w:r>
            <w:r>
              <w:rPr>
                <w:rFonts w:ascii="Helvetica Neue" w:hAnsi="Helvetica Neue"/>
                <w:sz w:val="20"/>
                <w:szCs w:val="20"/>
                <w:shd w:val="nil" w:color="auto" w:fill="auto"/>
                <w:rtl w:val="0"/>
                <w:lang w:val="en-US"/>
              </w:rPr>
              <w:t>~</w:t>
            </w:r>
            <w:r>
              <w:rPr>
                <w:rFonts w:ascii="Helvetica Neue" w:hAnsi="Helvetica Neue"/>
                <w:sz w:val="20"/>
                <w:szCs w:val="20"/>
                <w:shd w:val="nil" w:color="auto" w:fill="auto"/>
                <w:rtl w:val="0"/>
                <w:lang w:val="en-US"/>
              </w:rPr>
              <w:t xml:space="preserve">{38} which includes your 401(k) contributions, employer match, and Roth IRA.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need to save an extra </w:t>
            </w:r>
            <w:r>
              <w:rPr>
                <w:rFonts w:ascii="Helvetica Neue" w:hAnsi="Helvetica Neue"/>
                <w:sz w:val="20"/>
                <w:szCs w:val="20"/>
                <w:shd w:val="nil" w:color="auto" w:fill="auto"/>
                <w:rtl w:val="0"/>
                <w:lang w:val="en-US"/>
              </w:rPr>
              <w:t>~</w:t>
            </w:r>
            <w:r>
              <w:rPr>
                <w:rFonts w:ascii="Helvetica Neue" w:hAnsi="Helvetica Neue"/>
                <w:sz w:val="20"/>
                <w:szCs w:val="20"/>
                <w:shd w:val="nil" w:color="auto" w:fill="auto"/>
                <w:rtl w:val="0"/>
                <w:lang w:val="en-US"/>
              </w:rPr>
              <w:t xml:space="preserve">{39} per year.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Fonts w:ascii="Helvetica Neue" w:cs="Helvetica Neue" w:hAnsi="Helvetica Neue" w:eastAsia="Helvetica Neue"/>
                <w:b w:val="1"/>
                <w:bCs w:val="1"/>
                <w:i w:val="1"/>
                <w:iCs w:val="1"/>
                <w:sz w:val="20"/>
                <w:szCs w:val="20"/>
                <w:rtl w:val="0"/>
                <w:lang w:val="en-US"/>
              </w:rPr>
            </w:pPr>
            <w:r>
              <w:rPr>
                <w:rFonts w:ascii="Helvetica Neue" w:hAnsi="Helvetica Neue"/>
                <w:b w:val="1"/>
                <w:bCs w:val="1"/>
                <w:sz w:val="20"/>
                <w:szCs w:val="20"/>
                <w:shd w:val="nil" w:color="auto" w:fill="auto"/>
                <w:rtl w:val="0"/>
                <w:lang w:val="en-US"/>
              </w:rPr>
              <w:t xml:space="preserve">Maximize pre-tax contributions at $23,500 each for 2025. </w:t>
            </w:r>
            <w:r>
              <w:rPr>
                <w:rFonts w:ascii="Helvetica Neue" w:hAnsi="Helvetica Neue"/>
                <w:b w:val="1"/>
                <w:bCs w:val="1"/>
                <w:i w:val="1"/>
                <w:iCs w:val="1"/>
                <w:sz w:val="20"/>
                <w:szCs w:val="20"/>
                <w:shd w:val="nil" w:color="auto" w:fill="auto"/>
                <w:rtl w:val="0"/>
                <w:lang w:val="en-US"/>
              </w:rPr>
              <w:t xml:space="preserve">If over 50 </w:t>
            </w:r>
            <w:r>
              <w:rPr>
                <w:rFonts w:ascii="Helvetica Neue" w:hAnsi="Helvetica Neue" w:hint="default"/>
                <w:b w:val="1"/>
                <w:bCs w:val="1"/>
                <w:i w:val="1"/>
                <w:iCs w:val="1"/>
                <w:sz w:val="20"/>
                <w:szCs w:val="20"/>
                <w:shd w:val="nil" w:color="auto" w:fill="auto"/>
                <w:rtl w:val="0"/>
                <w:lang w:val="en-US"/>
              </w:rPr>
              <w:t>½</w:t>
            </w:r>
            <w:r>
              <w:rPr>
                <w:rFonts w:ascii="Helvetica Neue" w:hAnsi="Helvetica Neue"/>
                <w:b w:val="1"/>
                <w:bCs w:val="1"/>
                <w:i w:val="1"/>
                <w:iCs w:val="1"/>
                <w:sz w:val="20"/>
                <w:szCs w:val="20"/>
                <w:shd w:val="nil" w:color="auto" w:fill="auto"/>
                <w:rtl w:val="0"/>
                <w:lang w:val="en-US"/>
              </w:rPr>
              <w:t xml:space="preserve">, you can do a catch up contribution of $7,500/year. If you are 60-63, you can catch up to $11,250/year.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Continue maxing out your backdoor Roth IRAs. The maximum is $7,000/year under 50 </w:t>
            </w:r>
            <w:r>
              <w:rPr>
                <w:rFonts w:ascii="Helvetica Neue" w:hAnsi="Helvetica Neue" w:hint="default"/>
                <w:b w:val="1"/>
                <w:bCs w:val="1"/>
                <w:sz w:val="20"/>
                <w:szCs w:val="20"/>
                <w:shd w:val="nil" w:color="auto" w:fill="auto"/>
                <w:rtl w:val="0"/>
                <w:lang w:val="en-US"/>
              </w:rPr>
              <w:t xml:space="preserve">½ </w:t>
            </w:r>
            <w:r>
              <w:rPr>
                <w:rFonts w:ascii="Helvetica Neue" w:hAnsi="Helvetica Neue"/>
                <w:b w:val="1"/>
                <w:bCs w:val="1"/>
                <w:sz w:val="20"/>
                <w:szCs w:val="20"/>
                <w:shd w:val="nil" w:color="auto" w:fill="auto"/>
                <w:rtl w:val="0"/>
                <w:lang w:val="en-US"/>
              </w:rPr>
              <w:t xml:space="preserve">or $8,000/year over 50 </w:t>
            </w:r>
            <w:r>
              <w:rPr>
                <w:rFonts w:ascii="Helvetica Neue" w:hAnsi="Helvetica Neue" w:hint="default"/>
                <w:b w:val="1"/>
                <w:bCs w:val="1"/>
                <w:sz w:val="20"/>
                <w:szCs w:val="20"/>
                <w:shd w:val="nil" w:color="auto" w:fill="auto"/>
                <w:rtl w:val="0"/>
                <w:lang w:val="en-US"/>
              </w:rPr>
              <w:t>½</w:t>
            </w:r>
            <w:r>
              <w:rPr>
                <w:rFonts w:ascii="Helvetica Neue" w:hAnsi="Helvetica Neue"/>
                <w:b w:val="1"/>
                <w:bCs w:val="1"/>
                <w:sz w:val="20"/>
                <w:szCs w:val="20"/>
                <w:shd w:val="nil" w:color="auto" w:fill="auto"/>
                <w:rtl w:val="0"/>
                <w:lang w:val="en-US"/>
              </w:rPr>
              <w:t xml:space="preserve">.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Take advantage of Mega Backdoor Roth after-tax contributions up to $XX,XXX/year.</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RETIREMENT INVESTMENT RECOMMENDATIONS </w:t>
            </w:r>
          </w:p>
        </w:tc>
      </w:tr>
      <w:tr>
        <w:tblPrEx>
          <w:shd w:val="clear" w:color="auto" w:fill="ced7e7"/>
        </w:tblPrEx>
        <w:trPr>
          <w:trHeight w:val="3795"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have X qualified retirement accounts. X% of your retirement assets are pre-tax and X% are Roth. The aggregate portfolio is {42} stocks, {43} bonds, and {44} cash. Of the stocks, {45} are US stocks and {46} are international stocks.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Placeholder</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TAXABLE INVESTMENT RECOMMENDATIONS </w:t>
            </w:r>
          </w:p>
        </w:tc>
      </w:tr>
      <w:tr>
        <w:tblPrEx>
          <w:shd w:val="clear" w:color="auto" w:fill="ced7e7"/>
        </w:tblPrEx>
        <w:trPr>
          <w:trHeight w:val="743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b w:val="1"/>
                <w:bCs w:val="1"/>
                <w:sz w:val="20"/>
                <w:szCs w:val="20"/>
                <w:shd w:val="nil" w:color="auto" w:fill="auto"/>
              </w:rPr>
            </w:pPr>
            <w:r>
              <w:rPr>
                <w:rFonts w:ascii="Helvetica Neue" w:hAnsi="Helvetica Neue"/>
                <w:b w:val="0"/>
                <w:bCs w:val="0"/>
                <w:sz w:val="20"/>
                <w:szCs w:val="20"/>
                <w:shd w:val="nil" w:color="auto" w:fill="auto"/>
                <w:rtl w:val="0"/>
                <w:lang w:val="en-US"/>
              </w:rPr>
              <w:t xml:space="preserve">You have </w:t>
            </w:r>
            <w:r>
              <w:rPr>
                <w:rFonts w:ascii="Helvetica Neue" w:hAnsi="Helvetica Neue"/>
                <w:b w:val="0"/>
                <w:bCs w:val="0"/>
                <w:sz w:val="20"/>
                <w:szCs w:val="20"/>
                <w:shd w:val="nil" w:color="auto" w:fill="auto"/>
                <w:rtl w:val="0"/>
                <w:lang w:val="en-US"/>
              </w:rPr>
              <w:t>X</w:t>
            </w:r>
            <w:r>
              <w:rPr>
                <w:rFonts w:ascii="Helvetica Neue" w:hAnsi="Helvetica Neue"/>
                <w:b w:val="0"/>
                <w:bCs w:val="0"/>
                <w:sz w:val="20"/>
                <w:szCs w:val="20"/>
                <w:shd w:val="nil" w:color="auto" w:fill="auto"/>
                <w:rtl w:val="0"/>
                <w:lang w:val="en-US"/>
              </w:rPr>
              <w:t xml:space="preserve"> brokerage accoun</w:t>
            </w:r>
            <w:r>
              <w:rPr>
                <w:rFonts w:ascii="Helvetica Neue" w:hAnsi="Helvetica Neue"/>
                <w:b w:val="0"/>
                <w:bCs w:val="0"/>
                <w:sz w:val="20"/>
                <w:szCs w:val="20"/>
                <w:rtl w:val="0"/>
                <w:lang w:val="en-US"/>
              </w:rPr>
              <w:t>ts</w:t>
            </w:r>
            <w:r>
              <w:rPr>
                <w:rFonts w:ascii="Helvetica Neue" w:hAnsi="Helvetica Neue"/>
                <w:b w:val="0"/>
                <w:bCs w:val="0"/>
                <w:sz w:val="20"/>
                <w:szCs w:val="20"/>
                <w:rtl w:val="0"/>
                <w:lang w:val="en-US"/>
              </w:rPr>
              <w:t xml:space="preserve">. </w:t>
            </w:r>
            <w:r>
              <w:rPr>
                <w:rFonts w:ascii="Helvetica Neue" w:hAnsi="Helvetica Neue"/>
                <w:b w:val="0"/>
                <w:bCs w:val="0"/>
                <w:sz w:val="20"/>
                <w:szCs w:val="20"/>
                <w:rtl w:val="0"/>
                <w:lang w:val="en-US"/>
              </w:rPr>
              <w:t xml:space="preserve">The aggregate portfolio is {47} stocks, {48} bonds, and {49} cash. Of the stocks, {50} are US stocks and {51} are international stocks.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tl w:val="0"/>
              </w:rPr>
            </w:pPr>
            <w:r>
              <w:rPr>
                <w:rFonts w:ascii="Helvetica Neue" w:hAnsi="Helvetica Neue"/>
                <w:b w:val="1"/>
                <w:bCs w:val="1"/>
                <w:sz w:val="20"/>
                <w:szCs w:val="20"/>
                <w:shd w:val="nil" w:color="auto" w:fill="auto"/>
                <w:rtl w:val="0"/>
                <w:lang w:val="en-US"/>
              </w:rPr>
              <w:t>Placeholder</w:t>
            </w:r>
          </w:p>
        </w:tc>
      </w:tr>
    </w:tbl>
    <w:p>
      <w:pPr>
        <w:pStyle w:val="Body A"/>
        <w:widowControl w:val="0"/>
        <w:spacing w:line="240" w:lineRule="auto"/>
        <w:ind w:left="324" w:hanging="324"/>
        <w:jc w:val="center"/>
        <w:rPr>
          <w:rFonts w:ascii="Helvetica Neue" w:cs="Helvetica Neue" w:hAnsi="Helvetica Neue" w:eastAsia="Helvetica Neue"/>
          <w:b w:val="1"/>
          <w:bCs w:val="1"/>
          <w:sz w:val="20"/>
          <w:szCs w:val="20"/>
        </w:rPr>
      </w:pPr>
    </w:p>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FAMILY PLANNING</w:t>
            </w:r>
          </w:p>
        </w:tc>
      </w:tr>
      <w:tr>
        <w:tblPrEx>
          <w:shd w:val="clear" w:color="auto" w:fill="ced7e7"/>
        </w:tblPrEx>
        <w:trPr>
          <w:trHeight w:val="5140"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lang w:val="en-US"/>
              </w:rPr>
            </w:pPr>
            <w:r>
              <w:rPr>
                <w:rFonts w:ascii="Helvetica Neue" w:hAnsi="Helvetica Neue"/>
                <w:sz w:val="20"/>
                <w:szCs w:val="20"/>
                <w:shd w:val="nil" w:color="auto" w:fill="auto"/>
                <w:rtl w:val="0"/>
                <w:lang w:val="en-US"/>
              </w:rPr>
              <w:t>As parents and homeowners, you need term life insurance to replace your income and an estate plan to protect your family. The basic estate planning documents you need are as follows:</w:t>
            </w:r>
          </w:p>
          <w:p>
            <w:pPr>
              <w:pStyle w:val="Body A"/>
              <w:spacing w:after="200"/>
              <w:jc w:val="both"/>
              <w:rPr>
                <w:rFonts w:ascii="Helvetica Neue" w:cs="Helvetica Neue" w:hAnsi="Helvetica Neue" w:eastAsia="Helvetica Neue"/>
                <w:sz w:val="20"/>
                <w:szCs w:val="20"/>
                <w:lang w:val="en-US"/>
              </w:rPr>
            </w:pPr>
            <w:r>
              <w:rPr>
                <w:rFonts w:ascii="Helvetica Neue" w:hAnsi="Helvetica Neue"/>
                <w:sz w:val="20"/>
                <w:szCs w:val="20"/>
                <w:shd w:val="nil" w:color="auto" w:fill="auto"/>
                <w:rtl w:val="0"/>
                <w:lang w:val="en-US"/>
              </w:rPr>
              <w:t>Durable power of attorney</w:t>
            </w:r>
          </w:p>
          <w:p>
            <w:pPr>
              <w:pStyle w:val="Body A"/>
              <w:spacing w:after="200"/>
              <w:jc w:val="both"/>
              <w:rPr>
                <w:rFonts w:ascii="Helvetica Neue" w:cs="Helvetica Neue" w:hAnsi="Helvetica Neue" w:eastAsia="Helvetica Neue"/>
                <w:sz w:val="20"/>
                <w:szCs w:val="20"/>
                <w:lang w:val="en-US"/>
              </w:rPr>
            </w:pPr>
            <w:r>
              <w:rPr>
                <w:rFonts w:ascii="Helvetica Neue" w:hAnsi="Helvetica Neue"/>
                <w:sz w:val="20"/>
                <w:szCs w:val="20"/>
                <w:shd w:val="nil" w:color="auto" w:fill="auto"/>
                <w:rtl w:val="0"/>
                <w:lang w:val="en-US"/>
              </w:rPr>
              <w:t>Healthcare power of attorney</w:t>
            </w:r>
          </w:p>
          <w:p>
            <w:pPr>
              <w:pStyle w:val="Body A"/>
              <w:spacing w:after="200"/>
              <w:jc w:val="both"/>
              <w:rPr>
                <w:rFonts w:ascii="Helvetica Neue" w:cs="Helvetica Neue" w:hAnsi="Helvetica Neue" w:eastAsia="Helvetica Neue"/>
                <w:sz w:val="20"/>
                <w:szCs w:val="20"/>
                <w:lang w:val="en-US"/>
              </w:rPr>
            </w:pPr>
            <w:r>
              <w:rPr>
                <w:rFonts w:ascii="Helvetica Neue" w:hAnsi="Helvetica Neue"/>
                <w:sz w:val="20"/>
                <w:szCs w:val="20"/>
                <w:shd w:val="nil" w:color="auto" w:fill="auto"/>
                <w:rtl w:val="0"/>
                <w:lang w:val="en-US"/>
              </w:rPr>
              <w:t>Living will</w:t>
            </w:r>
          </w:p>
          <w:p>
            <w:pPr>
              <w:pStyle w:val="Body A"/>
              <w:spacing w:after="200"/>
              <w:jc w:val="both"/>
              <w:rPr>
                <w:rFonts w:ascii="Helvetica Neue" w:cs="Helvetica Neue" w:hAnsi="Helvetica Neue" w:eastAsia="Helvetica Neue"/>
                <w:sz w:val="20"/>
                <w:szCs w:val="20"/>
                <w:lang w:val="en-US"/>
              </w:rPr>
            </w:pPr>
            <w:r>
              <w:rPr>
                <w:rFonts w:ascii="Helvetica Neue" w:hAnsi="Helvetica Neue"/>
                <w:sz w:val="20"/>
                <w:szCs w:val="20"/>
                <w:shd w:val="nil" w:color="auto" w:fill="auto"/>
                <w:rtl w:val="0"/>
                <w:lang w:val="en-US"/>
              </w:rPr>
              <w:t>Last will and testament</w:t>
            </w:r>
          </w:p>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Living trust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You need {43} more in term life.</w:t>
            </w:r>
          </w:p>
          <w:p>
            <w:pPr>
              <w:pStyle w:val="Body A"/>
              <w:bidi w:val="0"/>
              <w:spacing w:after="200" w:line="240" w:lineRule="auto"/>
              <w:ind w:left="0" w:right="0" w:firstLine="0"/>
              <w:jc w:val="both"/>
              <w:rPr>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You need {44} more in term life.</w:t>
            </w:r>
          </w:p>
          <w:p>
            <w:pPr>
              <w:pStyle w:val="Body A"/>
              <w:bidi w:val="0"/>
              <w:spacing w:after="200" w:line="240" w:lineRule="auto"/>
              <w:ind w:left="0" w:right="0" w:firstLine="0"/>
              <w:jc w:val="both"/>
              <w:rPr>
                <w:rStyle w:val="None"/>
                <w:rFonts w:ascii="Helvetica Neue" w:cs="Helvetica Neue" w:hAnsi="Helvetica Neue" w:eastAsia="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Create your estate plan through </w:t>
            </w:r>
            <w:r>
              <w:rPr>
                <w:rStyle w:val="Hyperlink.0"/>
                <w:rFonts w:ascii="Helvetica Neue" w:cs="Helvetica Neue" w:hAnsi="Helvetica Neue" w:eastAsia="Helvetica Neue"/>
                <w:b w:val="1"/>
                <w:bCs w:val="1"/>
                <w:outline w:val="0"/>
                <w:color w:val="1155cc"/>
                <w:sz w:val="20"/>
                <w:szCs w:val="20"/>
                <w:u w:val="single" w:color="1155cc"/>
                <w:shd w:val="nil" w:color="auto" w:fill="auto"/>
                <w:lang w:val="en-US"/>
                <w14:textFill>
                  <w14:solidFill>
                    <w14:srgbClr w14:val="1155CC"/>
                  </w14:solidFill>
                </w14:textFill>
              </w:rPr>
              <w:fldChar w:fldCharType="begin" w:fldLock="0"/>
            </w:r>
            <w:r>
              <w:rPr>
                <w:rStyle w:val="Hyperlink.0"/>
                <w:rFonts w:ascii="Helvetica Neue" w:cs="Helvetica Neue" w:hAnsi="Helvetica Neue" w:eastAsia="Helvetica Neue"/>
                <w:b w:val="1"/>
                <w:bCs w:val="1"/>
                <w:outline w:val="0"/>
                <w:color w:val="1155cc"/>
                <w:sz w:val="20"/>
                <w:szCs w:val="20"/>
                <w:u w:val="single" w:color="1155cc"/>
                <w:shd w:val="nil" w:color="auto" w:fill="auto"/>
                <w:lang w:val="en-US"/>
                <w14:textFill>
                  <w14:solidFill>
                    <w14:srgbClr w14:val="1155CC"/>
                  </w14:solidFill>
                </w14:textFill>
              </w:rPr>
              <w:instrText xml:space="preserve"> HYPERLINK "http://wealth.com"</w:instrText>
            </w:r>
            <w:r>
              <w:rPr>
                <w:rStyle w:val="Hyperlink.0"/>
                <w:rFonts w:ascii="Helvetica Neue" w:cs="Helvetica Neue" w:hAnsi="Helvetica Neue" w:eastAsia="Helvetica Neue"/>
                <w:b w:val="1"/>
                <w:bCs w:val="1"/>
                <w:outline w:val="0"/>
                <w:color w:val="1155cc"/>
                <w:sz w:val="20"/>
                <w:szCs w:val="20"/>
                <w:u w:val="single" w:color="1155cc"/>
                <w:shd w:val="nil" w:color="auto" w:fill="auto"/>
                <w:lang w:val="en-US"/>
                <w14:textFill>
                  <w14:solidFill>
                    <w14:srgbClr w14:val="1155CC"/>
                  </w14:solidFill>
                </w14:textFill>
              </w:rPr>
              <w:fldChar w:fldCharType="separate" w:fldLock="0"/>
            </w:r>
            <w:r>
              <w:rPr>
                <w:rStyle w:val="Hyperlink.0"/>
                <w:rFonts w:ascii="Helvetica Neue" w:hAnsi="Helvetica Neue"/>
                <w:b w:val="1"/>
                <w:bCs w:val="1"/>
                <w:outline w:val="0"/>
                <w:color w:val="1155cc"/>
                <w:sz w:val="20"/>
                <w:szCs w:val="20"/>
                <w:u w:val="single" w:color="1155cc"/>
                <w:shd w:val="nil" w:color="auto" w:fill="auto"/>
                <w:rtl w:val="0"/>
                <w:lang w:val="en-US"/>
                <w14:textFill>
                  <w14:solidFill>
                    <w14:srgbClr w14:val="1155CC"/>
                  </w14:solidFill>
                </w14:textFill>
              </w:rPr>
              <w:t>Wealth.com</w:t>
            </w:r>
            <w:r>
              <w:rPr>
                <w:rFonts w:ascii="Helvetica Neue" w:cs="Helvetica Neue" w:hAnsi="Helvetica Neue" w:eastAsia="Helvetica Neue"/>
                <w:b w:val="1"/>
                <w:bCs w:val="1"/>
                <w:sz w:val="20"/>
                <w:szCs w:val="20"/>
              </w:rPr>
              <w:fldChar w:fldCharType="end" w:fldLock="0"/>
            </w:r>
            <w:r>
              <w:rPr>
                <w:rStyle w:val="None"/>
                <w:rFonts w:ascii="Helvetica Neue" w:hAnsi="Helvetica Neue"/>
                <w:b w:val="1"/>
                <w:bCs w:val="1"/>
                <w:sz w:val="20"/>
                <w:szCs w:val="20"/>
                <w:shd w:val="nil" w:color="auto" w:fill="auto"/>
                <w:rtl w:val="0"/>
                <w:lang w:val="en-US"/>
              </w:rPr>
              <w:t xml:space="preserve">. </w:t>
            </w:r>
          </w:p>
          <w:p>
            <w:pPr>
              <w:pStyle w:val="Body A"/>
              <w:bidi w:val="0"/>
              <w:spacing w:after="200" w:line="240" w:lineRule="auto"/>
              <w:ind w:left="0" w:right="0" w:firstLine="0"/>
              <w:jc w:val="both"/>
              <w:rPr>
                <w:rtl w:val="0"/>
              </w:rPr>
            </w:pPr>
            <w:r>
              <w:rPr>
                <w:rStyle w:val="None"/>
                <w:rFonts w:ascii="Helvetica Neue" w:hAnsi="Helvetica Neue"/>
                <w:b w:val="1"/>
                <w:bCs w:val="1"/>
                <w:sz w:val="20"/>
                <w:szCs w:val="20"/>
                <w:shd w:val="nil" w:color="auto" w:fill="auto"/>
                <w:rtl w:val="0"/>
                <w:lang w:val="en-US"/>
              </w:rPr>
              <w:t xml:space="preserve">Fund your Living Trust and update your beneficiary designations. </w:t>
            </w:r>
          </w:p>
        </w:tc>
      </w:tr>
    </w:tbl>
    <w:p>
      <w:pPr>
        <w:pStyle w:val="Body A"/>
        <w:widowControl w:val="0"/>
        <w:spacing w:line="240" w:lineRule="auto"/>
        <w:ind w:left="324" w:hanging="324"/>
        <w:jc w:val="center"/>
        <w:rPr>
          <w:rStyle w:val="None"/>
          <w:rFonts w:ascii="Helvetica Neue" w:cs="Helvetica Neue" w:hAnsi="Helvetica Neue" w:eastAsia="Helvetica Neue"/>
          <w:b w:val="1"/>
          <w:bCs w:val="1"/>
          <w:sz w:val="20"/>
          <w:szCs w:val="20"/>
        </w:rPr>
      </w:pPr>
    </w:p>
    <w:p>
      <w:pPr>
        <w:pStyle w:val="Body A"/>
        <w:widowControl w:val="0"/>
        <w:spacing w:line="240" w:lineRule="auto"/>
        <w:ind w:left="216" w:hanging="216"/>
        <w:jc w:val="center"/>
        <w:rPr>
          <w:rStyle w:val="None"/>
          <w:rFonts w:ascii="Helvetica Neue" w:cs="Helvetica Neue" w:hAnsi="Helvetica Neue" w:eastAsia="Helvetica Neue"/>
          <w:b w:val="1"/>
          <w:bCs w:val="1"/>
          <w:sz w:val="20"/>
          <w:szCs w:val="20"/>
        </w:rPr>
      </w:pPr>
    </w:p>
    <w:p>
      <w:pPr>
        <w:pStyle w:val="Body A"/>
        <w:widowControl w:val="0"/>
        <w:spacing w:line="240" w:lineRule="auto"/>
        <w:ind w:left="108" w:hanging="108"/>
        <w:jc w:val="center"/>
        <w:rPr>
          <w:rStyle w:val="None"/>
          <w:rFonts w:ascii="Helvetica Neue" w:cs="Helvetica Neue" w:hAnsi="Helvetica Neue" w:eastAsia="Helvetica Neue"/>
          <w:b w:val="1"/>
          <w:bCs w:val="1"/>
          <w:sz w:val="20"/>
          <w:szCs w:val="20"/>
        </w:rPr>
      </w:pPr>
    </w:p>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tbl>
      <w:tblPr>
        <w:tblW w:w="879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3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Style w:val="None"/>
                <w:rFonts w:ascii="Helvetica Neue" w:hAnsi="Helvetica Neue"/>
                <w:b w:val="1"/>
                <w:bCs w:val="1"/>
                <w:sz w:val="20"/>
                <w:szCs w:val="20"/>
                <w:shd w:val="nil" w:color="auto" w:fill="auto"/>
                <w:rtl w:val="0"/>
                <w:lang w:val="en-US"/>
              </w:rPr>
              <w:t>TAX PLANNING</w:t>
            </w:r>
          </w:p>
        </w:tc>
      </w:tr>
      <w:tr>
        <w:tblPrEx>
          <w:shd w:val="clear" w:color="auto" w:fill="ced7e7"/>
        </w:tblPrEx>
        <w:trPr>
          <w:trHeight w:val="1980"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Style w:val="None"/>
                <w:rFonts w:ascii="Helvetica Neue" w:cs="Helvetica Neue" w:hAnsi="Helvetica Neue" w:eastAsia="Helvetica Neue"/>
                <w:sz w:val="20"/>
                <w:szCs w:val="20"/>
                <w:shd w:val="nil" w:color="auto" w:fill="auto"/>
              </w:rPr>
            </w:pPr>
            <w:r>
              <w:rPr>
                <w:rStyle w:val="None"/>
                <w:rFonts w:ascii="Helvetica Neue" w:hAnsi="Helvetica Neue"/>
                <w:sz w:val="20"/>
                <w:szCs w:val="20"/>
                <w:shd w:val="nil" w:color="auto" w:fill="auto"/>
                <w:rtl w:val="0"/>
                <w:lang w:val="en-US"/>
              </w:rPr>
              <w:t>Placeholder</w:t>
            </w:r>
          </w:p>
          <w:p>
            <w:pPr>
              <w:pStyle w:val="Body A"/>
              <w:bidi w:val="0"/>
              <w:spacing w:after="200"/>
              <w:ind w:left="0" w:right="0" w:firstLine="0"/>
              <w:jc w:val="both"/>
              <w:rPr>
                <w:rStyle w:val="None"/>
                <w:rFonts w:ascii="Helvetica Neue" w:cs="Helvetica Neue" w:hAnsi="Helvetica Neue" w:eastAsia="Helvetica Neue"/>
                <w:i w:val="1"/>
                <w:iCs w:val="1"/>
                <w:sz w:val="20"/>
                <w:szCs w:val="20"/>
                <w:shd w:val="nil" w:color="auto" w:fill="auto"/>
                <w:rtl w:val="0"/>
              </w:rPr>
            </w:pPr>
            <w:r>
              <w:rPr>
                <w:rStyle w:val="None"/>
                <w:rFonts w:ascii="Helvetica Neue" w:hAnsi="Helvetica Neue"/>
                <w:i w:val="1"/>
                <w:iCs w:val="1"/>
                <w:sz w:val="20"/>
                <w:szCs w:val="20"/>
                <w:shd w:val="nil" w:color="auto" w:fill="auto"/>
                <w:rtl w:val="0"/>
                <w:lang w:val="en-US"/>
              </w:rPr>
              <w:t xml:space="preserve">Before making any changes - consult a tax professional, CPA, or tax attorney as I am not a tax or legal advisor. </w:t>
            </w:r>
          </w:p>
          <w:p>
            <w:pPr>
              <w:pStyle w:val="Body A"/>
              <w:bidi w:val="0"/>
              <w:spacing w:after="200" w:line="240" w:lineRule="auto"/>
              <w:ind w:left="0" w:right="0" w:firstLine="0"/>
              <w:jc w:val="both"/>
              <w:rPr>
                <w:rStyle w:val="None"/>
                <w:rFonts w:ascii="Helvetica Neue" w:cs="Helvetica Neue" w:hAnsi="Helvetica Neue" w:eastAsia="Helvetica Neue"/>
                <w:b w:val="1"/>
                <w:bCs w:val="1"/>
                <w:sz w:val="20"/>
                <w:szCs w:val="20"/>
                <w:rtl w:val="0"/>
                <w:lang w:val="en-US"/>
              </w:rPr>
            </w:pPr>
            <w:r>
              <w:rPr>
                <w:rStyle w:val="None"/>
                <w:rFonts w:ascii="Helvetica Neue" w:hAnsi="Helvetica Neue"/>
                <w:b w:val="1"/>
                <w:bCs w:val="1"/>
                <w:sz w:val="20"/>
                <w:szCs w:val="20"/>
                <w:shd w:val="nil" w:color="auto" w:fill="auto"/>
                <w:rtl w:val="0"/>
                <w:lang w:val="en-US"/>
              </w:rPr>
              <w:t xml:space="preserve">ACTION ITEMS: </w:t>
            </w:r>
          </w:p>
          <w:p>
            <w:pPr>
              <w:pStyle w:val="Body A"/>
              <w:bidi w:val="0"/>
              <w:spacing w:after="200" w:line="240" w:lineRule="auto"/>
              <w:ind w:left="0" w:right="0" w:firstLine="0"/>
              <w:jc w:val="both"/>
              <w:rPr>
                <w:rtl w:val="0"/>
              </w:rPr>
            </w:pPr>
            <w:r>
              <w:rPr>
                <w:rStyle w:val="None"/>
                <w:rFonts w:ascii="Helvetica Neue" w:hAnsi="Helvetica Neue"/>
                <w:b w:val="1"/>
                <w:bCs w:val="1"/>
                <w:sz w:val="20"/>
                <w:szCs w:val="20"/>
                <w:shd w:val="nil" w:color="auto" w:fill="auto"/>
                <w:rtl w:val="0"/>
                <w:lang w:val="en-US"/>
              </w:rPr>
              <w:t>Placeholder</w:t>
            </w:r>
          </w:p>
        </w:tc>
      </w:tr>
    </w:tbl>
    <w:p>
      <w:pPr>
        <w:pStyle w:val="Body A"/>
        <w:widowControl w:val="0"/>
        <w:spacing w:line="240" w:lineRule="auto"/>
        <w:ind w:left="324" w:hanging="324"/>
        <w:jc w:val="center"/>
        <w:rPr>
          <w:rStyle w:val="None"/>
          <w:rFonts w:ascii="Helvetica Neue" w:cs="Helvetica Neue" w:hAnsi="Helvetica Neue" w:eastAsia="Helvetica Neue"/>
          <w:b w:val="1"/>
          <w:bCs w:val="1"/>
          <w:sz w:val="20"/>
          <w:szCs w:val="20"/>
        </w:rPr>
      </w:pPr>
    </w:p>
    <w:p>
      <w:pPr>
        <w:pStyle w:val="Body A"/>
        <w:widowControl w:val="0"/>
        <w:spacing w:line="240" w:lineRule="auto"/>
        <w:ind w:left="216" w:hanging="216"/>
        <w:jc w:val="center"/>
        <w:rPr>
          <w:rStyle w:val="None"/>
          <w:rFonts w:ascii="Helvetica Neue" w:cs="Helvetica Neue" w:hAnsi="Helvetica Neue" w:eastAsia="Helvetica Neue"/>
          <w:b w:val="1"/>
          <w:bCs w:val="1"/>
          <w:sz w:val="20"/>
          <w:szCs w:val="20"/>
        </w:rPr>
      </w:pPr>
    </w:p>
    <w:p>
      <w:pPr>
        <w:pStyle w:val="Body A"/>
        <w:widowControl w:val="0"/>
        <w:spacing w:line="240" w:lineRule="auto"/>
        <w:ind w:left="108" w:hanging="108"/>
        <w:jc w:val="center"/>
        <w:rPr>
          <w:rStyle w:val="None"/>
          <w:rFonts w:ascii="Helvetica Neue" w:cs="Helvetica Neue" w:hAnsi="Helvetica Neue" w:eastAsia="Helvetica Neue"/>
          <w:b w:val="1"/>
          <w:bCs w:val="1"/>
          <w:sz w:val="20"/>
          <w:szCs w:val="20"/>
        </w:rPr>
      </w:pPr>
    </w:p>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jc w:val="both"/>
        <w:rPr>
          <w:rStyle w:val="None"/>
          <w:rFonts w:ascii="Helvetica Neue" w:cs="Helvetica Neue" w:hAnsi="Helvetica Neue" w:eastAsia="Helvetica Neue"/>
          <w:b w:val="1"/>
          <w:bCs w:val="1"/>
          <w:i w:val="1"/>
          <w:iCs w:val="1"/>
          <w:sz w:val="16"/>
          <w:szCs w:val="16"/>
        </w:rPr>
      </w:pPr>
      <w:r>
        <w:rPr>
          <w:rStyle w:val="None"/>
          <w:rFonts w:ascii="Helvetica Neue" w:hAnsi="Helvetica Neue"/>
          <w:b w:val="1"/>
          <w:bCs w:val="1"/>
          <w:i w:val="1"/>
          <w:iCs w:val="1"/>
          <w:sz w:val="16"/>
          <w:szCs w:val="16"/>
          <w:rtl w:val="0"/>
          <w:lang w:val="en-US"/>
        </w:rPr>
        <w:t>Investing is Risky, No Matter Who You</w:t>
      </w:r>
      <w:r>
        <w:rPr>
          <w:rStyle w:val="None"/>
          <w:rFonts w:ascii="Helvetica Neue" w:hAnsi="Helvetica Neue" w:hint="default"/>
          <w:b w:val="1"/>
          <w:bCs w:val="1"/>
          <w:i w:val="1"/>
          <w:iCs w:val="1"/>
          <w:sz w:val="16"/>
          <w:szCs w:val="16"/>
          <w:rtl w:val="0"/>
          <w:lang w:val="en-US"/>
        </w:rPr>
        <w:t>’</w:t>
      </w:r>
      <w:r>
        <w:rPr>
          <w:rStyle w:val="None"/>
          <w:rFonts w:ascii="Helvetica Neue" w:hAnsi="Helvetica Neue"/>
          <w:b w:val="1"/>
          <w:bCs w:val="1"/>
          <w:i w:val="1"/>
          <w:iCs w:val="1"/>
          <w:sz w:val="16"/>
          <w:szCs w:val="16"/>
          <w:rtl w:val="0"/>
          <w:lang w:val="en-US"/>
        </w:rPr>
        <w:t>re Getting Your Advice From</w:t>
      </w: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i w:val="1"/>
          <w:iCs w:val="1"/>
          <w:sz w:val="16"/>
          <w:szCs w:val="16"/>
          <w:rtl w:val="0"/>
          <w:lang w:val="en-US"/>
        </w:rPr>
        <w:t>Taking our advice regarding the investment allocations in your account does not take the risk out of investing, and Katy Song Financial Planning, Inc.  does not guarantee your account</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s performance. KSFP</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s recommendations are based solely on the information you have provided us; if any of the information you provided to KSFP  is or becomes incomplete or inaccurate, our recommendations may not apply to such new circumstances and, as a result, would be less likely to achieve your desired investment strategy. In addition to the below discussion of risks, you should review our Form ADV and Part 2A thereof (the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Brochure</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 including the discussion of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Certain Risk Factors</w:t>
      </w:r>
      <w:r>
        <w:rPr>
          <w:rStyle w:val="None"/>
          <w:rFonts w:ascii="Helvetica Neue" w:hAnsi="Helvetica Neue" w:hint="default"/>
          <w:i w:val="1"/>
          <w:iCs w:val="1"/>
          <w:sz w:val="16"/>
          <w:szCs w:val="16"/>
          <w:rtl w:val="0"/>
          <w:lang w:val="en-US"/>
        </w:rPr>
        <w:t xml:space="preserve">” </w:t>
      </w:r>
      <w:r>
        <w:rPr>
          <w:rStyle w:val="None"/>
          <w:rFonts w:ascii="Helvetica Neue" w:hAnsi="Helvetica Neue"/>
          <w:i w:val="1"/>
          <w:iCs w:val="1"/>
          <w:sz w:val="16"/>
          <w:szCs w:val="16"/>
          <w:rtl w:val="0"/>
          <w:lang w:val="en-US"/>
        </w:rPr>
        <w:t xml:space="preserve">in the Brochure, available </w:t>
      </w:r>
      <w:r>
        <w:rPr>
          <w:rStyle w:val="Hyperlink.1"/>
        </w:rPr>
        <w:fldChar w:fldCharType="begin" w:fldLock="0"/>
      </w:r>
      <w:r>
        <w:rPr>
          <w:rStyle w:val="Hyperlink.1"/>
        </w:rPr>
        <w:instrText xml:space="preserve"> HYPERLINK "https://adviserinfo.sec.gov/firm/summary/158288"</w:instrText>
      </w:r>
      <w:r>
        <w:rPr>
          <w:rStyle w:val="Hyperlink.1"/>
        </w:rPr>
        <w:fldChar w:fldCharType="separate" w:fldLock="0"/>
      </w:r>
      <w:r>
        <w:rPr>
          <w:rStyle w:val="Hyperlink.1"/>
          <w:rtl w:val="0"/>
          <w:lang w:val="en-US"/>
        </w:rPr>
        <w:t>here</w:t>
      </w:r>
      <w:r>
        <w:rPr/>
        <w:fldChar w:fldCharType="end" w:fldLock="0"/>
      </w:r>
      <w:r>
        <w:rPr>
          <w:rStyle w:val="None"/>
          <w:rFonts w:ascii="Helvetica Neue" w:hAnsi="Helvetica Neue"/>
          <w:i w:val="1"/>
          <w:iCs w:val="1"/>
          <w:sz w:val="16"/>
          <w:szCs w:val="16"/>
          <w:rtl w:val="0"/>
          <w:lang w:val="en-US"/>
        </w:rPr>
        <w:t>.</w:t>
      </w:r>
    </w:p>
    <w:p>
      <w:pPr>
        <w:pStyle w:val="Body A"/>
        <w:spacing w:line="240" w:lineRule="auto"/>
        <w:rPr>
          <w:rStyle w:val="None"/>
          <w:rFonts w:ascii="Helvetica Neue" w:cs="Helvetica Neue" w:hAnsi="Helvetica Neue" w:eastAsia="Helvetica Neue"/>
          <w:i w:val="1"/>
          <w:iCs w:val="1"/>
          <w:sz w:val="16"/>
          <w:szCs w:val="16"/>
        </w:rPr>
      </w:pP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b w:val="1"/>
          <w:bCs w:val="1"/>
          <w:i w:val="1"/>
          <w:iCs w:val="1"/>
          <w:sz w:val="16"/>
          <w:szCs w:val="16"/>
          <w:rtl w:val="0"/>
          <w:lang w:val="en-US"/>
        </w:rPr>
        <w:t>Tax Planning</w:t>
      </w:r>
    </w:p>
    <w:p>
      <w:pPr>
        <w:pStyle w:val="Body A"/>
        <w:spacing w:line="240" w:lineRule="auto"/>
        <w:jc w:val="both"/>
      </w:pPr>
      <w:r>
        <w:rPr>
          <w:rStyle w:val="None"/>
          <w:rFonts w:ascii="Helvetica Neue" w:hAnsi="Helvetica Neue"/>
          <w:i w:val="1"/>
          <w:iCs w:val="1"/>
          <w:sz w:val="16"/>
          <w:szCs w:val="16"/>
          <w:rtl w:val="0"/>
          <w:lang w:val="en-US"/>
        </w:rPr>
        <w:t>Keep in mind that KSFP, Inc. is not a tax preparation firm. We can give information on how to adjust your withholding, discuss benefits of tax advantaged accounts, and project impacts of certain changes to your financial situation on your tax liability. However, before making any changes you should consult with your tax professional for exact tax advice.</w:t>
      </w:r>
    </w:p>
    <w:sectPr>
      <w:headerReference w:type="default" r:id="rId4"/>
      <w:footerReference w:type="default" r:id="rId5"/>
      <w:pgSz w:w="12240" w:h="15840" w:orient="portrait"/>
      <w:pgMar w:top="1440" w:right="1440" w:bottom="1440" w:left="1440" w:header="432"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rPr>
        <w:outline w:val="0"/>
        <w:color w:val="000000"/>
        <w:u w:color="000000"/>
        <w14:textFill>
          <w14:solidFill>
            <w14:srgbClr w14:val="000000"/>
          </w14:solidFill>
        </w14:textFill>
      </w:rPr>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231140</wp:posOffset>
              </wp:positionV>
              <wp:extent cx="1700785" cy="1024131"/>
              <wp:effectExtent l="0" t="0" r="0" b="0"/>
              <wp:wrapNone/>
              <wp:docPr id="1073741828" name="officeArt object" descr="Group 159"/>
              <wp:cNvGraphicFramePr/>
              <a:graphic xmlns:a="http://schemas.openxmlformats.org/drawingml/2006/main">
                <a:graphicData uri="http://schemas.microsoft.com/office/word/2010/wordprocessingGroup">
                  <wpg:wgp>
                    <wpg:cNvGrpSpPr/>
                    <wpg:grpSpPr>
                      <a:xfrm>
                        <a:off x="0" y="0"/>
                        <a:ext cx="1700785" cy="1024131"/>
                        <a:chOff x="0" y="0"/>
                        <a:chExt cx="1700784" cy="1024130"/>
                      </a:xfrm>
                    </wpg:grpSpPr>
                    <wps:wsp>
                      <wps:cNvPr id="1073741825" name="Rectangle 160"/>
                      <wps:cNvSpPr/>
                      <wps:spPr>
                        <a:xfrm>
                          <a:off x="0" y="-1"/>
                          <a:ext cx="1700785" cy="1024132"/>
                        </a:xfrm>
                        <a:prstGeom prst="rect">
                          <a:avLst/>
                        </a:prstGeom>
                        <a:solidFill>
                          <a:srgbClr val="FFFFFF">
                            <a:alpha val="0"/>
                          </a:srgbClr>
                        </a:solidFill>
                        <a:ln w="12700" cap="flat">
                          <a:noFill/>
                          <a:miter lim="400000"/>
                        </a:ln>
                        <a:effectLst/>
                      </wps:spPr>
                      <wps:bodyPr/>
                    </wps:wsp>
                    <wps:wsp>
                      <wps:cNvPr id="1073741826" name="Rectangle 1"/>
                      <wps:cNvSpPr/>
                      <wps:spPr>
                        <a:xfrm>
                          <a:off x="228598" y="-1"/>
                          <a:ext cx="1463045" cy="10149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lnTo>
                                <a:pt x="13443" y="8012"/>
                              </a:lnTo>
                              <a:lnTo>
                                <a:pt x="0" y="21600"/>
                              </a:lnTo>
                              <a:lnTo>
                                <a:pt x="0" y="0"/>
                              </a:lnTo>
                              <a:close/>
                            </a:path>
                          </a:pathLst>
                        </a:custGeom>
                        <a:solidFill>
                          <a:schemeClr val="accent1"/>
                        </a:solidFill>
                        <a:ln w="12700" cap="flat">
                          <a:noFill/>
                          <a:miter lim="400000"/>
                        </a:ln>
                        <a:effectLst/>
                      </wps:spPr>
                      <wps:bodyPr/>
                    </wps:wsp>
                    <wps:wsp>
                      <wps:cNvPr id="1073741827" name="Rectangle 162"/>
                      <wps:cNvSpPr/>
                      <wps:spPr>
                        <a:xfrm>
                          <a:off x="228599" y="-1"/>
                          <a:ext cx="1472187" cy="1024132"/>
                        </a:xfrm>
                        <a:prstGeom prst="rect">
                          <a:avLst/>
                        </a:prstGeom>
                        <a:blipFill rotWithShape="1">
                          <a:blip r:embed="rId1"/>
                          <a:srcRect l="0" t="0" r="0" b="0"/>
                          <a:stretch>
                            <a:fillRect/>
                          </a:stretch>
                        </a:blipFill>
                        <a:ln w="12700" cap="flat">
                          <a:noFill/>
                          <a:miter lim="400000"/>
                        </a:ln>
                        <a:effectLst/>
                      </wps:spPr>
                      <wps:bodyPr/>
                    </wps:wsp>
                  </wpg:wgp>
                </a:graphicData>
              </a:graphic>
            </wp:anchor>
          </w:drawing>
        </mc:Choice>
        <mc:Fallback>
          <w:pict>
            <v:group id="_x0000_s1026" style="visibility:visible;position:absolute;margin-left:0.0pt;margin-top:18.2pt;width:133.9pt;height:80.6pt;z-index:-251658240;mso-position-horizontal:absolute;mso-position-horizontal-relative:page;mso-position-vertical:absolute;mso-position-vertical-relative:page;mso-wrap-distance-left:12.0pt;mso-wrap-distance-top:12.0pt;mso-wrap-distance-right:12.0pt;mso-wrap-distance-bottom:12.0pt;" coordorigin="0,0" coordsize="1700785,1024131">
              <w10:wrap type="none" side="bothSides" anchorx="page" anchory="page"/>
              <v:rect id="_x0000_s1027" style="position:absolute;left:0;top:0;width:1700785;height:1024131;">
                <v:fill color="#FFFFFF" opacity="0.0%" type="solid"/>
                <v:stroke on="f" weight="1.0pt" dashstyle="solid" endcap="flat" miterlimit="400.0%" joinstyle="miter" linestyle="single" startarrow="none" startarrowwidth="medium" startarrowlength="medium" endarrow="none" endarrowwidth="medium" endarrowlength="medium"/>
              </v:rect>
              <v:shape id="_x0000_s1028" style="position:absolute;left:228599;top:0;width:1463044;height:1014987;" coordorigin="0,0" coordsize="21600,21600" path="M 0,0 L 21600,0 L 13443,8012 L 0,21600 L 0,0 X E">
                <v:fill color="#4F81BD" opacity="100.0%" type="solid"/>
                <v:stroke on="f" weight="1.0pt" dashstyle="solid" endcap="flat" miterlimit="400.0%" joinstyle="miter" linestyle="single" startarrow="none" startarrowwidth="medium" startarrowlength="medium" endarrow="none" endarrowwidth="medium" endarrowlength="medium"/>
              </v:shape>
              <v:rect id="_x0000_s1029" style="position:absolute;left:228600;top:0;width:1472185;height:1024131;">
                <v:fill r:id="rId1" o:title="image1.png" rotate="t" type="frame"/>
                <v:stroke on="f" weight="1.0pt" dashstyle="solid" endcap="flat" miterlimit="400.0%" joinstyle="miter" linestyle="single" startarrow="none" startarrowwidth="medium" startarrowlength="medium" endarrow="none" endarrowwidth="medium" endarrowlength="medium"/>
              </v:rect>
            </v:group>
          </w:pict>
        </mc:Fallback>
      </mc:AlternateContent>
    </w:r>
    <w:r>
      <w:rPr>
        <w:rtl w:val="0"/>
        <w:lang w:val="en-US"/>
      </w:rPr>
      <w:t xml:space="preserve">              </w:t>
    </w:r>
    <w:r>
      <w:rPr>
        <w:outline w:val="0"/>
        <w:color w:val="000000"/>
        <w:sz w:val="28"/>
        <w:szCs w:val="28"/>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Prepared by:                   Prepared for:                   Date:</w:t>
    </w:r>
  </w:p>
  <w:p>
    <w:pPr>
      <w:pStyle w:val="Header &amp; Footer A"/>
    </w:pPr>
    <w:r>
      <w:rPr>
        <w:outline w:val="0"/>
        <w:color w:val="000000"/>
        <w:u w:color="000000"/>
        <w:rtl w:val="0"/>
        <w:lang w:val="en-US"/>
        <w14:textFill>
          <w14:solidFill>
            <w14:srgbClr w14:val="000000"/>
          </w14:solidFill>
        </w14:textFill>
      </w:rPr>
      <w:t xml:space="preserve">                             Katy Song, CFP</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First/Last Name            April 2025</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Helvetica Neue" w:cs="Helvetica Neue" w:hAnsi="Helvetica Neue" w:eastAsia="Helvetica Neue"/>
      <w:i w:val="1"/>
      <w:iCs w:val="1"/>
      <w:outline w:val="0"/>
      <w:color w:val="1155cc"/>
      <w:sz w:val="16"/>
      <w:szCs w:val="16"/>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